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9B" w:rsidRDefault="00F3479B" w:rsidP="00F3479B">
      <w:pPr>
        <w:spacing w:line="480" w:lineRule="auto"/>
        <w:ind w:firstLineChars="150" w:firstLine="315"/>
        <w:rPr>
          <w:rFonts w:ascii="Times New Roman" w:hAnsi="Times New Roman"/>
          <w:color w:val="000000"/>
          <w:szCs w:val="21"/>
        </w:rPr>
      </w:pPr>
    </w:p>
    <w:p w:rsidR="00F3479B" w:rsidRDefault="00F3479B" w:rsidP="00F3479B">
      <w:pPr>
        <w:spacing w:line="480" w:lineRule="auto"/>
        <w:rPr>
          <w:rFonts w:ascii="Times New Roman" w:hAnsi="Times New Roman"/>
          <w:b/>
          <w:color w:val="000000"/>
          <w:sz w:val="22"/>
          <w:szCs w:val="21"/>
        </w:rPr>
      </w:pPr>
      <w:r>
        <w:rPr>
          <w:rFonts w:ascii="Times New Roman" w:hAnsi="Times New Roman"/>
          <w:b/>
          <w:color w:val="000000"/>
          <w:sz w:val="22"/>
          <w:szCs w:val="21"/>
        </w:rPr>
        <w:t>Supporting information Legend</w:t>
      </w:r>
    </w:p>
    <w:p w:rsidR="00F3479B" w:rsidRDefault="00F3479B" w:rsidP="00F3479B">
      <w:pPr>
        <w:spacing w:line="480" w:lineRule="auto"/>
        <w:ind w:firstLineChars="150" w:firstLine="316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b/>
          <w:bCs/>
          <w:color w:val="000000"/>
          <w:szCs w:val="21"/>
        </w:rPr>
        <w:t>Table S1</w:t>
      </w:r>
      <w:r>
        <w:rPr>
          <w:rFonts w:ascii="Times New Roman" w:hAnsi="Times New Roman"/>
          <w:color w:val="000000"/>
          <w:szCs w:val="21"/>
        </w:rPr>
        <w:t xml:space="preserve"> Demographic characteristic of the </w:t>
      </w:r>
      <w:r>
        <w:rPr>
          <w:rFonts w:ascii="Times New Roman" w:hAnsi="Times New Roman"/>
          <w:bCs/>
          <w:color w:val="000000"/>
          <w:szCs w:val="21"/>
        </w:rPr>
        <w:t>THS</w:t>
      </w:r>
      <w:r>
        <w:rPr>
          <w:rFonts w:ascii="Times New Roman" w:hAnsi="Times New Roman"/>
          <w:color w:val="000000"/>
          <w:szCs w:val="21"/>
        </w:rPr>
        <w:t xml:space="preserve"> patients and TCE contacts</w:t>
      </w:r>
    </w:p>
    <w:p w:rsidR="00F3479B" w:rsidRDefault="00F3479B" w:rsidP="00F3479B">
      <w:pPr>
        <w:spacing w:line="480" w:lineRule="auto"/>
        <w:ind w:firstLineChars="150" w:firstLine="316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b/>
          <w:bCs/>
          <w:color w:val="000000"/>
          <w:szCs w:val="21"/>
        </w:rPr>
        <w:t>Table S</w:t>
      </w:r>
      <w:r>
        <w:rPr>
          <w:rFonts w:ascii="Times New Roman" w:hAnsi="Times New Roman" w:hint="eastAsia"/>
          <w:b/>
          <w:bCs/>
          <w:color w:val="000000"/>
          <w:szCs w:val="21"/>
        </w:rPr>
        <w:t>2</w:t>
      </w:r>
      <w:r>
        <w:rPr>
          <w:rFonts w:ascii="Times New Roman" w:hAnsi="Times New Roman"/>
          <w:color w:val="000000"/>
          <w:szCs w:val="21"/>
        </w:rPr>
        <w:t xml:space="preserve"> RNA yield and quality assessment in 10 serum samples</w:t>
      </w:r>
    </w:p>
    <w:p w:rsidR="00F3479B" w:rsidRDefault="00F3479B" w:rsidP="00F3479B">
      <w:pPr>
        <w:spacing w:line="480" w:lineRule="auto"/>
        <w:ind w:firstLineChars="150" w:firstLine="316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b/>
          <w:bCs/>
          <w:color w:val="000000"/>
          <w:szCs w:val="21"/>
        </w:rPr>
        <w:t>Table S</w:t>
      </w:r>
      <w:r>
        <w:rPr>
          <w:rFonts w:ascii="Times New Roman" w:hAnsi="Times New Roman" w:hint="eastAsia"/>
          <w:b/>
          <w:bCs/>
          <w:color w:val="000000"/>
          <w:szCs w:val="21"/>
        </w:rPr>
        <w:t>3</w:t>
      </w:r>
      <w:r>
        <w:rPr>
          <w:rFonts w:ascii="Times New Roman" w:hAnsi="Times New Roman"/>
          <w:color w:val="000000"/>
          <w:szCs w:val="21"/>
        </w:rPr>
        <w:t xml:space="preserve"> The clinical characteristics of 39 THS patients</w:t>
      </w:r>
    </w:p>
    <w:p w:rsidR="00F3479B" w:rsidRDefault="00F3479B" w:rsidP="00F3479B">
      <w:pPr>
        <w:spacing w:line="480" w:lineRule="auto"/>
        <w:ind w:firstLineChars="150" w:firstLine="316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b/>
          <w:bCs/>
          <w:color w:val="000000"/>
          <w:szCs w:val="21"/>
        </w:rPr>
        <w:t>Table S4</w:t>
      </w:r>
      <w:r>
        <w:rPr>
          <w:rFonts w:ascii="Times New Roman" w:hAnsi="Times New Roman"/>
          <w:color w:val="000000"/>
          <w:szCs w:val="21"/>
        </w:rPr>
        <w:t xml:space="preserve"> 69 differentially expressed miRNAs between </w:t>
      </w:r>
      <w:r>
        <w:rPr>
          <w:rFonts w:ascii="Times New Roman" w:hAnsi="Times New Roman"/>
          <w:bCs/>
          <w:color w:val="000000"/>
          <w:szCs w:val="21"/>
        </w:rPr>
        <w:t>THS</w:t>
      </w:r>
      <w:r>
        <w:rPr>
          <w:rFonts w:ascii="Times New Roman" w:hAnsi="Times New Roman"/>
          <w:color w:val="000000"/>
          <w:szCs w:val="21"/>
        </w:rPr>
        <w:t xml:space="preserve"> patients and TCE contacts</w:t>
      </w:r>
    </w:p>
    <w:p w:rsidR="00F3479B" w:rsidRDefault="00F3479B" w:rsidP="00F3479B">
      <w:pPr>
        <w:spacing w:line="480" w:lineRule="auto"/>
        <w:ind w:firstLineChars="150" w:firstLine="316"/>
        <w:rPr>
          <w:rFonts w:ascii="Times New Roman" w:hAnsi="Times New Roman"/>
          <w:bCs/>
          <w:color w:val="000000"/>
          <w:szCs w:val="21"/>
        </w:rPr>
      </w:pPr>
      <w:r>
        <w:rPr>
          <w:rFonts w:ascii="Times New Roman" w:hAnsi="Times New Roman"/>
          <w:b/>
          <w:color w:val="000000"/>
          <w:szCs w:val="21"/>
        </w:rPr>
        <w:t>Table S5</w:t>
      </w:r>
      <w:r>
        <w:rPr>
          <w:rFonts w:ascii="Times New Roman" w:hAnsi="Times New Roman"/>
          <w:bCs/>
          <w:color w:val="000000"/>
          <w:szCs w:val="21"/>
        </w:rPr>
        <w:t xml:space="preserve"> Liver functions of THS patients and TCE contacts</w:t>
      </w:r>
    </w:p>
    <w:p w:rsidR="00F3479B" w:rsidRDefault="00F3479B" w:rsidP="00F3479B">
      <w:pPr>
        <w:spacing w:line="480" w:lineRule="auto"/>
        <w:ind w:firstLineChars="150" w:firstLine="316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b/>
          <w:bCs/>
          <w:color w:val="000000"/>
          <w:szCs w:val="21"/>
        </w:rPr>
        <w:t>Figure S1</w:t>
      </w:r>
      <w:r>
        <w:rPr>
          <w:rFonts w:ascii="Times New Roman" w:hAnsi="Times New Roman"/>
          <w:color w:val="000000"/>
          <w:szCs w:val="21"/>
        </w:rPr>
        <w:t xml:space="preserve"> Heat map and hierarchical clustering of differential miRNAs.</w:t>
      </w:r>
    </w:p>
    <w:p w:rsidR="00F3479B" w:rsidRDefault="00F3479B" w:rsidP="00F3479B">
      <w:pPr>
        <w:spacing w:line="480" w:lineRule="auto"/>
        <w:ind w:firstLineChars="150" w:firstLine="316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/>
          <w:b/>
          <w:bCs/>
          <w:color w:val="000000"/>
          <w:kern w:val="0"/>
          <w:szCs w:val="21"/>
        </w:rPr>
        <w:t>Figure S</w:t>
      </w:r>
      <w:r>
        <w:rPr>
          <w:rFonts w:ascii="Times New Roman" w:hAnsi="Times New Roman" w:hint="eastAsia"/>
          <w:b/>
          <w:bCs/>
          <w:color w:val="000000"/>
          <w:kern w:val="0"/>
          <w:szCs w:val="21"/>
        </w:rPr>
        <w:t>2</w:t>
      </w:r>
      <w:r>
        <w:rPr>
          <w:rFonts w:ascii="Times New Roman" w:hAnsi="Times New Roman"/>
          <w:color w:val="000000"/>
          <w:kern w:val="0"/>
          <w:szCs w:val="21"/>
        </w:rPr>
        <w:t xml:space="preserve"> The target genes prediction of miR-21 and miR-339</w:t>
      </w:r>
    </w:p>
    <w:p w:rsidR="00F3479B" w:rsidRDefault="00F3479B" w:rsidP="00F3479B">
      <w:pPr>
        <w:jc w:val="left"/>
        <w:rPr>
          <w:color w:val="000000" w:themeColor="text1"/>
          <w:szCs w:val="21"/>
        </w:rPr>
        <w:sectPr w:rsidR="00F3479B"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</w:p>
    <w:p w:rsidR="00F3479B" w:rsidRDefault="00F3479B" w:rsidP="00F3479B">
      <w:pPr>
        <w:spacing w:line="360" w:lineRule="auto"/>
        <w:rPr>
          <w:color w:val="000000" w:themeColor="text1"/>
          <w:szCs w:val="21"/>
        </w:rPr>
      </w:pPr>
    </w:p>
    <w:p w:rsidR="00F3479B" w:rsidRDefault="00F3479B" w:rsidP="00F3479B">
      <w:pPr>
        <w:spacing w:line="360" w:lineRule="auto"/>
        <w:rPr>
          <w:color w:val="000000" w:themeColor="text1"/>
          <w:szCs w:val="21"/>
        </w:rPr>
      </w:pPr>
      <w:r>
        <w:rPr>
          <w:noProof/>
          <w:color w:val="000000" w:themeColor="text1"/>
          <w:lang w:eastAsia="en-US"/>
        </w:rPr>
        <w:drawing>
          <wp:inline distT="0" distB="0" distL="0" distR="0">
            <wp:extent cx="5504180" cy="5076825"/>
            <wp:effectExtent l="0" t="0" r="1270" b="9525"/>
            <wp:docPr id="2" name="Picture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18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79B" w:rsidRDefault="00F3479B" w:rsidP="00F3479B">
      <w:pPr>
        <w:spacing w:line="360" w:lineRule="auto"/>
        <w:rPr>
          <w:color w:val="000000" w:themeColor="text1"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Figure S1</w:t>
      </w:r>
      <w:r>
        <w:rPr>
          <w:rFonts w:hint="eastAsia"/>
          <w:color w:val="000000" w:themeColor="text1"/>
          <w:szCs w:val="21"/>
        </w:rPr>
        <w:t xml:space="preserve"> Heat map and hierarchical clustering of differential miRNAs. The heat map indicates the results of a two-way hierarchical clustering of miRNAs and samples. The upper test A, B, C, D, E represent the THS patient samples, while the control A, B, C, D, E represent the TCE contact samples. Each row represents a miRNA and each column represents a sample. The miRNA clustering tree is shown on the right. The color scale displays the relative expression level of a miRNA in the certain slide: red, high relative expression level; green, low relative expression level.</w:t>
      </w:r>
    </w:p>
    <w:p w:rsidR="00F3479B" w:rsidRDefault="00F3479B" w:rsidP="00F3479B">
      <w:pPr>
        <w:spacing w:line="360" w:lineRule="auto"/>
        <w:rPr>
          <w:color w:val="000000" w:themeColor="text1"/>
          <w:szCs w:val="21"/>
        </w:rPr>
      </w:pPr>
    </w:p>
    <w:p w:rsidR="00F3479B" w:rsidRDefault="00F3479B" w:rsidP="00F3479B">
      <w:pPr>
        <w:spacing w:line="360" w:lineRule="auto"/>
        <w:rPr>
          <w:color w:val="000000" w:themeColor="text1"/>
          <w:szCs w:val="21"/>
        </w:rPr>
        <w:sectPr w:rsidR="00F3479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F3479B" w:rsidRDefault="00F3479B" w:rsidP="00F3479B">
      <w:pPr>
        <w:spacing w:line="360" w:lineRule="auto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en-US"/>
        </w:rPr>
        <w:lastRenderedPageBreak/>
        <w:drawing>
          <wp:inline distT="0" distB="0" distL="0" distR="0">
            <wp:extent cx="8045450" cy="4524375"/>
            <wp:effectExtent l="0" t="0" r="0" b="9525"/>
            <wp:docPr id="1" name="Picture 1" descr="威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威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79B" w:rsidRDefault="00F3479B" w:rsidP="00F3479B">
      <w:pPr>
        <w:autoSpaceDE w:val="0"/>
        <w:autoSpaceDN w:val="0"/>
        <w:spacing w:line="360" w:lineRule="auto"/>
        <w:jc w:val="center"/>
        <w:rPr>
          <w:color w:val="000000" w:themeColor="text1"/>
          <w:kern w:val="0"/>
          <w:szCs w:val="21"/>
        </w:rPr>
      </w:pPr>
      <w:r>
        <w:rPr>
          <w:b/>
          <w:bCs/>
          <w:color w:val="000000" w:themeColor="text1"/>
          <w:kern w:val="0"/>
          <w:szCs w:val="21"/>
        </w:rPr>
        <w:t>Fig</w:t>
      </w:r>
      <w:r>
        <w:rPr>
          <w:rFonts w:hint="eastAsia"/>
          <w:b/>
          <w:bCs/>
          <w:color w:val="000000" w:themeColor="text1"/>
          <w:kern w:val="0"/>
          <w:szCs w:val="21"/>
        </w:rPr>
        <w:t>ure</w:t>
      </w:r>
      <w:r>
        <w:rPr>
          <w:b/>
          <w:bCs/>
          <w:color w:val="000000" w:themeColor="text1"/>
          <w:kern w:val="0"/>
          <w:szCs w:val="21"/>
        </w:rPr>
        <w:t xml:space="preserve"> </w:t>
      </w:r>
      <w:r>
        <w:rPr>
          <w:rFonts w:hint="eastAsia"/>
          <w:b/>
          <w:bCs/>
          <w:color w:val="000000" w:themeColor="text1"/>
          <w:kern w:val="0"/>
          <w:szCs w:val="21"/>
        </w:rPr>
        <w:t>S2</w:t>
      </w:r>
      <w:r>
        <w:rPr>
          <w:rFonts w:hint="eastAsia"/>
          <w:color w:val="000000" w:themeColor="text1"/>
          <w:kern w:val="0"/>
          <w:szCs w:val="21"/>
        </w:rPr>
        <w:t xml:space="preserve"> The target genes prediction of </w:t>
      </w:r>
      <w:r>
        <w:rPr>
          <w:color w:val="000000" w:themeColor="text1"/>
          <w:kern w:val="0"/>
          <w:szCs w:val="21"/>
        </w:rPr>
        <w:t>miR-21 and miR-339</w:t>
      </w:r>
    </w:p>
    <w:p w:rsidR="00F3479B" w:rsidRDefault="00F3479B" w:rsidP="00F3479B">
      <w:pPr>
        <w:jc w:val="left"/>
        <w:rPr>
          <w:color w:val="000000" w:themeColor="text1"/>
          <w:szCs w:val="21"/>
        </w:rPr>
      </w:pPr>
    </w:p>
    <w:p w:rsidR="00F3479B" w:rsidRDefault="00F3479B" w:rsidP="00F3479B">
      <w:pPr>
        <w:spacing w:line="360" w:lineRule="auto"/>
        <w:jc w:val="left"/>
        <w:rPr>
          <w:color w:val="000000" w:themeColor="text1"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Table S1</w:t>
      </w:r>
      <w:r>
        <w:rPr>
          <w:rFonts w:hint="eastAsia"/>
          <w:color w:val="000000" w:themeColor="text1"/>
          <w:szCs w:val="21"/>
        </w:rPr>
        <w:t xml:space="preserve"> </w:t>
      </w:r>
      <w:r>
        <w:rPr>
          <w:color w:val="000000" w:themeColor="text1"/>
          <w:szCs w:val="21"/>
        </w:rPr>
        <w:t>Demographic characteristic</w:t>
      </w:r>
      <w:r>
        <w:rPr>
          <w:rFonts w:hint="eastAsia"/>
          <w:color w:val="000000" w:themeColor="text1"/>
          <w:szCs w:val="21"/>
        </w:rPr>
        <w:t xml:space="preserve"> of </w:t>
      </w:r>
      <w:r>
        <w:rPr>
          <w:color w:val="000000" w:themeColor="text1"/>
          <w:szCs w:val="21"/>
        </w:rPr>
        <w:t xml:space="preserve">the </w:t>
      </w:r>
      <w:r>
        <w:rPr>
          <w:rFonts w:hint="eastAsia"/>
          <w:color w:val="000000" w:themeColor="text1"/>
          <w:szCs w:val="21"/>
        </w:rPr>
        <w:t>THS</w:t>
      </w:r>
      <w:r>
        <w:rPr>
          <w:color w:val="000000" w:themeColor="text1"/>
          <w:szCs w:val="21"/>
        </w:rPr>
        <w:t xml:space="preserve"> patients and TCE contacts</w:t>
      </w:r>
      <w:r>
        <w:rPr>
          <w:rFonts w:hint="eastAsia"/>
          <w:color w:val="000000" w:themeColor="text1"/>
          <w:szCs w:val="21"/>
        </w:rPr>
        <w:t xml:space="preserve"> (</w:t>
      </w:r>
      <w:r>
        <w:rPr>
          <w:rFonts w:hint="eastAsia"/>
          <w:color w:val="000000" w:themeColor="text1"/>
          <w:szCs w:val="21"/>
        </w:rPr>
        <w:object w:dxaOrig="27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5pt;height:15.45pt" o:ole="">
            <v:imagedata r:id="rId7" o:title=""/>
          </v:shape>
          <o:OLEObject Type="Embed" ProgID="Equation.3" ShapeID="_x0000_i1025" DrawAspect="Content" ObjectID="_1681691965" r:id="rId8"/>
        </w:object>
      </w:r>
      <w:r>
        <w:rPr>
          <w:color w:val="000000" w:themeColor="text1"/>
          <w:szCs w:val="21"/>
        </w:rPr>
        <w:t>±</w:t>
      </w:r>
      <w:r>
        <w:rPr>
          <w:rFonts w:hint="eastAsia"/>
          <w:color w:val="000000" w:themeColor="text1"/>
          <w:szCs w:val="21"/>
        </w:rPr>
        <w:t>SEM)</w:t>
      </w: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3252"/>
        <w:gridCol w:w="2088"/>
      </w:tblGrid>
      <w:tr w:rsidR="00F3479B" w:rsidTr="00642E75">
        <w:trPr>
          <w:trHeight w:val="380"/>
        </w:trPr>
        <w:tc>
          <w:tcPr>
            <w:tcW w:w="1665" w:type="dxa"/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Groups</w:t>
            </w:r>
          </w:p>
        </w:tc>
        <w:tc>
          <w:tcPr>
            <w:tcW w:w="3252" w:type="dxa"/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Items</w:t>
            </w:r>
          </w:p>
        </w:tc>
        <w:tc>
          <w:tcPr>
            <w:tcW w:w="2088" w:type="dxa"/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Total</w:t>
            </w:r>
          </w:p>
        </w:tc>
      </w:tr>
      <w:tr w:rsidR="00F3479B" w:rsidTr="00642E75">
        <w:trPr>
          <w:trHeight w:val="313"/>
        </w:trPr>
        <w:tc>
          <w:tcPr>
            <w:tcW w:w="1665" w:type="dxa"/>
            <w:vMerge w:val="restart"/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THS</w:t>
            </w:r>
            <w:r>
              <w:rPr>
                <w:color w:val="000000" w:themeColor="text1"/>
                <w:szCs w:val="21"/>
              </w:rPr>
              <w:t xml:space="preserve"> patients</w:t>
            </w:r>
          </w:p>
        </w:tc>
        <w:tc>
          <w:tcPr>
            <w:tcW w:w="3252" w:type="dxa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Male / Female</w:t>
            </w:r>
          </w:p>
        </w:tc>
        <w:tc>
          <w:tcPr>
            <w:tcW w:w="2088" w:type="dxa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26 / 13</w:t>
            </w:r>
          </w:p>
        </w:tc>
      </w:tr>
      <w:tr w:rsidR="00F3479B" w:rsidTr="00642E75">
        <w:trPr>
          <w:trHeight w:val="322"/>
        </w:trPr>
        <w:tc>
          <w:tcPr>
            <w:tcW w:w="1665" w:type="dxa"/>
            <w:vMerge/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Average age</w:t>
            </w:r>
            <w:r>
              <w:rPr>
                <w:rFonts w:hint="eastAsia"/>
                <w:color w:val="000000" w:themeColor="text1"/>
                <w:szCs w:val="21"/>
              </w:rPr>
              <w:t xml:space="preserve"> (Years)</w:t>
            </w:r>
          </w:p>
        </w:tc>
        <w:tc>
          <w:tcPr>
            <w:tcW w:w="2088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25.</w:t>
            </w:r>
            <w:r>
              <w:rPr>
                <w:rFonts w:hint="eastAsia"/>
                <w:color w:val="000000" w:themeColor="text1"/>
                <w:szCs w:val="21"/>
              </w:rPr>
              <w:t>5</w:t>
            </w:r>
            <w:r>
              <w:rPr>
                <w:color w:val="000000" w:themeColor="text1"/>
                <w:szCs w:val="21"/>
              </w:rPr>
              <w:t>±6.</w:t>
            </w:r>
            <w:r>
              <w:rPr>
                <w:rFonts w:hint="eastAsia"/>
                <w:color w:val="000000" w:themeColor="text1"/>
                <w:szCs w:val="21"/>
              </w:rPr>
              <w:t>2</w:t>
            </w:r>
          </w:p>
        </w:tc>
      </w:tr>
      <w:tr w:rsidR="00F3479B" w:rsidTr="00642E75">
        <w:trPr>
          <w:trHeight w:val="322"/>
        </w:trPr>
        <w:tc>
          <w:tcPr>
            <w:tcW w:w="1665" w:type="dxa"/>
            <w:vMerge/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252" w:type="dxa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Exposure period (Working days)</w:t>
            </w:r>
          </w:p>
        </w:tc>
        <w:tc>
          <w:tcPr>
            <w:tcW w:w="2088" w:type="dxa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31.1</w:t>
            </w:r>
            <w:r>
              <w:rPr>
                <w:color w:val="000000" w:themeColor="text1"/>
                <w:szCs w:val="21"/>
              </w:rPr>
              <w:t>±</w:t>
            </w:r>
            <w:r>
              <w:rPr>
                <w:rFonts w:hint="eastAsia"/>
                <w:color w:val="000000" w:themeColor="text1"/>
                <w:szCs w:val="21"/>
              </w:rPr>
              <w:t>2.2***</w:t>
            </w:r>
          </w:p>
        </w:tc>
      </w:tr>
      <w:tr w:rsidR="00F3479B" w:rsidTr="00642E75">
        <w:trPr>
          <w:trHeight w:val="313"/>
        </w:trPr>
        <w:tc>
          <w:tcPr>
            <w:tcW w:w="1665" w:type="dxa"/>
            <w:vMerge w:val="restart"/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TCE contacts</w:t>
            </w:r>
          </w:p>
        </w:tc>
        <w:tc>
          <w:tcPr>
            <w:tcW w:w="3252" w:type="dxa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Male / Female</w:t>
            </w:r>
          </w:p>
        </w:tc>
        <w:tc>
          <w:tcPr>
            <w:tcW w:w="2088" w:type="dxa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25 / 14</w:t>
            </w:r>
          </w:p>
        </w:tc>
      </w:tr>
      <w:tr w:rsidR="00F3479B" w:rsidTr="00642E75">
        <w:trPr>
          <w:trHeight w:val="322"/>
        </w:trPr>
        <w:tc>
          <w:tcPr>
            <w:tcW w:w="1665" w:type="dxa"/>
            <w:vMerge/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252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Average age</w:t>
            </w:r>
            <w:r>
              <w:rPr>
                <w:rFonts w:hint="eastAsia"/>
                <w:color w:val="000000" w:themeColor="text1"/>
                <w:szCs w:val="21"/>
              </w:rPr>
              <w:t xml:space="preserve"> (Years)</w:t>
            </w:r>
          </w:p>
        </w:tc>
        <w:tc>
          <w:tcPr>
            <w:tcW w:w="2088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25.</w:t>
            </w:r>
            <w:r>
              <w:rPr>
                <w:rFonts w:hint="eastAsia"/>
                <w:color w:val="000000" w:themeColor="text1"/>
                <w:szCs w:val="21"/>
              </w:rPr>
              <w:t>9</w:t>
            </w:r>
            <w:r>
              <w:rPr>
                <w:color w:val="000000" w:themeColor="text1"/>
                <w:szCs w:val="21"/>
              </w:rPr>
              <w:t>±9.3</w:t>
            </w:r>
          </w:p>
        </w:tc>
      </w:tr>
      <w:tr w:rsidR="00F3479B" w:rsidTr="00642E75">
        <w:trPr>
          <w:trHeight w:val="322"/>
        </w:trPr>
        <w:tc>
          <w:tcPr>
            <w:tcW w:w="1665" w:type="dxa"/>
            <w:vMerge/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252" w:type="dxa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Exposure period (Working days)</w:t>
            </w:r>
          </w:p>
        </w:tc>
        <w:tc>
          <w:tcPr>
            <w:tcW w:w="2088" w:type="dxa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562.1</w:t>
            </w:r>
            <w:r>
              <w:rPr>
                <w:color w:val="000000" w:themeColor="text1"/>
                <w:szCs w:val="21"/>
              </w:rPr>
              <w:t>±</w:t>
            </w:r>
            <w:r>
              <w:rPr>
                <w:rFonts w:hint="eastAsia"/>
                <w:color w:val="000000" w:themeColor="text1"/>
                <w:szCs w:val="21"/>
              </w:rPr>
              <w:t>101.2</w:t>
            </w:r>
          </w:p>
        </w:tc>
      </w:tr>
    </w:tbl>
    <w:p w:rsidR="00F3479B" w:rsidRDefault="00F3479B" w:rsidP="00F3479B">
      <w:pPr>
        <w:spacing w:line="360" w:lineRule="auto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 xml:space="preserve">*** </w:t>
      </w:r>
      <w:r>
        <w:rPr>
          <w:i/>
          <w:color w:val="000000" w:themeColor="text1"/>
          <w:sz w:val="22"/>
        </w:rPr>
        <w:t>p</w:t>
      </w:r>
      <w:r>
        <w:rPr>
          <w:color w:val="000000" w:themeColor="text1"/>
          <w:sz w:val="22"/>
        </w:rPr>
        <w:t>&lt; 0.0</w:t>
      </w:r>
      <w:r>
        <w:rPr>
          <w:rFonts w:hint="eastAsia"/>
          <w:color w:val="000000" w:themeColor="text1"/>
          <w:sz w:val="22"/>
        </w:rPr>
        <w:t>01 vs TCE contacts.</w:t>
      </w:r>
    </w:p>
    <w:p w:rsidR="00F3479B" w:rsidRDefault="00F3479B" w:rsidP="00F3479B">
      <w:pPr>
        <w:widowControl/>
        <w:spacing w:line="360" w:lineRule="auto"/>
        <w:jc w:val="left"/>
        <w:rPr>
          <w:color w:val="000000" w:themeColor="text1"/>
          <w:szCs w:val="21"/>
        </w:rPr>
      </w:pPr>
    </w:p>
    <w:p w:rsidR="00F3479B" w:rsidRDefault="00F3479B" w:rsidP="00F3479B">
      <w:pPr>
        <w:widowControl/>
        <w:spacing w:line="360" w:lineRule="auto"/>
        <w:jc w:val="left"/>
        <w:rPr>
          <w:color w:val="000000" w:themeColor="text1"/>
          <w:szCs w:val="21"/>
        </w:rPr>
        <w:sectPr w:rsidR="00F3479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F3479B" w:rsidRDefault="00F3479B" w:rsidP="00F3479B">
      <w:pPr>
        <w:spacing w:line="360" w:lineRule="auto"/>
        <w:jc w:val="center"/>
        <w:rPr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lastRenderedPageBreak/>
        <w:t>Table</w:t>
      </w:r>
      <w:r>
        <w:rPr>
          <w:rFonts w:hint="eastAsia"/>
          <w:b/>
          <w:bCs/>
          <w:color w:val="000000" w:themeColor="text1"/>
          <w:szCs w:val="21"/>
        </w:rPr>
        <w:t xml:space="preserve"> S2</w:t>
      </w:r>
      <w:r>
        <w:rPr>
          <w:color w:val="000000" w:themeColor="text1"/>
          <w:szCs w:val="21"/>
        </w:rPr>
        <w:t xml:space="preserve"> RNA yield and quality</w:t>
      </w:r>
      <w:r>
        <w:rPr>
          <w:rFonts w:hint="eastAsia"/>
          <w:color w:val="000000" w:themeColor="text1"/>
          <w:szCs w:val="21"/>
        </w:rPr>
        <w:t xml:space="preserve"> assessment in 10 serum samples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730"/>
        <w:gridCol w:w="730"/>
        <w:gridCol w:w="1301"/>
        <w:gridCol w:w="2564"/>
      </w:tblGrid>
      <w:tr w:rsidR="00F3479B" w:rsidTr="00642E75">
        <w:trPr>
          <w:jc w:val="center"/>
        </w:trPr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ample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OD</w:t>
            </w:r>
            <w:r>
              <w:rPr>
                <w:color w:val="000000" w:themeColor="text1"/>
                <w:kern w:val="0"/>
                <w:szCs w:val="21"/>
                <w:vertAlign w:val="subscript"/>
              </w:rPr>
              <w:t>260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OD</w:t>
            </w:r>
            <w:r>
              <w:rPr>
                <w:color w:val="000000" w:themeColor="text1"/>
                <w:kern w:val="0"/>
                <w:szCs w:val="21"/>
                <w:vertAlign w:val="subscript"/>
              </w:rPr>
              <w:t>280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OD</w:t>
            </w:r>
            <w:r>
              <w:rPr>
                <w:color w:val="000000" w:themeColor="text1"/>
                <w:kern w:val="0"/>
                <w:szCs w:val="21"/>
                <w:vertAlign w:val="subscript"/>
              </w:rPr>
              <w:t>260</w:t>
            </w:r>
            <w:r>
              <w:rPr>
                <w:color w:val="000000" w:themeColor="text1"/>
                <w:kern w:val="0"/>
                <w:szCs w:val="21"/>
              </w:rPr>
              <w:t>/OD</w:t>
            </w:r>
            <w:r>
              <w:rPr>
                <w:color w:val="000000" w:themeColor="text1"/>
                <w:kern w:val="0"/>
                <w:szCs w:val="21"/>
                <w:vertAlign w:val="subscript"/>
              </w:rPr>
              <w:t>280</w:t>
            </w:r>
          </w:p>
        </w:tc>
        <w:tc>
          <w:tcPr>
            <w:tcW w:w="2564" w:type="dxa"/>
            <w:tcBorders>
              <w:bottom w:val="single" w:sz="4" w:space="0" w:color="auto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RNA concentration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 xml:space="preserve"> (</w:t>
            </w:r>
            <w:r>
              <w:rPr>
                <w:color w:val="000000" w:themeColor="text1"/>
                <w:szCs w:val="21"/>
              </w:rPr>
              <w:t>μ</w:t>
            </w:r>
            <w:r>
              <w:rPr>
                <w:color w:val="000000" w:themeColor="text1"/>
                <w:kern w:val="0"/>
                <w:szCs w:val="21"/>
              </w:rPr>
              <w:t>g/</w:t>
            </w:r>
            <w:r>
              <w:rPr>
                <w:color w:val="000000" w:themeColor="text1"/>
                <w:szCs w:val="21"/>
              </w:rPr>
              <w:t>μL</w:t>
            </w:r>
            <w:r>
              <w:rPr>
                <w:rFonts w:hint="eastAsia"/>
                <w:color w:val="000000" w:themeColor="text1"/>
                <w:szCs w:val="21"/>
              </w:rPr>
              <w:t>)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Patient 1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1.2</w:t>
            </w: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0.7</w:t>
            </w:r>
          </w:p>
        </w:tc>
        <w:tc>
          <w:tcPr>
            <w:tcW w:w="1301" w:type="dxa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</w:t>
            </w: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2564" w:type="dxa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48.</w:t>
            </w:r>
            <w:r>
              <w:rPr>
                <w:rFonts w:hint="eastAsia"/>
                <w:color w:val="000000" w:themeColor="text1"/>
                <w:szCs w:val="21"/>
              </w:rPr>
              <w:t>8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Patient 2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1.0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0.6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1.6</w:t>
            </w:r>
          </w:p>
        </w:tc>
        <w:tc>
          <w:tcPr>
            <w:tcW w:w="2564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41.</w:t>
            </w: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Patient 3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</w:t>
            </w:r>
            <w:r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0.</w:t>
            </w:r>
            <w:r>
              <w:rPr>
                <w:rFonts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1.4</w:t>
            </w:r>
          </w:p>
        </w:tc>
        <w:tc>
          <w:tcPr>
            <w:tcW w:w="2564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43.</w:t>
            </w:r>
            <w:r>
              <w:rPr>
                <w:rFonts w:hint="eastAsia"/>
                <w:color w:val="000000" w:themeColor="text1"/>
                <w:szCs w:val="21"/>
              </w:rPr>
              <w:t>1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Patient 4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0.8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0.</w:t>
            </w:r>
            <w:r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1.6</w:t>
            </w:r>
          </w:p>
        </w:tc>
        <w:tc>
          <w:tcPr>
            <w:tcW w:w="2564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32.</w:t>
            </w:r>
            <w:r>
              <w:rPr>
                <w:rFonts w:hint="eastAsia"/>
                <w:color w:val="000000" w:themeColor="text1"/>
                <w:szCs w:val="21"/>
              </w:rPr>
              <w:t>2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Patient 5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1.0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0.6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</w:t>
            </w: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2564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40.</w:t>
            </w:r>
            <w:r>
              <w:rPr>
                <w:rFonts w:hint="eastAsia"/>
                <w:color w:val="000000" w:themeColor="text1"/>
                <w:szCs w:val="21"/>
              </w:rPr>
              <w:t>8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TCE contact 1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</w:t>
            </w: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0.9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</w:t>
            </w: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2564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62.1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TCE contact 2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</w:t>
            </w: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1.0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1.6</w:t>
            </w:r>
          </w:p>
        </w:tc>
        <w:tc>
          <w:tcPr>
            <w:tcW w:w="2564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62.</w:t>
            </w:r>
            <w:r>
              <w:rPr>
                <w:rFonts w:hint="eastAsia"/>
                <w:color w:val="000000" w:themeColor="text1"/>
                <w:szCs w:val="21"/>
              </w:rPr>
              <w:t>8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TCE contact 3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1.5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1.0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1.5</w:t>
            </w:r>
          </w:p>
        </w:tc>
        <w:tc>
          <w:tcPr>
            <w:tcW w:w="2564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60.3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TCE contact 4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</w:t>
            </w: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730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0.9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</w:t>
            </w: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2564" w:type="dxa"/>
            <w:tcBorders>
              <w:top w:val="nil"/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61.8</w:t>
            </w:r>
          </w:p>
        </w:tc>
      </w:tr>
      <w:tr w:rsidR="00F3479B" w:rsidTr="00642E75">
        <w:trPr>
          <w:jc w:val="center"/>
        </w:trPr>
        <w:tc>
          <w:tcPr>
            <w:tcW w:w="1429" w:type="dxa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TCE contact 5</w:t>
            </w:r>
          </w:p>
        </w:tc>
        <w:tc>
          <w:tcPr>
            <w:tcW w:w="730" w:type="dxa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1.4</w:t>
            </w:r>
          </w:p>
        </w:tc>
        <w:tc>
          <w:tcPr>
            <w:tcW w:w="730" w:type="dxa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0.8</w:t>
            </w:r>
          </w:p>
        </w:tc>
        <w:tc>
          <w:tcPr>
            <w:tcW w:w="1301" w:type="dxa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1.7</w:t>
            </w:r>
          </w:p>
        </w:tc>
        <w:tc>
          <w:tcPr>
            <w:tcW w:w="2564" w:type="dxa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57.4</w:t>
            </w:r>
          </w:p>
        </w:tc>
      </w:tr>
    </w:tbl>
    <w:p w:rsidR="00F3479B" w:rsidRDefault="00F3479B" w:rsidP="00F3479B">
      <w:pPr>
        <w:widowControl/>
        <w:spacing w:line="360" w:lineRule="auto"/>
        <w:jc w:val="left"/>
        <w:rPr>
          <w:color w:val="000000" w:themeColor="text1"/>
          <w:szCs w:val="21"/>
        </w:rPr>
      </w:pPr>
    </w:p>
    <w:p w:rsidR="00F3479B" w:rsidRDefault="00F3479B" w:rsidP="00F3479B">
      <w:pPr>
        <w:widowControl/>
        <w:spacing w:line="360" w:lineRule="auto"/>
        <w:jc w:val="left"/>
        <w:rPr>
          <w:color w:val="000000" w:themeColor="text1"/>
          <w:szCs w:val="21"/>
        </w:rPr>
        <w:sectPr w:rsidR="00F3479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F3479B" w:rsidRDefault="00F3479B" w:rsidP="00F3479B">
      <w:pPr>
        <w:spacing w:line="360" w:lineRule="auto"/>
        <w:jc w:val="center"/>
        <w:rPr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lastRenderedPageBreak/>
        <w:t>Table</w:t>
      </w:r>
      <w:r>
        <w:rPr>
          <w:rFonts w:hint="eastAsia"/>
          <w:b/>
          <w:bCs/>
          <w:color w:val="000000" w:themeColor="text1"/>
          <w:szCs w:val="21"/>
        </w:rPr>
        <w:t xml:space="preserve"> S3</w:t>
      </w:r>
      <w:r>
        <w:rPr>
          <w:color w:val="000000" w:themeColor="text1"/>
          <w:szCs w:val="21"/>
        </w:rPr>
        <w:t xml:space="preserve"> The clinical characteristics of </w:t>
      </w:r>
      <w:r>
        <w:rPr>
          <w:rFonts w:hint="eastAsia"/>
          <w:color w:val="000000" w:themeColor="text1"/>
          <w:szCs w:val="21"/>
        </w:rPr>
        <w:t>39</w:t>
      </w:r>
      <w:r>
        <w:rPr>
          <w:color w:val="000000" w:themeColor="text1"/>
          <w:szCs w:val="21"/>
        </w:rPr>
        <w:t xml:space="preserve"> </w:t>
      </w:r>
      <w:r>
        <w:rPr>
          <w:rFonts w:hint="eastAsia"/>
          <w:color w:val="000000" w:themeColor="text1"/>
          <w:szCs w:val="21"/>
        </w:rPr>
        <w:t>THS</w:t>
      </w:r>
      <w:r>
        <w:rPr>
          <w:color w:val="000000" w:themeColor="text1"/>
          <w:szCs w:val="21"/>
        </w:rPr>
        <w:t xml:space="preserve"> patients</w:t>
      </w:r>
    </w:p>
    <w:tbl>
      <w:tblPr>
        <w:tblW w:w="0" w:type="auto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628"/>
        <w:gridCol w:w="1067"/>
        <w:gridCol w:w="2412"/>
        <w:gridCol w:w="1145"/>
        <w:gridCol w:w="1356"/>
        <w:gridCol w:w="690"/>
      </w:tblGrid>
      <w:tr w:rsidR="00F3479B" w:rsidTr="00642E75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Symptoms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Headache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Appetite decrease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Fatigue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Vomiting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Fever</w:t>
            </w:r>
          </w:p>
        </w:tc>
      </w:tr>
      <w:tr w:rsidR="00F3479B" w:rsidTr="00642E75">
        <w:trPr>
          <w:jc w:val="center"/>
        </w:trPr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Positive patients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33</w:t>
            </w:r>
          </w:p>
        </w:tc>
      </w:tr>
      <w:tr w:rsidR="00F3479B" w:rsidTr="00642E75">
        <w:trPr>
          <w:jc w:val="center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Positive rate (%)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3</w:t>
            </w: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0.8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widowControl/>
              <w:spacing w:line="480" w:lineRule="auto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79.5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3</w:t>
            </w: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8.5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2</w:t>
            </w: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5.6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8</w:t>
            </w: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4.6</w:t>
            </w:r>
          </w:p>
        </w:tc>
      </w:tr>
      <w:tr w:rsidR="00F3479B" w:rsidTr="00642E75">
        <w:trPr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signs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Rash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widowControl/>
              <w:spacing w:line="480" w:lineRule="auto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Lymph node enlargement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szCs w:val="21"/>
              </w:rPr>
              <w:t>Eyes lesion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Liver damage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</w:p>
        </w:tc>
      </w:tr>
      <w:tr w:rsidR="00F3479B" w:rsidTr="00642E75">
        <w:trPr>
          <w:jc w:val="center"/>
        </w:trPr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Positive patients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widowControl/>
              <w:spacing w:line="480" w:lineRule="auto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</w:p>
        </w:tc>
      </w:tr>
      <w:tr w:rsidR="00F3479B" w:rsidTr="00642E75">
        <w:trPr>
          <w:jc w:val="center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Positive rate (%)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/>
                <w:color w:val="000000" w:themeColor="text1"/>
                <w:kern w:val="0"/>
                <w:szCs w:val="21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widowControl/>
              <w:spacing w:line="480" w:lineRule="auto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61.5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56.4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  <w:r>
              <w:rPr>
                <w:rFonts w:eastAsia="Univers-Bold" w:hint="eastAsia"/>
                <w:color w:val="000000" w:themeColor="text1"/>
                <w:kern w:val="0"/>
                <w:szCs w:val="21"/>
              </w:rPr>
              <w:t>82.1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480" w:lineRule="auto"/>
              <w:jc w:val="center"/>
              <w:rPr>
                <w:rFonts w:eastAsia="Univers-Bold"/>
                <w:color w:val="000000" w:themeColor="text1"/>
                <w:kern w:val="0"/>
                <w:szCs w:val="21"/>
              </w:rPr>
            </w:pPr>
          </w:p>
        </w:tc>
      </w:tr>
    </w:tbl>
    <w:p w:rsidR="00F3479B" w:rsidRDefault="00F3479B" w:rsidP="00F3479B">
      <w:pPr>
        <w:widowControl/>
        <w:spacing w:line="360" w:lineRule="auto"/>
        <w:jc w:val="left"/>
        <w:rPr>
          <w:color w:val="000000" w:themeColor="text1"/>
          <w:szCs w:val="21"/>
        </w:rPr>
      </w:pPr>
    </w:p>
    <w:p w:rsidR="00F3479B" w:rsidRDefault="00F3479B" w:rsidP="00F3479B">
      <w:pPr>
        <w:widowControl/>
        <w:spacing w:line="360" w:lineRule="auto"/>
        <w:jc w:val="left"/>
        <w:rPr>
          <w:color w:val="000000" w:themeColor="text1"/>
          <w:szCs w:val="21"/>
        </w:rPr>
        <w:sectPr w:rsidR="00F3479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F3479B" w:rsidRDefault="00F3479B" w:rsidP="00F3479B">
      <w:pPr>
        <w:widowControl/>
        <w:spacing w:line="360" w:lineRule="auto"/>
        <w:jc w:val="center"/>
        <w:rPr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lastRenderedPageBreak/>
        <w:t xml:space="preserve">Table </w:t>
      </w:r>
      <w:r>
        <w:rPr>
          <w:rFonts w:hint="eastAsia"/>
          <w:b/>
          <w:bCs/>
          <w:color w:val="000000" w:themeColor="text1"/>
          <w:szCs w:val="21"/>
        </w:rPr>
        <w:t>S4</w:t>
      </w:r>
      <w:r>
        <w:rPr>
          <w:color w:val="000000" w:themeColor="text1"/>
          <w:szCs w:val="21"/>
        </w:rPr>
        <w:t xml:space="preserve"> 69</w:t>
      </w:r>
      <w:r>
        <w:rPr>
          <w:rFonts w:hint="eastAsia"/>
          <w:color w:val="000000" w:themeColor="text1"/>
          <w:szCs w:val="21"/>
        </w:rPr>
        <w:t xml:space="preserve"> differentially expressed </w:t>
      </w:r>
      <w:r>
        <w:rPr>
          <w:color w:val="000000" w:themeColor="text1"/>
          <w:szCs w:val="21"/>
        </w:rPr>
        <w:t>miRNAs</w:t>
      </w:r>
      <w:r>
        <w:rPr>
          <w:rFonts w:hint="eastAsia"/>
          <w:color w:val="000000" w:themeColor="text1"/>
          <w:szCs w:val="21"/>
        </w:rPr>
        <w:t xml:space="preserve"> between THS</w:t>
      </w:r>
      <w:r>
        <w:rPr>
          <w:color w:val="000000" w:themeColor="text1"/>
          <w:szCs w:val="21"/>
        </w:rPr>
        <w:t xml:space="preserve"> patients and TCE contacts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0"/>
        <w:gridCol w:w="2300"/>
        <w:gridCol w:w="3080"/>
      </w:tblGrid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miRNAs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i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i/>
                <w:color w:val="000000" w:themeColor="text1"/>
                <w:kern w:val="0"/>
                <w:szCs w:val="21"/>
              </w:rPr>
              <w:t>p</w:t>
            </w:r>
          </w:p>
        </w:tc>
        <w:tc>
          <w:tcPr>
            <w:tcW w:w="308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 xml:space="preserve">Change </w:t>
            </w:r>
            <w:r>
              <w:rPr>
                <w:bCs/>
                <w:color w:val="000000" w:themeColor="text1"/>
                <w:kern w:val="0"/>
                <w:szCs w:val="21"/>
              </w:rPr>
              <w:t>Fold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s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7940" w:type="dxa"/>
            <w:gridSpan w:val="3"/>
            <w:tcBorders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Up-regulated miRNAs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has-miR-885-5p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12.86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has-miR-193a-5p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8.72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has-miR-203a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7.71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has-miR-34a-5p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color w:val="000000" w:themeColor="text1"/>
                <w:szCs w:val="21"/>
              </w:rPr>
              <w:t>§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7.46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has-miR-193b-3p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color w:val="000000" w:themeColor="text1"/>
                <w:szCs w:val="21"/>
              </w:rPr>
              <w:t>§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6.90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has-miR-665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5.77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has-miR-21-5p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color w:val="000000" w:themeColor="text1"/>
                <w:szCs w:val="21"/>
              </w:rPr>
              <w:t>§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5.47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has-miR-181b-5p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5.33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has-miR-222-3p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4.67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U6 snRNA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4.61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has-miR-99a-5p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4.41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has-miR-505-3p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4.26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has-miR-452-5p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4.24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mmu-miR-378a-3p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4.13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has-miR-210-3p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3.75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has-miR-627-5p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3.57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has-miR-629-5p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3.54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has-miR-148a-3p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3.31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has-miR-10b-5p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3.18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has-miR-29a-3p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3.12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has-miR-149-5p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2.97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has-miR-320a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2.87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has-miR-10a-5p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color w:val="000000" w:themeColor="text1"/>
                <w:szCs w:val="21"/>
              </w:rPr>
              <w:t>§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2.81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SNORD38B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2.76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has-miR-660-5p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2.71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has-miR-874-3p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2.71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has-miR-22-5p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2.63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has-miR-497-5p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2.58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has-miR-345-5p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2.54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has-miR-132-3p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2.46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has-miR-421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2.45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has-miR-186-5p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2.30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has-miR-425-3p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2.25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lastRenderedPageBreak/>
              <w:t>has-miR-423-5p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2.02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has-let-7d-3p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1.89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has-miR-143-3p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1.72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has-miR-29b-2-5p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1.69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has-miR-590-5p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1.64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has-miR-361-5p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1.61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7940" w:type="dxa"/>
            <w:gridSpan w:val="3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Down-regulated miRNAs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hsa-miR-106b-5p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-1.28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hsa-miR-151a-5p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-1.47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hsa-let-7g-5p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-1.53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hsa-miR-142-5p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-1.60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hsa-miR-93-5p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-1.72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hsa-miR-17-5p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-1.73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hsa-miR-18a-5p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-1.81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hsa-miR-18b-5p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-1.86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hsa-miR-20a-5p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-1.89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hsa-miR-106a-5p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-1.97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hsa-miR-339-5p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color w:val="000000" w:themeColor="text1"/>
                <w:szCs w:val="21"/>
              </w:rPr>
              <w:t>§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-2.04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hsa-miR-431-5p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-2.08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hsa-miR-98-5p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-2.12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hsa-miR-144-3p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0.02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-2.52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hsa-miR-377-3p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-2.71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hsa-miR-301a-3p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-2.77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-2.86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hsa-miR-337-3p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0.04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-2.88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hsa-miR-199a-5p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-3.14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hsa-miR-301b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-3.61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hsa-miR-382-5p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-3.71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hsa-miR-432-5p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0.03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-3.90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hsa-miR-495-3p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-4.05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hsa-miR-376b-3p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-4.08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hsa-miR-376c-3p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-4.15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hsa-miR-329-3p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-4.65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hsa-miR-409-3p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-5.09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hsa-miR-487b-3p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-6.25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t>hsa-miR-136-5p</w:t>
            </w:r>
          </w:p>
        </w:tc>
        <w:tc>
          <w:tcPr>
            <w:tcW w:w="230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0.00</w:t>
            </w: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-9.09</w:t>
            </w:r>
          </w:p>
        </w:tc>
      </w:tr>
      <w:tr w:rsidR="00F3479B" w:rsidTr="00642E75">
        <w:trPr>
          <w:trHeight w:val="270"/>
          <w:jc w:val="center"/>
        </w:trPr>
        <w:tc>
          <w:tcPr>
            <w:tcW w:w="2560" w:type="dxa"/>
            <w:tcBorders>
              <w:top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color w:val="000000" w:themeColor="text1"/>
                <w:kern w:val="0"/>
                <w:szCs w:val="21"/>
              </w:rPr>
              <w:lastRenderedPageBreak/>
              <w:t>hsa-miR-485-3p</w:t>
            </w:r>
          </w:p>
        </w:tc>
        <w:tc>
          <w:tcPr>
            <w:tcW w:w="2300" w:type="dxa"/>
            <w:tcBorders>
              <w:top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0.0</w:t>
            </w:r>
            <w:r>
              <w:rPr>
                <w:rFonts w:hint="eastAsia"/>
                <w:bCs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080" w:type="dxa"/>
            <w:tcBorders>
              <w:top w:val="nil"/>
            </w:tcBorders>
            <w:shd w:val="clear" w:color="000000" w:fill="FFFFFF"/>
            <w:vAlign w:val="center"/>
          </w:tcPr>
          <w:p w:rsidR="00F3479B" w:rsidRDefault="00F3479B" w:rsidP="00642E75">
            <w:pPr>
              <w:widowControl/>
              <w:spacing w:line="360" w:lineRule="auto"/>
              <w:jc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-12.22</w:t>
            </w:r>
          </w:p>
        </w:tc>
      </w:tr>
    </w:tbl>
    <w:p w:rsidR="00F3479B" w:rsidRDefault="00F3479B" w:rsidP="00F3479B">
      <w:pPr>
        <w:spacing w:line="360" w:lineRule="auto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§</w:t>
      </w:r>
      <w:r>
        <w:rPr>
          <w:rFonts w:hint="eastAsia"/>
          <w:color w:val="000000" w:themeColor="text1"/>
          <w:szCs w:val="21"/>
        </w:rPr>
        <w:t xml:space="preserve"> These miRNAs were selected for larger sample </w:t>
      </w:r>
      <w:r>
        <w:rPr>
          <w:color w:val="000000" w:themeColor="text1"/>
          <w:szCs w:val="21"/>
        </w:rPr>
        <w:t>validation</w:t>
      </w:r>
      <w:r>
        <w:rPr>
          <w:rFonts w:hint="eastAsia"/>
          <w:color w:val="000000" w:themeColor="text1"/>
          <w:szCs w:val="21"/>
        </w:rPr>
        <w:t>.</w:t>
      </w:r>
    </w:p>
    <w:p w:rsidR="00F3479B" w:rsidRDefault="00F3479B" w:rsidP="00F3479B">
      <w:pPr>
        <w:spacing w:line="360" w:lineRule="auto"/>
        <w:rPr>
          <w:color w:val="000000" w:themeColor="text1"/>
          <w:szCs w:val="21"/>
        </w:rPr>
      </w:pPr>
    </w:p>
    <w:p w:rsidR="00F3479B" w:rsidRDefault="00F3479B" w:rsidP="00F3479B">
      <w:pPr>
        <w:spacing w:line="360" w:lineRule="auto"/>
        <w:rPr>
          <w:color w:val="000000" w:themeColor="text1"/>
          <w:szCs w:val="21"/>
        </w:rPr>
      </w:pPr>
    </w:p>
    <w:p w:rsidR="00F3479B" w:rsidRDefault="00F3479B" w:rsidP="00F3479B">
      <w:pPr>
        <w:spacing w:line="360" w:lineRule="auto"/>
        <w:rPr>
          <w:b/>
          <w:color w:val="000000" w:themeColor="text1"/>
          <w:sz w:val="22"/>
        </w:rPr>
        <w:sectPr w:rsidR="00F3479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F3479B" w:rsidRDefault="00F3479B" w:rsidP="00F3479B">
      <w:pPr>
        <w:spacing w:line="360" w:lineRule="auto"/>
        <w:rPr>
          <w:bCs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lastRenderedPageBreak/>
        <w:t>Table S5</w:t>
      </w:r>
      <w:r>
        <w:rPr>
          <w:rFonts w:hint="eastAsia"/>
          <w:bCs/>
          <w:color w:val="000000" w:themeColor="text1"/>
          <w:szCs w:val="21"/>
        </w:rPr>
        <w:t xml:space="preserve"> Liver functions of </w:t>
      </w:r>
      <w:r>
        <w:rPr>
          <w:rFonts w:hint="eastAsia"/>
          <w:color w:val="000000" w:themeColor="text1"/>
          <w:szCs w:val="21"/>
        </w:rPr>
        <w:t>THS</w:t>
      </w:r>
      <w:r>
        <w:rPr>
          <w:bCs/>
          <w:color w:val="000000" w:themeColor="text1"/>
          <w:szCs w:val="21"/>
        </w:rPr>
        <w:t xml:space="preserve"> patients and TCE contacts</w:t>
      </w:r>
      <w:r>
        <w:rPr>
          <w:rFonts w:hint="eastAsia"/>
          <w:bCs/>
          <w:color w:val="000000" w:themeColor="text1"/>
          <w:szCs w:val="21"/>
        </w:rPr>
        <w:t xml:space="preserve"> (</w:t>
      </w:r>
      <w:r>
        <w:rPr>
          <w:rFonts w:hint="eastAsia"/>
          <w:bCs/>
          <w:color w:val="000000" w:themeColor="text1"/>
          <w:position w:val="-4"/>
          <w:szCs w:val="21"/>
        </w:rPr>
        <w:object w:dxaOrig="279" w:dyaOrig="320">
          <v:shape id="_x0000_i1026" type="#_x0000_t75" style="width:14.5pt;height:15.45pt" o:ole="">
            <v:imagedata r:id="rId7" o:title=""/>
          </v:shape>
          <o:OLEObject Type="Embed" ProgID="Equation.3" ShapeID="_x0000_i1026" DrawAspect="Content" ObjectID="_1681691966" r:id="rId9"/>
        </w:object>
      </w:r>
      <w:r>
        <w:rPr>
          <w:bCs/>
          <w:color w:val="000000" w:themeColor="text1"/>
          <w:szCs w:val="21"/>
        </w:rPr>
        <w:t>±</w:t>
      </w:r>
      <w:r>
        <w:rPr>
          <w:rFonts w:hint="eastAsia"/>
          <w:bCs/>
          <w:color w:val="000000" w:themeColor="text1"/>
          <w:szCs w:val="21"/>
        </w:rPr>
        <w:t>SEM)</w:t>
      </w: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90"/>
        <w:gridCol w:w="785"/>
        <w:gridCol w:w="786"/>
        <w:gridCol w:w="854"/>
        <w:gridCol w:w="854"/>
        <w:gridCol w:w="854"/>
        <w:gridCol w:w="854"/>
        <w:gridCol w:w="992"/>
        <w:gridCol w:w="992"/>
        <w:gridCol w:w="992"/>
        <w:gridCol w:w="923"/>
      </w:tblGrid>
      <w:tr w:rsidR="00F3479B" w:rsidTr="00642E75"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Groups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TP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ALB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GLB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TBIL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DBIL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IBILI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ALT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AST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GGT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b/>
                <w:color w:val="000000" w:themeColor="text1"/>
                <w:kern w:val="0"/>
                <w:szCs w:val="21"/>
              </w:rPr>
            </w:pPr>
            <w:r>
              <w:rPr>
                <w:rFonts w:eastAsia="MingLiU"/>
                <w:color w:val="000000" w:themeColor="text1"/>
                <w:kern w:val="0"/>
                <w:szCs w:val="21"/>
              </w:rPr>
              <w:t>ALP</w:t>
            </w:r>
          </w:p>
        </w:tc>
      </w:tr>
      <w:tr w:rsidR="00F3479B" w:rsidTr="00642E75"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THS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59.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±8.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 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±4.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8 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29.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±21.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 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45.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±59.7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 xml:space="preserve"> 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±31.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 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20.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±28.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 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385.4±401.9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 xml:space="preserve"> 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183.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8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±349.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 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186.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±152.5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 xml:space="preserve"> *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157.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±93.3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 xml:space="preserve"> *</w:t>
            </w:r>
          </w:p>
        </w:tc>
      </w:tr>
      <w:tr w:rsidR="00F3479B" w:rsidTr="00642E75"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spacing w:line="360" w:lineRule="auto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Control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±4.2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44.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±3.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29.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±6.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9.5±2.3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4.3±1.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5.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±1.9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18.7±10.7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19.2±4.7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21.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±10.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3479B" w:rsidRDefault="00F3479B" w:rsidP="00642E75">
            <w:pPr>
              <w:autoSpaceDE w:val="0"/>
              <w:autoSpaceDN w:val="0"/>
              <w:spacing w:line="360" w:lineRule="auto"/>
              <w:ind w:left="60" w:right="60"/>
              <w:jc w:val="center"/>
              <w:rPr>
                <w:rFonts w:eastAsia="MingLiU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93.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eastAsia="MingLiU"/>
                <w:color w:val="000000" w:themeColor="text1"/>
                <w:kern w:val="0"/>
                <w:sz w:val="18"/>
                <w:szCs w:val="18"/>
              </w:rPr>
              <w:t>±53.8</w:t>
            </w:r>
          </w:p>
        </w:tc>
      </w:tr>
    </w:tbl>
    <w:p w:rsidR="00F3479B" w:rsidRDefault="00F3479B" w:rsidP="00F3479B">
      <w:pPr>
        <w:spacing w:line="360" w:lineRule="auto"/>
        <w:jc w:val="left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 xml:space="preserve">* </w:t>
      </w:r>
      <w:r>
        <w:rPr>
          <w:i/>
          <w:color w:val="000000" w:themeColor="text1"/>
          <w:sz w:val="22"/>
        </w:rPr>
        <w:t>p</w:t>
      </w:r>
      <w:r>
        <w:rPr>
          <w:color w:val="000000" w:themeColor="text1"/>
          <w:sz w:val="22"/>
        </w:rPr>
        <w:t>&lt; 0.05</w:t>
      </w:r>
      <w:r>
        <w:rPr>
          <w:rFonts w:hint="eastAsia"/>
          <w:color w:val="000000" w:themeColor="text1"/>
          <w:sz w:val="22"/>
        </w:rPr>
        <w:t xml:space="preserve"> vs TCE contacts. TP, total protein; ALB, </w:t>
      </w:r>
      <w:r>
        <w:rPr>
          <w:color w:val="000000" w:themeColor="text1"/>
          <w:sz w:val="22"/>
        </w:rPr>
        <w:t>albumin</w:t>
      </w:r>
      <w:r>
        <w:rPr>
          <w:rFonts w:hint="eastAsia"/>
          <w:color w:val="000000" w:themeColor="text1"/>
          <w:sz w:val="22"/>
        </w:rPr>
        <w:t>;</w:t>
      </w:r>
      <w:r>
        <w:rPr>
          <w:color w:val="000000" w:themeColor="text1"/>
          <w:sz w:val="22"/>
        </w:rPr>
        <w:t xml:space="preserve"> </w:t>
      </w:r>
      <w:r>
        <w:rPr>
          <w:rFonts w:hint="eastAsia"/>
          <w:color w:val="000000" w:themeColor="text1"/>
          <w:sz w:val="22"/>
        </w:rPr>
        <w:t>GLB,</w:t>
      </w:r>
      <w:r>
        <w:rPr>
          <w:color w:val="000000" w:themeColor="text1"/>
          <w:sz w:val="22"/>
        </w:rPr>
        <w:t xml:space="preserve"> globulin</w:t>
      </w:r>
      <w:r>
        <w:rPr>
          <w:rFonts w:hint="eastAsia"/>
          <w:color w:val="000000" w:themeColor="text1"/>
          <w:sz w:val="22"/>
        </w:rPr>
        <w:t>; TBIL, t</w:t>
      </w:r>
      <w:r>
        <w:rPr>
          <w:color w:val="000000" w:themeColor="text1"/>
          <w:sz w:val="22"/>
        </w:rPr>
        <w:t>otal bilirubin</w:t>
      </w:r>
      <w:r>
        <w:rPr>
          <w:rFonts w:hint="eastAsia"/>
          <w:color w:val="000000" w:themeColor="text1"/>
          <w:sz w:val="22"/>
        </w:rPr>
        <w:t>; DBIL, d</w:t>
      </w:r>
      <w:r>
        <w:rPr>
          <w:color w:val="000000" w:themeColor="text1"/>
          <w:sz w:val="22"/>
        </w:rPr>
        <w:t>irect bilirubin</w:t>
      </w:r>
      <w:r>
        <w:rPr>
          <w:rFonts w:hint="eastAsia"/>
          <w:color w:val="000000" w:themeColor="text1"/>
          <w:sz w:val="22"/>
        </w:rPr>
        <w:t>; IBIL, i</w:t>
      </w:r>
      <w:r>
        <w:rPr>
          <w:color w:val="000000" w:themeColor="text1"/>
          <w:sz w:val="22"/>
        </w:rPr>
        <w:t>ndirect bilirubin</w:t>
      </w:r>
      <w:r>
        <w:rPr>
          <w:rFonts w:hint="eastAsia"/>
          <w:color w:val="000000" w:themeColor="text1"/>
          <w:sz w:val="22"/>
        </w:rPr>
        <w:t>; ALT, a</w:t>
      </w:r>
      <w:r>
        <w:rPr>
          <w:color w:val="000000" w:themeColor="text1"/>
          <w:sz w:val="22"/>
        </w:rPr>
        <w:t>lanine aminotransferase</w:t>
      </w:r>
      <w:r>
        <w:rPr>
          <w:rFonts w:hint="eastAsia"/>
          <w:color w:val="000000" w:themeColor="text1"/>
          <w:sz w:val="22"/>
        </w:rPr>
        <w:t>; AST, a</w:t>
      </w:r>
      <w:r>
        <w:rPr>
          <w:color w:val="000000" w:themeColor="text1"/>
          <w:sz w:val="22"/>
        </w:rPr>
        <w:t>spartate aminotransferase</w:t>
      </w:r>
      <w:r>
        <w:rPr>
          <w:rFonts w:hint="eastAsia"/>
          <w:color w:val="000000" w:themeColor="text1"/>
          <w:sz w:val="22"/>
        </w:rPr>
        <w:t>; GGT, g</w:t>
      </w:r>
      <w:r>
        <w:rPr>
          <w:color w:val="000000" w:themeColor="text1"/>
          <w:sz w:val="22"/>
        </w:rPr>
        <w:t xml:space="preserve">lutamyl </w:t>
      </w:r>
      <w:r>
        <w:rPr>
          <w:color w:val="000000" w:themeColor="text1"/>
          <w:sz w:val="22"/>
          <w:szCs w:val="21"/>
        </w:rPr>
        <w:t>transpeptidase</w:t>
      </w:r>
      <w:r>
        <w:rPr>
          <w:rFonts w:hint="eastAsia"/>
          <w:color w:val="000000" w:themeColor="text1"/>
          <w:sz w:val="22"/>
        </w:rPr>
        <w:t>; ALP, a</w:t>
      </w:r>
      <w:r>
        <w:rPr>
          <w:color w:val="000000" w:themeColor="text1"/>
          <w:sz w:val="22"/>
        </w:rPr>
        <w:t>lkaline phosphatase</w:t>
      </w:r>
      <w:r>
        <w:rPr>
          <w:rFonts w:hint="eastAsia"/>
          <w:color w:val="000000" w:themeColor="text1"/>
          <w:sz w:val="22"/>
        </w:rPr>
        <w:t>.</w:t>
      </w:r>
    </w:p>
    <w:p w:rsidR="00F3479B" w:rsidRDefault="00F3479B" w:rsidP="00F3479B">
      <w:pPr>
        <w:autoSpaceDE w:val="0"/>
        <w:autoSpaceDN w:val="0"/>
        <w:spacing w:line="360" w:lineRule="auto"/>
        <w:rPr>
          <w:color w:val="000000" w:themeColor="text1"/>
          <w:kern w:val="0"/>
          <w:sz w:val="22"/>
        </w:rPr>
      </w:pPr>
    </w:p>
    <w:p w:rsidR="00F3479B" w:rsidRDefault="00F3479B" w:rsidP="00F3479B">
      <w:pPr>
        <w:spacing w:line="360" w:lineRule="auto"/>
        <w:rPr>
          <w:color w:val="000000" w:themeColor="text1"/>
          <w:sz w:val="22"/>
        </w:rPr>
      </w:pPr>
    </w:p>
    <w:p w:rsidR="00F3479B" w:rsidRDefault="00F3479B" w:rsidP="00F3479B"/>
    <w:p w:rsidR="00F3479B" w:rsidRDefault="00F3479B">
      <w:bookmarkStart w:id="0" w:name="_GoBack"/>
      <w:bookmarkEnd w:id="0"/>
    </w:p>
    <w:sectPr w:rsidR="00F34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Bold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9B"/>
    <w:rsid w:val="00EA40B9"/>
    <w:rsid w:val="00F3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79B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4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79B"/>
    <w:rPr>
      <w:rFonts w:ascii="Tahoma" w:eastAsia="SimSun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79B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4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79B"/>
    <w:rPr>
      <w:rFonts w:ascii="Tahoma" w:eastAsia="SimSu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750</Words>
  <Characters>4182</Characters>
  <Application>Microsoft Office Word</Application>
  <DocSecurity>0</DocSecurity>
  <Lines>123</Lines>
  <Paragraphs>80</Paragraphs>
  <ScaleCrop>false</ScaleCrop>
  <Company/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2021-05-04T19:51:00Z</dcterms:created>
  <dcterms:modified xsi:type="dcterms:W3CDTF">2021-05-04T19:52:00Z</dcterms:modified>
</cp:coreProperties>
</file>