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D96" w:rsidRPr="00BF5C76" w:rsidRDefault="00C53D96" w:rsidP="00C53D96">
      <w:pPr>
        <w:spacing w:line="480" w:lineRule="auto"/>
        <w:rPr>
          <w:b/>
          <w:bCs/>
          <w:lang w:bidi="he-IL"/>
        </w:rPr>
      </w:pPr>
      <w:proofErr w:type="gramStart"/>
      <w:r w:rsidRPr="00BF5C76">
        <w:rPr>
          <w:b/>
          <w:bCs/>
          <w:lang w:bidi="he-IL"/>
        </w:rPr>
        <w:t>Supplemental material 1.</w:t>
      </w:r>
      <w:proofErr w:type="gramEnd"/>
      <w:r w:rsidRPr="00BF5C76">
        <w:rPr>
          <w:b/>
          <w:bCs/>
          <w:lang w:bidi="he-IL"/>
        </w:rPr>
        <w:t xml:space="preserve"> Considering confounding</w:t>
      </w:r>
    </w:p>
    <w:p w:rsidR="00C53D96" w:rsidRPr="00BF5C76" w:rsidRDefault="00C53D96" w:rsidP="00C53D96">
      <w:pPr>
        <w:keepNext/>
        <w:keepLines/>
        <w:spacing w:before="40" w:line="480" w:lineRule="auto"/>
        <w:outlineLvl w:val="2"/>
        <w:rPr>
          <w:u w:val="single"/>
        </w:rPr>
      </w:pPr>
      <w:r w:rsidRPr="00BF5C76">
        <w:rPr>
          <w:rFonts w:eastAsiaTheme="majorEastAsia"/>
          <w:smallCaps/>
          <w:color w:val="5A5A5A" w:themeColor="text1" w:themeTint="A5"/>
          <w:u w:val="single"/>
        </w:rPr>
        <w:t>Gender</w:t>
      </w:r>
    </w:p>
    <w:p w:rsidR="00C53D96" w:rsidRPr="00BF5C76" w:rsidRDefault="00C53D96" w:rsidP="00C53D96">
      <w:pPr>
        <w:spacing w:line="480" w:lineRule="auto"/>
      </w:pPr>
      <w:r w:rsidRPr="00BF5C76">
        <w:rPr>
          <w:lang w:bidi="he-IL"/>
        </w:rPr>
        <w:t>Based on the published literature, there is an association between gender and cognitive function. For instance, a study which examined gender differences in the relation of hypertension to cognitive function in older adults, found significant main effects of gender for Visual Memory Span-Tapping Forward (F = 6.17, p &lt; 0.02) and Visual Memory Span-Tapping Backward (F = 3.95, p &lt; 0.05). In all instances, women performed more poorly than men [33]</w:t>
      </w:r>
      <w:r w:rsidRPr="00BF5C76">
        <w:t xml:space="preserve">. A separate study that examined gender differences in cognitive function of patients with chronic schizophrenia, found that male schizophrenic patients had more serious cognitive deficits than female patients in immediate and delayed memory, but not in language, </w:t>
      </w:r>
      <w:proofErr w:type="spellStart"/>
      <w:r w:rsidRPr="00BF5C76">
        <w:t>visuospatial</w:t>
      </w:r>
      <w:proofErr w:type="spellEnd"/>
      <w:r w:rsidRPr="00BF5C76">
        <w:t xml:space="preserve"> and attention indices [29]. Gender is also associated to </w:t>
      </w:r>
      <w:proofErr w:type="spellStart"/>
      <w:r w:rsidRPr="00BF5C76">
        <w:t>Mn</w:t>
      </w:r>
      <w:proofErr w:type="spellEnd"/>
      <w:r w:rsidRPr="00BF5C76">
        <w:t xml:space="preserve"> exposure; </w:t>
      </w:r>
      <w:proofErr w:type="spellStart"/>
      <w:r w:rsidRPr="00BF5C76">
        <w:t>Riojas</w:t>
      </w:r>
      <w:proofErr w:type="spellEnd"/>
      <w:r w:rsidRPr="00BF5C76">
        <w:t>-Rodriguez el al [34] found a statistically significant inverse association between postnatal exposure to manganese and IQ in 7- to 9-years old females, but not in males.</w:t>
      </w:r>
    </w:p>
    <w:p w:rsidR="00C53D96" w:rsidRPr="00BF5C76" w:rsidRDefault="00C53D96" w:rsidP="00C53D96">
      <w:pPr>
        <w:keepNext/>
        <w:keepLines/>
        <w:spacing w:before="40" w:line="480" w:lineRule="auto"/>
        <w:outlineLvl w:val="2"/>
        <w:rPr>
          <w:u w:val="single"/>
        </w:rPr>
      </w:pPr>
      <w:r w:rsidRPr="00BF5C76">
        <w:rPr>
          <w:rFonts w:eastAsiaTheme="majorEastAsia"/>
          <w:smallCaps/>
          <w:color w:val="5A5A5A" w:themeColor="text1" w:themeTint="A5"/>
          <w:u w:val="single"/>
        </w:rPr>
        <w:t>Smoking</w:t>
      </w:r>
    </w:p>
    <w:p w:rsidR="00C53D96" w:rsidRPr="00BF5C76" w:rsidRDefault="00C53D96" w:rsidP="00C53D96">
      <w:pPr>
        <w:spacing w:line="480" w:lineRule="auto"/>
      </w:pPr>
      <w:r w:rsidRPr="00BF5C76">
        <w:t>Based on the resul</w:t>
      </w:r>
      <w:bookmarkStart w:id="0" w:name="_GoBack"/>
      <w:bookmarkEnd w:id="0"/>
      <w:r w:rsidRPr="00BF5C76">
        <w:t xml:space="preserve">ts of several case-control studies among the elderly, smoking has been reported to have a protective effect on the risk of </w:t>
      </w:r>
      <w:proofErr w:type="gramStart"/>
      <w:r w:rsidRPr="00BF5C76">
        <w:t>Alzheimer’s Disease</w:t>
      </w:r>
      <w:proofErr w:type="gramEnd"/>
      <w:r w:rsidRPr="00BF5C76">
        <w:t xml:space="preserve"> (AD) [35] [36]. Other studies were inconclusive about the effect of smoking on cognitive function [37]. More recently, prospective studies have shown that smoking increases the risk of cognitive decline and dementia among the elderly. According to a meta-analysis that assessed the association of smoking on dementia and cognitive decline in 19 prospective studies with at least 12 months follow-up, current smokers at baseline, relative to never smokers, had risks of 1.79 (95% CI: 1.43</w:t>
      </w:r>
      <w:proofErr w:type="gramStart"/>
      <w:r w:rsidRPr="00BF5C76">
        <w:t>,2.23</w:t>
      </w:r>
      <w:proofErr w:type="gramEnd"/>
      <w:r w:rsidRPr="00BF5C76">
        <w:t xml:space="preserve">) for incident AD, 1.78 (95% CI: 1.28, 2.47) for incident vascular dementia and 1.27 (95% CI: 1.02, 1.60) for any dementia. The authors concluded that elderly smokers have </w:t>
      </w:r>
      <w:r w:rsidRPr="00BF5C76">
        <w:lastRenderedPageBreak/>
        <w:t xml:space="preserve">increased risks of dementia and cognitive decline [38]. A study examined cigarette smoking in relation to cognitive performance in middle age, the results show that current smokers scored significantly worse on the Verbal Learning Test and on the </w:t>
      </w:r>
      <w:proofErr w:type="spellStart"/>
      <w:r w:rsidRPr="00BF5C76">
        <w:t>Stroop</w:t>
      </w:r>
      <w:proofErr w:type="spellEnd"/>
      <w:r w:rsidRPr="00BF5C76">
        <w:t xml:space="preserve"> Color Word Test. Multiple linear regression analyses showed that current smokers had reduced psychomotor speed (beta = -0.159, p = 0.0003) and reduced cognitive flexibility (beta = -0.133, p = 0.008) compared with never smokers [39]. Smoking is also associated to </w:t>
      </w:r>
      <w:proofErr w:type="spellStart"/>
      <w:r w:rsidRPr="00BF5C76">
        <w:t>Mn</w:t>
      </w:r>
      <w:proofErr w:type="spellEnd"/>
      <w:r w:rsidRPr="00BF5C76">
        <w:t xml:space="preserve"> exposure. A study that examined </w:t>
      </w:r>
      <w:proofErr w:type="spellStart"/>
      <w:r w:rsidRPr="00BF5C76">
        <w:t>Mn</w:t>
      </w:r>
      <w:proofErr w:type="spellEnd"/>
      <w:r w:rsidRPr="00BF5C76">
        <w:t xml:space="preserve"> levels during pregnancy and at birth and the association to smoking, found a negative relationship between cigarette smoking and blood </w:t>
      </w:r>
      <w:proofErr w:type="spellStart"/>
      <w:r w:rsidRPr="00BF5C76">
        <w:t>Mn</w:t>
      </w:r>
      <w:proofErr w:type="spellEnd"/>
      <w:r w:rsidRPr="00BF5C76">
        <w:t xml:space="preserve"> levels at the second </w:t>
      </w:r>
      <w:proofErr w:type="gramStart"/>
      <w:r w:rsidRPr="00BF5C76">
        <w:t>trimester[</w:t>
      </w:r>
      <w:proofErr w:type="gramEnd"/>
      <w:r w:rsidRPr="00BF5C76">
        <w:t>40].</w:t>
      </w:r>
    </w:p>
    <w:p w:rsidR="00C53D96" w:rsidRPr="00BF5C76" w:rsidRDefault="00C53D96" w:rsidP="00C53D96">
      <w:pPr>
        <w:keepNext/>
        <w:keepLines/>
        <w:spacing w:before="40" w:line="480" w:lineRule="auto"/>
        <w:outlineLvl w:val="2"/>
        <w:rPr>
          <w:u w:val="single"/>
        </w:rPr>
      </w:pPr>
      <w:r w:rsidRPr="00BF5C76">
        <w:rPr>
          <w:rFonts w:eastAsiaTheme="majorEastAsia"/>
          <w:smallCaps/>
          <w:color w:val="5A5A5A" w:themeColor="text1" w:themeTint="A5"/>
          <w:u w:val="single"/>
        </w:rPr>
        <w:t>Socio-Economic Status (SES)</w:t>
      </w:r>
    </w:p>
    <w:p w:rsidR="00C53D96" w:rsidRPr="00BF5C76" w:rsidRDefault="00C53D96" w:rsidP="00C53D96">
      <w:pPr>
        <w:spacing w:line="480" w:lineRule="auto"/>
      </w:pPr>
      <w:r w:rsidRPr="00BF5C76">
        <w:t xml:space="preserve">Research has shown that low individual socio-economic status (SES), as defined by educational attainment and social class based on occupation, is a significant risk factor for a number of negative health outcomes, including cognitive and functional impairment [41]. Recently, greater attention has focused on community-level SES as researchers have hypothesized that area characteristics such as, availability of community resources, access to health care, attitudes and beliefs about health practices and stress could account for the variation in the risk of morbidity and mortality observed. Studies have indicated that living in areas of low SES increases the risk of morbidity and mortality for many health outcomes [31]. A study aimed to determine if people living in communities with higher socio-economic deprivation are at an increased risk of cognitive and functional impairment even after controlling for the effects of individual SES. The adjusted OR of cognitive impairment was 2.3 (95% CI 1.8-3.0) for those living in areas of greatest deprivation compared to those living in the most affluent areas after controlling for age, sex, social class and education (p &lt; 0.001) [42]. The association between blood </w:t>
      </w:r>
      <w:proofErr w:type="spellStart"/>
      <w:r w:rsidRPr="00BF5C76">
        <w:t>Mn</w:t>
      </w:r>
      <w:proofErr w:type="spellEnd"/>
      <w:r w:rsidRPr="00BF5C76">
        <w:t xml:space="preserve"> and SES is described in a study that examined exposure to </w:t>
      </w:r>
      <w:proofErr w:type="spellStart"/>
      <w:r w:rsidRPr="00BF5C76">
        <w:t>Mn</w:t>
      </w:r>
      <w:proofErr w:type="spellEnd"/>
      <w:r w:rsidRPr="00BF5C76">
        <w:t xml:space="preserve"> and health effects on the general population, </w:t>
      </w:r>
      <w:r w:rsidRPr="00BF5C76">
        <w:lastRenderedPageBreak/>
        <w:t xml:space="preserve">found that </w:t>
      </w:r>
      <w:r w:rsidRPr="00BF5C76">
        <w:rPr>
          <w:lang w:bidi="he-IL"/>
        </w:rPr>
        <w:t xml:space="preserve">blood </w:t>
      </w:r>
      <w:proofErr w:type="spellStart"/>
      <w:r w:rsidRPr="00BF5C76">
        <w:rPr>
          <w:lang w:bidi="he-IL"/>
        </w:rPr>
        <w:t>Mn</w:t>
      </w:r>
      <w:proofErr w:type="spellEnd"/>
      <w:r w:rsidRPr="00BF5C76">
        <w:rPr>
          <w:lang w:bidi="he-IL"/>
        </w:rPr>
        <w:t xml:space="preserve"> concentrations were significantly related to the point source in the community. Air and water quality in areas with low SES are poorer than high SES and with greater risk of exposure to </w:t>
      </w:r>
      <w:proofErr w:type="spellStart"/>
      <w:r w:rsidRPr="00BF5C76">
        <w:rPr>
          <w:lang w:bidi="he-IL"/>
        </w:rPr>
        <w:t>Mn</w:t>
      </w:r>
      <w:proofErr w:type="spellEnd"/>
      <w:r w:rsidRPr="00BF5C76">
        <w:rPr>
          <w:lang w:bidi="he-IL"/>
        </w:rPr>
        <w:t xml:space="preserve"> </w:t>
      </w:r>
      <w:r w:rsidRPr="00BF5C76">
        <w:t>[22].</w:t>
      </w:r>
    </w:p>
    <w:p w:rsidR="00C53D96" w:rsidRPr="00BF5C76" w:rsidRDefault="00C53D96" w:rsidP="00C53D96">
      <w:pPr>
        <w:keepNext/>
        <w:keepLines/>
        <w:spacing w:before="40" w:line="480" w:lineRule="auto"/>
        <w:outlineLvl w:val="2"/>
        <w:rPr>
          <w:u w:val="single"/>
        </w:rPr>
      </w:pPr>
      <w:r w:rsidRPr="00BF5C76">
        <w:rPr>
          <w:rFonts w:eastAsiaTheme="majorEastAsia"/>
          <w:color w:val="243F60" w:themeColor="accent1" w:themeShade="7F"/>
          <w:u w:val="single"/>
        </w:rPr>
        <w:t>Age</w:t>
      </w:r>
    </w:p>
    <w:p w:rsidR="00C53D96" w:rsidRPr="00BF5C76" w:rsidRDefault="00C53D96" w:rsidP="00C53D96">
      <w:pPr>
        <w:spacing w:line="480" w:lineRule="auto"/>
        <w:rPr>
          <w:b/>
          <w:bCs/>
          <w:u w:val="single"/>
        </w:rPr>
      </w:pPr>
      <w:r w:rsidRPr="00BF5C76">
        <w:rPr>
          <w:lang w:bidi="he-IL"/>
        </w:rPr>
        <w:t>Based on the published literature, there is an association between age and cognitive function. According to a study that examined the change in cognitive function in a population sample of elderly people,</w:t>
      </w:r>
      <w:r w:rsidRPr="00BF5C76">
        <w:t xml:space="preserve"> a score indicating possible impairment in the very elderly carries a worse prognosis than for the younger elderly [30]. </w:t>
      </w:r>
      <w:proofErr w:type="gramStart"/>
      <w:r w:rsidRPr="00BF5C76">
        <w:t>Another study that examined longitudinal changes in cognitive functioning for a sample of aging twins, some of whom developed dementia while others did not.</w:t>
      </w:r>
      <w:proofErr w:type="gramEnd"/>
      <w:r w:rsidRPr="00BF5C76">
        <w:t xml:space="preserve"> Individuals who were diagnosed with dementia at a mean age of eighty-five years had achieved lower scores on most tests twenty years prior to diagnosis and experienced greater declines in vocabulary and forward digit span over time, than those surviving to a comparable age without dementia [43]. Age is also associated with </w:t>
      </w:r>
      <w:proofErr w:type="spellStart"/>
      <w:r w:rsidRPr="00BF5C76">
        <w:t>Mn</w:t>
      </w:r>
      <w:proofErr w:type="spellEnd"/>
      <w:r w:rsidRPr="00BF5C76">
        <w:t xml:space="preserve">, as reported in a study [44], gender and age did not affect </w:t>
      </w:r>
      <w:proofErr w:type="spellStart"/>
      <w:r w:rsidRPr="00BF5C76">
        <w:t>Mn</w:t>
      </w:r>
      <w:proofErr w:type="spellEnd"/>
      <w:r w:rsidRPr="00BF5C76">
        <w:t xml:space="preserve"> delivery to the striatum, a known target site for neurotoxicity in humans, but did influence </w:t>
      </w:r>
      <w:proofErr w:type="spellStart"/>
      <w:r w:rsidRPr="00BF5C76">
        <w:t>Mn</w:t>
      </w:r>
      <w:proofErr w:type="spellEnd"/>
      <w:r w:rsidRPr="00BF5C76">
        <w:t xml:space="preserve"> concentrations in other tissues.</w:t>
      </w:r>
    </w:p>
    <w:p w:rsidR="00C53D96" w:rsidRPr="00BF5C76" w:rsidRDefault="00C53D96" w:rsidP="00C53D96">
      <w:pPr>
        <w:spacing w:line="480" w:lineRule="auto"/>
      </w:pPr>
      <w:r w:rsidRPr="00BF5C76">
        <w:t xml:space="preserve">Levy BS, </w:t>
      </w:r>
      <w:proofErr w:type="spellStart"/>
      <w:r w:rsidRPr="00BF5C76">
        <w:t>Nassetta</w:t>
      </w:r>
      <w:proofErr w:type="spellEnd"/>
      <w:r w:rsidRPr="00BF5C76">
        <w:t xml:space="preserve"> WJ. 2003. Neurologic effects of manganese in</w:t>
      </w:r>
      <w:r>
        <w:t xml:space="preserve"> </w:t>
      </w:r>
      <w:r w:rsidRPr="00BF5C76">
        <w:t xml:space="preserve">humans: A review. </w:t>
      </w:r>
      <w:proofErr w:type="spellStart"/>
      <w:r w:rsidRPr="00BF5C76">
        <w:t>Int</w:t>
      </w:r>
      <w:proofErr w:type="spellEnd"/>
      <w:r w:rsidRPr="00BF5C76">
        <w:t xml:space="preserve"> J </w:t>
      </w:r>
      <w:proofErr w:type="spellStart"/>
      <w:r w:rsidRPr="00BF5C76">
        <w:t>Occup</w:t>
      </w:r>
      <w:proofErr w:type="spellEnd"/>
      <w:r w:rsidRPr="00BF5C76">
        <w:t xml:space="preserve"> Environ Health 9:153–163</w:t>
      </w:r>
    </w:p>
    <w:p w:rsidR="00C53D96" w:rsidRPr="00BF5C76" w:rsidRDefault="00C53D96" w:rsidP="00C53D96">
      <w:pPr>
        <w:spacing w:line="480" w:lineRule="auto"/>
      </w:pPr>
      <w:r w:rsidRPr="00BF5C76">
        <w:t xml:space="preserve">Levy BS, </w:t>
      </w:r>
      <w:proofErr w:type="spellStart"/>
      <w:r w:rsidRPr="00BF5C76">
        <w:t>Nassetta</w:t>
      </w:r>
      <w:proofErr w:type="spellEnd"/>
      <w:r w:rsidRPr="00BF5C76">
        <w:t xml:space="preserve"> WJ. 2003. Neurologic effects of manganese in</w:t>
      </w:r>
      <w:r>
        <w:t xml:space="preserve"> </w:t>
      </w:r>
      <w:r w:rsidRPr="00BF5C76">
        <w:t xml:space="preserve">humans: A review. </w:t>
      </w:r>
      <w:proofErr w:type="spellStart"/>
      <w:r w:rsidRPr="00BF5C76">
        <w:t>Int</w:t>
      </w:r>
      <w:proofErr w:type="spellEnd"/>
      <w:r w:rsidRPr="00BF5C76">
        <w:t xml:space="preserve"> J </w:t>
      </w:r>
      <w:proofErr w:type="spellStart"/>
      <w:r w:rsidRPr="00BF5C76">
        <w:t>Occup</w:t>
      </w:r>
      <w:proofErr w:type="spellEnd"/>
      <w:r w:rsidRPr="00BF5C76">
        <w:t xml:space="preserve"> Environ Health 9:153–1</w:t>
      </w:r>
    </w:p>
    <w:p w:rsidR="009F60C2" w:rsidRDefault="009F60C2"/>
    <w:sectPr w:rsidR="009F60C2">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D96"/>
    <w:rsid w:val="009F60C2"/>
    <w:rsid w:val="00C53D9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D96"/>
    <w:pPr>
      <w:spacing w:after="0" w:line="240" w:lineRule="auto"/>
    </w:pPr>
    <w:rPr>
      <w:rFonts w:ascii="Times New Roman" w:eastAsia="Arial Unicode MS"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D96"/>
    <w:pPr>
      <w:spacing w:after="0" w:line="240" w:lineRule="auto"/>
    </w:pPr>
    <w:rPr>
      <w:rFonts w:ascii="Times New Roman" w:eastAsia="Arial Unicode MS"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806</Words>
  <Characters>4598</Characters>
  <Application>Microsoft Office Word</Application>
  <DocSecurity>0</DocSecurity>
  <Lines>38</Lines>
  <Paragraphs>10</Paragraphs>
  <ScaleCrop>false</ScaleCrop>
  <Company/>
  <LinksUpToDate>false</LinksUpToDate>
  <CharactersWithSpaces>5394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Rasika Sesuraj (Integra)</dc:creator>
  <cp:lastModifiedBy>Rasika Sesuraj (Integra)</cp:lastModifiedBy>
  <cp:revision>1</cp:revision>
  <dcterms:created xsi:type="dcterms:W3CDTF">2026-05-19T10:38:00Z</dcterms:created>
  <dcterms:modified xsi:type="dcterms:W3CDTF">2026-05-19T10:39:00Z</dcterms:modified>
</cp:coreProperties>
</file>