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bidi w:val="0"/>
        <w:spacing w:lineRule="auto" w:line="360" w:before="480" w:after="240"/>
        <w:rPr>
          <w:rFonts w:ascii="Cambria" w:hAnsi="Cambria"/>
        </w:rPr>
      </w:pPr>
      <w:r>
        <w:rPr>
          <w:rFonts w:ascii="Cambria" w:hAnsi="Cambria"/>
        </w:rPr>
        <w:t xml:space="preserve">Supplementary material </w:t>
      </w:r>
      <w:r>
        <w:rPr>
          <w:rFonts w:ascii="Cambria" w:hAnsi="Cambria"/>
        </w:rPr>
        <w:t xml:space="preserve">4 </w:t>
      </w:r>
    </w:p>
    <w:p>
      <w:pPr>
        <w:pStyle w:val="Heading2"/>
        <w:bidi w:val="0"/>
        <w:spacing w:lineRule="auto" w:line="360"/>
        <w:jc w:val="left"/>
        <w:rPr>
          <w:rFonts w:ascii="Cambria" w:hAnsi="Cambria"/>
        </w:rPr>
      </w:pPr>
      <w:r>
        <w:rPr/>
        <w:t xml:space="preserve">Difference in pressure pain threshold from pre-session to post-session dependent on whether other treatments than SMT </w:t>
      </w:r>
      <w:r>
        <w:rPr/>
        <w:t>were</w:t>
      </w:r>
      <w:r>
        <w:rPr/>
        <w:t xml:space="preserve"> provided</w:t>
      </w:r>
    </w:p>
    <w:p>
      <w:pPr>
        <w:pStyle w:val="TextBody"/>
        <w:bidi w:val="0"/>
        <w:spacing w:lineRule="auto" w:line="360"/>
        <w:jc w:val="left"/>
        <w:rPr>
          <w:rFonts w:ascii="Cambria" w:hAnsi="Cambria"/>
        </w:rPr>
      </w:pPr>
      <w:r>
        <w:rPr/>
        <w:t xml:space="preserve">Difference in pressure pain threshold from pre-session to post-session dependent on whether other treatments than SMT </w:t>
      </w:r>
      <w:r>
        <w:rPr/>
        <w:t>were</w:t>
      </w:r>
      <w:r>
        <w:rPr/>
        <w:t xml:space="preserve"> provided for Danish chiropractic patients.</w:t>
      </w:r>
    </w:p>
    <w:tbl>
      <w:tblPr>
        <w:tblW w:w="936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HBand="0" w:noVBand="1" w:firstColumn="0" w:lastRow="0" w:lastColumn="0" w:firstRow="1"/>
      </w:tblPr>
      <w:tblGrid>
        <w:gridCol w:w="3253"/>
        <w:gridCol w:w="6106"/>
      </w:tblGrid>
      <w:tr>
        <w:trPr>
          <w:tblHeader w:val="true"/>
          <w:trHeight w:val="624" w:hRule="atLeast"/>
          <w:cantSplit w:val="true"/>
        </w:trPr>
        <w:tc>
          <w:tcPr>
            <w:tcW w:w="3253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106" w:type="dxa"/>
            <w:tcBorders>
              <w:top w:val="single" w:sz="16" w:space="0" w:color="666666"/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Difference in change in PPT between different non-SMT treatments (95% CI)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Massage to Multiple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-0.14 (-1.26-0.97)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Massage to Muscle energy technique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-0.61 (-2.28-1.05)</w:t>
            </w:r>
          </w:p>
        </w:tc>
      </w:tr>
      <w:tr>
        <w:trPr>
          <w:trHeight w:val="617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Massage to None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0.20 (-0.39-0.79)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Massage to Other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-0.08 (-2.38-2.21)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Multiple to None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0.34 (-0.72-1.40)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Multiple to Other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0.06 (-2.40-2.52)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Muscle energy technique to Multiple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0.47 (-1.41-2.35)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Muscle energy technique to None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0.81 (-0.81-2.44)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Muscle energy technique to Other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0.53 (-2.22-3.28)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Myofascial to Massage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0.33 (-0.24-0.91)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Myofascial to Multiple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0.19 (-0.86-1.24)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Myofascial to Muscle energy technique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-0.28 (-1.90-1.34)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Myofascial to None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0.53 (0.08-0.98)*</w:t>
            </w:r>
          </w:p>
        </w:tc>
      </w:tr>
      <w:tr>
        <w:trPr>
          <w:trHeight w:val="624" w:hRule="atLeast"/>
          <w:cantSplit w:val="true"/>
        </w:trPr>
        <w:tc>
          <w:tcPr>
            <w:tcW w:w="3253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Myofascial to Other</w:t>
            </w:r>
          </w:p>
        </w:tc>
        <w:tc>
          <w:tcPr>
            <w:tcW w:w="6106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0.25 (-2.02-2.52)</w:t>
            </w:r>
          </w:p>
        </w:tc>
      </w:tr>
      <w:tr>
        <w:trPr>
          <w:trHeight w:val="607" w:hRule="atLeast"/>
          <w:cantSplit w:val="true"/>
        </w:trPr>
        <w:tc>
          <w:tcPr>
            <w:tcW w:w="3253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Other to None</w:t>
            </w:r>
          </w:p>
        </w:tc>
        <w:tc>
          <w:tcPr>
            <w:tcW w:w="6106" w:type="dxa"/>
            <w:tcBorders>
              <w:bottom w:val="single" w:sz="16" w:space="0" w:color="666666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0.28 (-1.99-2.55)</w:t>
            </w:r>
          </w:p>
        </w:tc>
      </w:tr>
      <w:tr>
        <w:trPr>
          <w:trHeight w:val="360" w:hRule="atLeast"/>
          <w:cantSplit w:val="true"/>
        </w:trPr>
        <w:tc>
          <w:tcPr>
            <w:tcW w:w="935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100" w:after="100"/>
              <w:ind w:left="100" w:right="100" w:hanging="0"/>
              <w:jc w:val="left"/>
              <w:rPr>
                <w:rFonts w:ascii="cambria" w:hAnsi="cambria"/>
              </w:rPr>
            </w:pPr>
            <w:r>
              <w:rPr>
                <w:rFonts w:eastAsia="DejaVu Sans" w:cs="DejaVu Sans" w:ascii="cambria" w:hAnsi="cambria"/>
                <w:color w:val="000000"/>
                <w:sz w:val="22"/>
                <w:szCs w:val="22"/>
              </w:rPr>
              <w:t>N = 129</w:t>
            </w:r>
          </w:p>
        </w:tc>
      </w:tr>
    </w:tbl>
    <w:p>
      <w:pPr>
        <w:pStyle w:val="TextBody"/>
        <w:bidi w:val="0"/>
        <w:spacing w:lineRule="auto" w:line="360" w:before="0" w:after="140"/>
        <w:jc w:val="left"/>
        <w:rPr>
          <w:rFonts w:ascii="Cambria" w:hAnsi="Cambria"/>
        </w:rPr>
      </w:pPr>
      <w:bookmarkStart w:id="0" w:name="supplementary-material-1"/>
      <w:bookmarkEnd w:id="0"/>
      <w:r>
        <w:rPr>
          <w:i/>
          <w:iCs/>
        </w:rPr>
        <w:t>Myofasciel includes compression techniques and dryneedling. Other includes laser therapy and free text field comments. * = p-value &lt; 0.05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ambri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Noto Serif CJK SC" w:cs="Lohit Devanagari"/>
        <w:kern w:val="2"/>
        <w:sz w:val="24"/>
        <w:szCs w:val="24"/>
        <w:lang w:val="da-D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Noto Serif CJK SC" w:cs="Lohit Devanagari"/>
      <w:color w:val="auto"/>
      <w:kern w:val="2"/>
      <w:sz w:val="24"/>
      <w:szCs w:val="24"/>
      <w:lang w:val="da-DK" w:eastAsia="zh-CN" w:bidi="hi-IN"/>
    </w:rPr>
  </w:style>
  <w:style w:type="paragraph" w:styleId="Heading2">
    <w:name w:val="Heading 2"/>
    <w:basedOn w:val="Normal"/>
    <w:next w:val="TextBody"/>
    <w:qFormat/>
    <w:pPr>
      <w:keepNext w:val="true"/>
      <w:keepLines/>
      <w:spacing w:before="200" w:after="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mbria" w:hAnsi="Cambria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mbria" w:hAnsi="Cambria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mbria" w:hAnsi="Cambria" w:cs="Lohit Devanagari"/>
      <w:lang w:val="zxx" w:eastAsia="zxx" w:bidi="zxx"/>
    </w:rPr>
  </w:style>
  <w:style w:type="paragraph" w:styleId="Title">
    <w:name w:val="Title"/>
    <w:basedOn w:val="Normal"/>
    <w:next w:val="TextBody"/>
    <w:qFormat/>
    <w:pPr>
      <w:keepNext w:val="true"/>
      <w:keepLines/>
      <w:spacing w:before="480" w:after="240"/>
      <w:jc w:val="center"/>
    </w:pPr>
    <w:rPr>
      <w:rFonts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FirstParagraph">
    <w:name w:val="First Paragraph"/>
    <w:basedOn w:val="TextBody"/>
    <w:next w:val="TextBody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LibreOffice/7.2.3.2$Linux_X86_64 LibreOffice_project/20$Build-2</Application>
  <AppVersion>15.0000</AppVersion>
  <Pages>2</Pages>
  <Words>163</Words>
  <Characters>1024</Characters>
  <CharactersWithSpaces>1151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2022-01-24T09:25:46Z</dcterms:created>
  <dc:creator>Casper Nim</dc:creator>
  <dc:description/>
  <dc:language>da-DK</dc:language>
  <cp:lastModifiedBy>Casper Nim</cp:lastModifiedBy>
  <dcterms:modified xsi:type="dcterms:W3CDTF">2022-05-10T13:47:16Z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