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F7430" w14:textId="697AF8C0" w:rsidR="000B161A" w:rsidRDefault="00472A53" w:rsidP="00472A53">
      <w:pPr>
        <w:pStyle w:val="Title"/>
        <w:rPr>
          <w:sz w:val="36"/>
          <w:szCs w:val="36"/>
        </w:rPr>
      </w:pPr>
      <w:r w:rsidRPr="00472A53">
        <w:rPr>
          <w:sz w:val="36"/>
          <w:szCs w:val="36"/>
        </w:rPr>
        <w:t>Supplemental File for “Association between spinal manipulative therapy and cervical artery dissection in patients with neck pain or headache: a retrospective cohort study”</w:t>
      </w:r>
    </w:p>
    <w:p w14:paraId="62E57E41" w14:textId="0AC2968C" w:rsidR="00472A53" w:rsidRDefault="00472A53" w:rsidP="00472A53">
      <w:r>
        <w:t xml:space="preserve">Robert J. Trager, Anthony N. Baumann, </w:t>
      </w:r>
      <w:r w:rsidRPr="00E97ED8">
        <w:t>Collin M. Labak</w:t>
      </w:r>
      <w:r>
        <w:t>, Kelsey L. Lewis, Jaime Abraham Perez, Christine M. Goertz, Andres Schuster</w:t>
      </w:r>
    </w:p>
    <w:p w14:paraId="337A7658" w14:textId="77777777" w:rsidR="00BC3ACA" w:rsidRDefault="00BC3ACA" w:rsidP="00794DDD">
      <w:pPr>
        <w:pStyle w:val="Caption"/>
        <w:keepNext/>
        <w:keepLines/>
      </w:pPr>
    </w:p>
    <w:sdt>
      <w:sdtPr>
        <w:rPr>
          <w:rFonts w:ascii="Arial" w:eastAsiaTheme="minorHAnsi" w:hAnsi="Arial" w:cstheme="minorBidi"/>
          <w:b w:val="0"/>
          <w:i w:val="0"/>
          <w:color w:val="auto"/>
          <w:szCs w:val="22"/>
        </w:rPr>
        <w:id w:val="-1688677959"/>
        <w:docPartObj>
          <w:docPartGallery w:val="Table of Contents"/>
          <w:docPartUnique/>
        </w:docPartObj>
      </w:sdtPr>
      <w:sdtEndPr>
        <w:rPr>
          <w:bCs/>
          <w:noProof/>
        </w:rPr>
      </w:sdtEndPr>
      <w:sdtContent>
        <w:p w14:paraId="2FBC2D26" w14:textId="3B2D2334" w:rsidR="00BC3ACA" w:rsidRPr="00464D34" w:rsidRDefault="00BC3ACA">
          <w:pPr>
            <w:pStyle w:val="TOCHeading"/>
            <w:rPr>
              <w:rStyle w:val="Heading2Char"/>
              <w:i w:val="0"/>
              <w:iCs/>
              <w:color w:val="auto"/>
            </w:rPr>
          </w:pPr>
          <w:r w:rsidRPr="00464D34">
            <w:rPr>
              <w:rStyle w:val="Heading2Char"/>
              <w:i w:val="0"/>
              <w:iCs/>
              <w:color w:val="auto"/>
            </w:rPr>
            <w:t>Contents</w:t>
          </w:r>
        </w:p>
        <w:p w14:paraId="4D76CEF2" w14:textId="210C0744" w:rsidR="00E1683C" w:rsidRDefault="00BC3ACA">
          <w:pPr>
            <w:pStyle w:val="TOC1"/>
            <w:tabs>
              <w:tab w:val="right" w:leader="dot" w:pos="10070"/>
            </w:tabs>
            <w:rPr>
              <w:rFonts w:asciiTheme="minorHAnsi" w:eastAsiaTheme="minorEastAsia" w:hAnsiTheme="minorHAnsi"/>
              <w:noProof/>
              <w:kern w:val="2"/>
              <w:sz w:val="24"/>
              <w:szCs w:val="24"/>
              <w14:ligatures w14:val="standardContextual"/>
            </w:rPr>
          </w:pPr>
          <w:r>
            <w:fldChar w:fldCharType="begin"/>
          </w:r>
          <w:r>
            <w:instrText xml:space="preserve"> TOC \o "1-3" \h \z \u </w:instrText>
          </w:r>
          <w:r>
            <w:fldChar w:fldCharType="separate"/>
          </w:r>
          <w:hyperlink w:anchor="_Toc236836419" w:history="1">
            <w:r w:rsidR="00E1683C" w:rsidRPr="004A4377">
              <w:rPr>
                <w:rStyle w:val="Hyperlink"/>
                <w:noProof/>
              </w:rPr>
              <w:t>Figure S1: Study design elements</w:t>
            </w:r>
            <w:r w:rsidR="00E1683C">
              <w:rPr>
                <w:noProof/>
                <w:webHidden/>
              </w:rPr>
              <w:tab/>
            </w:r>
            <w:r w:rsidR="00E1683C">
              <w:rPr>
                <w:noProof/>
                <w:webHidden/>
              </w:rPr>
              <w:fldChar w:fldCharType="begin"/>
            </w:r>
            <w:r w:rsidR="00E1683C">
              <w:rPr>
                <w:noProof/>
                <w:webHidden/>
              </w:rPr>
              <w:instrText xml:space="preserve"> PAGEREF _Toc236836419 \h </w:instrText>
            </w:r>
            <w:r w:rsidR="00E1683C">
              <w:rPr>
                <w:noProof/>
                <w:webHidden/>
              </w:rPr>
            </w:r>
            <w:r w:rsidR="00E1683C">
              <w:rPr>
                <w:noProof/>
                <w:webHidden/>
              </w:rPr>
              <w:fldChar w:fldCharType="separate"/>
            </w:r>
            <w:r w:rsidR="00E1683C">
              <w:rPr>
                <w:noProof/>
                <w:webHidden/>
              </w:rPr>
              <w:t>2</w:t>
            </w:r>
            <w:r w:rsidR="00E1683C">
              <w:rPr>
                <w:noProof/>
                <w:webHidden/>
              </w:rPr>
              <w:fldChar w:fldCharType="end"/>
            </w:r>
          </w:hyperlink>
        </w:p>
        <w:p w14:paraId="61EE0848" w14:textId="68B8BCC3"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20" w:history="1">
            <w:r w:rsidRPr="004A4377">
              <w:rPr>
                <w:rStyle w:val="Hyperlink"/>
                <w:noProof/>
              </w:rPr>
              <w:t>Table S1: Neck pain and headache definition</w:t>
            </w:r>
            <w:r>
              <w:rPr>
                <w:noProof/>
                <w:webHidden/>
              </w:rPr>
              <w:tab/>
            </w:r>
            <w:r>
              <w:rPr>
                <w:noProof/>
                <w:webHidden/>
              </w:rPr>
              <w:fldChar w:fldCharType="begin"/>
            </w:r>
            <w:r>
              <w:rPr>
                <w:noProof/>
                <w:webHidden/>
              </w:rPr>
              <w:instrText xml:space="preserve"> PAGEREF _Toc236836420 \h </w:instrText>
            </w:r>
            <w:r>
              <w:rPr>
                <w:noProof/>
                <w:webHidden/>
              </w:rPr>
            </w:r>
            <w:r>
              <w:rPr>
                <w:noProof/>
                <w:webHidden/>
              </w:rPr>
              <w:fldChar w:fldCharType="separate"/>
            </w:r>
            <w:r>
              <w:rPr>
                <w:noProof/>
                <w:webHidden/>
              </w:rPr>
              <w:t>3</w:t>
            </w:r>
            <w:r>
              <w:rPr>
                <w:noProof/>
                <w:webHidden/>
              </w:rPr>
              <w:fldChar w:fldCharType="end"/>
            </w:r>
          </w:hyperlink>
        </w:p>
        <w:p w14:paraId="03C0ACD1" w14:textId="1D486D75"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21" w:history="1">
            <w:r w:rsidRPr="004A4377">
              <w:rPr>
                <w:rStyle w:val="Hyperlink"/>
                <w:noProof/>
              </w:rPr>
              <w:t>Table S2: Exclusion criteria</w:t>
            </w:r>
            <w:r>
              <w:rPr>
                <w:noProof/>
                <w:webHidden/>
              </w:rPr>
              <w:tab/>
            </w:r>
            <w:r>
              <w:rPr>
                <w:noProof/>
                <w:webHidden/>
              </w:rPr>
              <w:fldChar w:fldCharType="begin"/>
            </w:r>
            <w:r>
              <w:rPr>
                <w:noProof/>
                <w:webHidden/>
              </w:rPr>
              <w:instrText xml:space="preserve"> PAGEREF _Toc236836421 \h </w:instrText>
            </w:r>
            <w:r>
              <w:rPr>
                <w:noProof/>
                <w:webHidden/>
              </w:rPr>
            </w:r>
            <w:r>
              <w:rPr>
                <w:noProof/>
                <w:webHidden/>
              </w:rPr>
              <w:fldChar w:fldCharType="separate"/>
            </w:r>
            <w:r>
              <w:rPr>
                <w:noProof/>
                <w:webHidden/>
              </w:rPr>
              <w:t>4</w:t>
            </w:r>
            <w:r>
              <w:rPr>
                <w:noProof/>
                <w:webHidden/>
              </w:rPr>
              <w:fldChar w:fldCharType="end"/>
            </w:r>
          </w:hyperlink>
        </w:p>
        <w:p w14:paraId="11B28EAB" w14:textId="3B0FD550"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22" w:history="1">
            <w:r w:rsidRPr="004A4377">
              <w:rPr>
                <w:rStyle w:val="Hyperlink"/>
                <w:noProof/>
              </w:rPr>
              <w:t>Table S3: Propensity-matched variables</w:t>
            </w:r>
            <w:r>
              <w:rPr>
                <w:noProof/>
                <w:webHidden/>
              </w:rPr>
              <w:tab/>
            </w:r>
            <w:r>
              <w:rPr>
                <w:noProof/>
                <w:webHidden/>
              </w:rPr>
              <w:fldChar w:fldCharType="begin"/>
            </w:r>
            <w:r>
              <w:rPr>
                <w:noProof/>
                <w:webHidden/>
              </w:rPr>
              <w:instrText xml:space="preserve"> PAGEREF _Toc236836422 \h </w:instrText>
            </w:r>
            <w:r>
              <w:rPr>
                <w:noProof/>
                <w:webHidden/>
              </w:rPr>
            </w:r>
            <w:r>
              <w:rPr>
                <w:noProof/>
                <w:webHidden/>
              </w:rPr>
              <w:fldChar w:fldCharType="separate"/>
            </w:r>
            <w:r>
              <w:rPr>
                <w:noProof/>
                <w:webHidden/>
              </w:rPr>
              <w:t>5</w:t>
            </w:r>
            <w:r>
              <w:rPr>
                <w:noProof/>
                <w:webHidden/>
              </w:rPr>
              <w:fldChar w:fldCharType="end"/>
            </w:r>
          </w:hyperlink>
        </w:p>
        <w:p w14:paraId="0A17E734" w14:textId="1DD66886"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23" w:history="1">
            <w:r w:rsidRPr="004A4377">
              <w:rPr>
                <w:rStyle w:val="Hyperlink"/>
                <w:noProof/>
              </w:rPr>
              <w:t>Figure S2: Directed acyclic graph</w:t>
            </w:r>
            <w:r>
              <w:rPr>
                <w:noProof/>
                <w:webHidden/>
              </w:rPr>
              <w:tab/>
            </w:r>
            <w:r>
              <w:rPr>
                <w:noProof/>
                <w:webHidden/>
              </w:rPr>
              <w:fldChar w:fldCharType="begin"/>
            </w:r>
            <w:r>
              <w:rPr>
                <w:noProof/>
                <w:webHidden/>
              </w:rPr>
              <w:instrText xml:space="preserve"> PAGEREF _Toc236836423 \h </w:instrText>
            </w:r>
            <w:r>
              <w:rPr>
                <w:noProof/>
                <w:webHidden/>
              </w:rPr>
            </w:r>
            <w:r>
              <w:rPr>
                <w:noProof/>
                <w:webHidden/>
              </w:rPr>
              <w:fldChar w:fldCharType="separate"/>
            </w:r>
            <w:r>
              <w:rPr>
                <w:noProof/>
                <w:webHidden/>
              </w:rPr>
              <w:t>6</w:t>
            </w:r>
            <w:r>
              <w:rPr>
                <w:noProof/>
                <w:webHidden/>
              </w:rPr>
              <w:fldChar w:fldCharType="end"/>
            </w:r>
          </w:hyperlink>
        </w:p>
        <w:p w14:paraId="520D6864" w14:textId="2557CE5C"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24" w:history="1">
            <w:r w:rsidRPr="004A4377">
              <w:rPr>
                <w:rStyle w:val="Hyperlink"/>
                <w:noProof/>
              </w:rPr>
              <w:t>Table S4: Secondary outcomes</w:t>
            </w:r>
            <w:r>
              <w:rPr>
                <w:noProof/>
                <w:webHidden/>
              </w:rPr>
              <w:tab/>
            </w:r>
            <w:r>
              <w:rPr>
                <w:noProof/>
                <w:webHidden/>
              </w:rPr>
              <w:fldChar w:fldCharType="begin"/>
            </w:r>
            <w:r>
              <w:rPr>
                <w:noProof/>
                <w:webHidden/>
              </w:rPr>
              <w:instrText xml:space="preserve"> PAGEREF _Toc236836424 \h </w:instrText>
            </w:r>
            <w:r>
              <w:rPr>
                <w:noProof/>
                <w:webHidden/>
              </w:rPr>
            </w:r>
            <w:r>
              <w:rPr>
                <w:noProof/>
                <w:webHidden/>
              </w:rPr>
              <w:fldChar w:fldCharType="separate"/>
            </w:r>
            <w:r>
              <w:rPr>
                <w:noProof/>
                <w:webHidden/>
              </w:rPr>
              <w:t>6</w:t>
            </w:r>
            <w:r>
              <w:rPr>
                <w:noProof/>
                <w:webHidden/>
              </w:rPr>
              <w:fldChar w:fldCharType="end"/>
            </w:r>
          </w:hyperlink>
        </w:p>
        <w:p w14:paraId="676AAE80" w14:textId="3A2E885D"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25" w:history="1">
            <w:r w:rsidRPr="004A4377">
              <w:rPr>
                <w:rStyle w:val="Hyperlink"/>
                <w:noProof/>
              </w:rPr>
              <w:t>Figure S3: Patient selection flowchart</w:t>
            </w:r>
            <w:r>
              <w:rPr>
                <w:noProof/>
                <w:webHidden/>
              </w:rPr>
              <w:tab/>
            </w:r>
            <w:r>
              <w:rPr>
                <w:noProof/>
                <w:webHidden/>
              </w:rPr>
              <w:fldChar w:fldCharType="begin"/>
            </w:r>
            <w:r>
              <w:rPr>
                <w:noProof/>
                <w:webHidden/>
              </w:rPr>
              <w:instrText xml:space="preserve"> PAGEREF _Toc236836425 \h </w:instrText>
            </w:r>
            <w:r>
              <w:rPr>
                <w:noProof/>
                <w:webHidden/>
              </w:rPr>
            </w:r>
            <w:r>
              <w:rPr>
                <w:noProof/>
                <w:webHidden/>
              </w:rPr>
              <w:fldChar w:fldCharType="separate"/>
            </w:r>
            <w:r>
              <w:rPr>
                <w:noProof/>
                <w:webHidden/>
              </w:rPr>
              <w:t>7</w:t>
            </w:r>
            <w:r>
              <w:rPr>
                <w:noProof/>
                <w:webHidden/>
              </w:rPr>
              <w:fldChar w:fldCharType="end"/>
            </w:r>
          </w:hyperlink>
        </w:p>
        <w:p w14:paraId="02B54D1B" w14:textId="6E72DB1F"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26" w:history="1">
            <w:r w:rsidRPr="004A4377">
              <w:rPr>
                <w:rStyle w:val="Hyperlink"/>
                <w:noProof/>
              </w:rPr>
              <w:t>Figure S4: Total incidences of carotid artery dissection</w:t>
            </w:r>
            <w:r>
              <w:rPr>
                <w:noProof/>
                <w:webHidden/>
              </w:rPr>
              <w:tab/>
            </w:r>
            <w:r>
              <w:rPr>
                <w:noProof/>
                <w:webHidden/>
              </w:rPr>
              <w:fldChar w:fldCharType="begin"/>
            </w:r>
            <w:r>
              <w:rPr>
                <w:noProof/>
                <w:webHidden/>
              </w:rPr>
              <w:instrText xml:space="preserve"> PAGEREF _Toc236836426 \h </w:instrText>
            </w:r>
            <w:r>
              <w:rPr>
                <w:noProof/>
                <w:webHidden/>
              </w:rPr>
            </w:r>
            <w:r>
              <w:rPr>
                <w:noProof/>
                <w:webHidden/>
              </w:rPr>
              <w:fldChar w:fldCharType="separate"/>
            </w:r>
            <w:r>
              <w:rPr>
                <w:noProof/>
                <w:webHidden/>
              </w:rPr>
              <w:t>8</w:t>
            </w:r>
            <w:r>
              <w:rPr>
                <w:noProof/>
                <w:webHidden/>
              </w:rPr>
              <w:fldChar w:fldCharType="end"/>
            </w:r>
          </w:hyperlink>
        </w:p>
        <w:p w14:paraId="005BA7CE" w14:textId="776F9026"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27" w:history="1">
            <w:r w:rsidRPr="004A4377">
              <w:rPr>
                <w:rStyle w:val="Hyperlink"/>
                <w:noProof/>
              </w:rPr>
              <w:t>Figure S5: Total incidences of vertebral artery dissection</w:t>
            </w:r>
            <w:r>
              <w:rPr>
                <w:noProof/>
                <w:webHidden/>
              </w:rPr>
              <w:tab/>
            </w:r>
            <w:r>
              <w:rPr>
                <w:noProof/>
                <w:webHidden/>
              </w:rPr>
              <w:fldChar w:fldCharType="begin"/>
            </w:r>
            <w:r>
              <w:rPr>
                <w:noProof/>
                <w:webHidden/>
              </w:rPr>
              <w:instrText xml:space="preserve"> PAGEREF _Toc236836427 \h </w:instrText>
            </w:r>
            <w:r>
              <w:rPr>
                <w:noProof/>
                <w:webHidden/>
              </w:rPr>
            </w:r>
            <w:r>
              <w:rPr>
                <w:noProof/>
                <w:webHidden/>
              </w:rPr>
              <w:fldChar w:fldCharType="separate"/>
            </w:r>
            <w:r>
              <w:rPr>
                <w:noProof/>
                <w:webHidden/>
              </w:rPr>
              <w:t>8</w:t>
            </w:r>
            <w:r>
              <w:rPr>
                <w:noProof/>
                <w:webHidden/>
              </w:rPr>
              <w:fldChar w:fldCharType="end"/>
            </w:r>
          </w:hyperlink>
        </w:p>
        <w:p w14:paraId="574136A5" w14:textId="481B1BDB"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28" w:history="1">
            <w:r w:rsidRPr="004A4377">
              <w:rPr>
                <w:rStyle w:val="Hyperlink"/>
                <w:noProof/>
              </w:rPr>
              <w:t>Figure S6: Cumulative incidences of carotid artery dissection</w:t>
            </w:r>
            <w:r>
              <w:rPr>
                <w:noProof/>
                <w:webHidden/>
              </w:rPr>
              <w:tab/>
            </w:r>
            <w:r>
              <w:rPr>
                <w:noProof/>
                <w:webHidden/>
              </w:rPr>
              <w:fldChar w:fldCharType="begin"/>
            </w:r>
            <w:r>
              <w:rPr>
                <w:noProof/>
                <w:webHidden/>
              </w:rPr>
              <w:instrText xml:space="preserve"> PAGEREF _Toc236836428 \h </w:instrText>
            </w:r>
            <w:r>
              <w:rPr>
                <w:noProof/>
                <w:webHidden/>
              </w:rPr>
            </w:r>
            <w:r>
              <w:rPr>
                <w:noProof/>
                <w:webHidden/>
              </w:rPr>
              <w:fldChar w:fldCharType="separate"/>
            </w:r>
            <w:r>
              <w:rPr>
                <w:noProof/>
                <w:webHidden/>
              </w:rPr>
              <w:t>9</w:t>
            </w:r>
            <w:r>
              <w:rPr>
                <w:noProof/>
                <w:webHidden/>
              </w:rPr>
              <w:fldChar w:fldCharType="end"/>
            </w:r>
          </w:hyperlink>
        </w:p>
        <w:p w14:paraId="7BDA3A3D" w14:textId="05722212"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29" w:history="1">
            <w:r w:rsidRPr="004A4377">
              <w:rPr>
                <w:rStyle w:val="Hyperlink"/>
                <w:noProof/>
              </w:rPr>
              <w:t>Figure S7: Cumulative incidences of vertebral artery dissection</w:t>
            </w:r>
            <w:r>
              <w:rPr>
                <w:noProof/>
                <w:webHidden/>
              </w:rPr>
              <w:tab/>
            </w:r>
            <w:r>
              <w:rPr>
                <w:noProof/>
                <w:webHidden/>
              </w:rPr>
              <w:fldChar w:fldCharType="begin"/>
            </w:r>
            <w:r>
              <w:rPr>
                <w:noProof/>
                <w:webHidden/>
              </w:rPr>
              <w:instrText xml:space="preserve"> PAGEREF _Toc236836429 \h </w:instrText>
            </w:r>
            <w:r>
              <w:rPr>
                <w:noProof/>
                <w:webHidden/>
              </w:rPr>
            </w:r>
            <w:r>
              <w:rPr>
                <w:noProof/>
                <w:webHidden/>
              </w:rPr>
              <w:fldChar w:fldCharType="separate"/>
            </w:r>
            <w:r>
              <w:rPr>
                <w:noProof/>
                <w:webHidden/>
              </w:rPr>
              <w:t>9</w:t>
            </w:r>
            <w:r>
              <w:rPr>
                <w:noProof/>
                <w:webHidden/>
              </w:rPr>
              <w:fldChar w:fldCharType="end"/>
            </w:r>
          </w:hyperlink>
        </w:p>
        <w:p w14:paraId="7DF93217" w14:textId="1ED99E23"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30" w:history="1">
            <w:r w:rsidRPr="004A4377">
              <w:rPr>
                <w:rStyle w:val="Hyperlink"/>
                <w:noProof/>
              </w:rPr>
              <w:t>Figure S8: Total incidences of physical therapy evaluation</w:t>
            </w:r>
            <w:r>
              <w:rPr>
                <w:noProof/>
                <w:webHidden/>
              </w:rPr>
              <w:tab/>
            </w:r>
            <w:r>
              <w:rPr>
                <w:noProof/>
                <w:webHidden/>
              </w:rPr>
              <w:fldChar w:fldCharType="begin"/>
            </w:r>
            <w:r>
              <w:rPr>
                <w:noProof/>
                <w:webHidden/>
              </w:rPr>
              <w:instrText xml:space="preserve"> PAGEREF _Toc236836430 \h </w:instrText>
            </w:r>
            <w:r>
              <w:rPr>
                <w:noProof/>
                <w:webHidden/>
              </w:rPr>
            </w:r>
            <w:r>
              <w:rPr>
                <w:noProof/>
                <w:webHidden/>
              </w:rPr>
              <w:fldChar w:fldCharType="separate"/>
            </w:r>
            <w:r>
              <w:rPr>
                <w:noProof/>
                <w:webHidden/>
              </w:rPr>
              <w:t>10</w:t>
            </w:r>
            <w:r>
              <w:rPr>
                <w:noProof/>
                <w:webHidden/>
              </w:rPr>
              <w:fldChar w:fldCharType="end"/>
            </w:r>
          </w:hyperlink>
        </w:p>
        <w:p w14:paraId="5C0386FA" w14:textId="63830DDF"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31" w:history="1">
            <w:r w:rsidRPr="004A4377">
              <w:rPr>
                <w:rStyle w:val="Hyperlink"/>
                <w:noProof/>
              </w:rPr>
              <w:t>Figure S9: Covariate balance plot</w:t>
            </w:r>
            <w:r>
              <w:rPr>
                <w:noProof/>
                <w:webHidden/>
              </w:rPr>
              <w:tab/>
            </w:r>
            <w:r>
              <w:rPr>
                <w:noProof/>
                <w:webHidden/>
              </w:rPr>
              <w:fldChar w:fldCharType="begin"/>
            </w:r>
            <w:r>
              <w:rPr>
                <w:noProof/>
                <w:webHidden/>
              </w:rPr>
              <w:instrText xml:space="preserve"> PAGEREF _Toc236836431 \h </w:instrText>
            </w:r>
            <w:r>
              <w:rPr>
                <w:noProof/>
                <w:webHidden/>
              </w:rPr>
            </w:r>
            <w:r>
              <w:rPr>
                <w:noProof/>
                <w:webHidden/>
              </w:rPr>
              <w:fldChar w:fldCharType="separate"/>
            </w:r>
            <w:r>
              <w:rPr>
                <w:noProof/>
                <w:webHidden/>
              </w:rPr>
              <w:t>11</w:t>
            </w:r>
            <w:r>
              <w:rPr>
                <w:noProof/>
                <w:webHidden/>
              </w:rPr>
              <w:fldChar w:fldCharType="end"/>
            </w:r>
          </w:hyperlink>
        </w:p>
        <w:p w14:paraId="0E5E10F2" w14:textId="6F4D3D75"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32" w:history="1">
            <w:r w:rsidRPr="004A4377">
              <w:rPr>
                <w:rStyle w:val="Hyperlink"/>
                <w:noProof/>
              </w:rPr>
              <w:t>Figure S10: Propensity score densities</w:t>
            </w:r>
            <w:r>
              <w:rPr>
                <w:noProof/>
                <w:webHidden/>
              </w:rPr>
              <w:tab/>
            </w:r>
            <w:r>
              <w:rPr>
                <w:noProof/>
                <w:webHidden/>
              </w:rPr>
              <w:fldChar w:fldCharType="begin"/>
            </w:r>
            <w:r>
              <w:rPr>
                <w:noProof/>
                <w:webHidden/>
              </w:rPr>
              <w:instrText xml:space="preserve"> PAGEREF _Toc236836432 \h </w:instrText>
            </w:r>
            <w:r>
              <w:rPr>
                <w:noProof/>
                <w:webHidden/>
              </w:rPr>
            </w:r>
            <w:r>
              <w:rPr>
                <w:noProof/>
                <w:webHidden/>
              </w:rPr>
              <w:fldChar w:fldCharType="separate"/>
            </w:r>
            <w:r>
              <w:rPr>
                <w:noProof/>
                <w:webHidden/>
              </w:rPr>
              <w:t>12</w:t>
            </w:r>
            <w:r>
              <w:rPr>
                <w:noProof/>
                <w:webHidden/>
              </w:rPr>
              <w:fldChar w:fldCharType="end"/>
            </w:r>
          </w:hyperlink>
        </w:p>
        <w:p w14:paraId="49BCCB83" w14:textId="6A25DE2F"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33" w:history="1">
            <w:r w:rsidRPr="004A4377">
              <w:rPr>
                <w:rStyle w:val="Hyperlink"/>
                <w:noProof/>
              </w:rPr>
              <w:t>Figure S11: Loss to follow-up</w:t>
            </w:r>
            <w:r>
              <w:rPr>
                <w:noProof/>
                <w:webHidden/>
              </w:rPr>
              <w:tab/>
            </w:r>
            <w:r>
              <w:rPr>
                <w:noProof/>
                <w:webHidden/>
              </w:rPr>
              <w:fldChar w:fldCharType="begin"/>
            </w:r>
            <w:r>
              <w:rPr>
                <w:noProof/>
                <w:webHidden/>
              </w:rPr>
              <w:instrText xml:space="preserve"> PAGEREF _Toc236836433 \h </w:instrText>
            </w:r>
            <w:r>
              <w:rPr>
                <w:noProof/>
                <w:webHidden/>
              </w:rPr>
            </w:r>
            <w:r>
              <w:rPr>
                <w:noProof/>
                <w:webHidden/>
              </w:rPr>
              <w:fldChar w:fldCharType="separate"/>
            </w:r>
            <w:r>
              <w:rPr>
                <w:noProof/>
                <w:webHidden/>
              </w:rPr>
              <w:t>12</w:t>
            </w:r>
            <w:r>
              <w:rPr>
                <w:noProof/>
                <w:webHidden/>
              </w:rPr>
              <w:fldChar w:fldCharType="end"/>
            </w:r>
          </w:hyperlink>
        </w:p>
        <w:p w14:paraId="6AD831E2" w14:textId="59CDEBFD"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34" w:history="1">
            <w:r w:rsidRPr="004A4377">
              <w:rPr>
                <w:rStyle w:val="Hyperlink"/>
                <w:noProof/>
              </w:rPr>
              <w:t>Figure S12: Negative control outcomes</w:t>
            </w:r>
            <w:r>
              <w:rPr>
                <w:noProof/>
                <w:webHidden/>
              </w:rPr>
              <w:tab/>
            </w:r>
            <w:r>
              <w:rPr>
                <w:noProof/>
                <w:webHidden/>
              </w:rPr>
              <w:fldChar w:fldCharType="begin"/>
            </w:r>
            <w:r>
              <w:rPr>
                <w:noProof/>
                <w:webHidden/>
              </w:rPr>
              <w:instrText xml:space="preserve"> PAGEREF _Toc236836434 \h </w:instrText>
            </w:r>
            <w:r>
              <w:rPr>
                <w:noProof/>
                <w:webHidden/>
              </w:rPr>
            </w:r>
            <w:r>
              <w:rPr>
                <w:noProof/>
                <w:webHidden/>
              </w:rPr>
              <w:fldChar w:fldCharType="separate"/>
            </w:r>
            <w:r>
              <w:rPr>
                <w:noProof/>
                <w:webHidden/>
              </w:rPr>
              <w:t>13</w:t>
            </w:r>
            <w:r>
              <w:rPr>
                <w:noProof/>
                <w:webHidden/>
              </w:rPr>
              <w:fldChar w:fldCharType="end"/>
            </w:r>
          </w:hyperlink>
        </w:p>
        <w:p w14:paraId="02FEAE61" w14:textId="64B0264C"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35" w:history="1">
            <w:r w:rsidRPr="004A4377">
              <w:rPr>
                <w:rStyle w:val="Hyperlink"/>
                <w:noProof/>
              </w:rPr>
              <w:t>Table S5: E-values</w:t>
            </w:r>
            <w:r>
              <w:rPr>
                <w:noProof/>
                <w:webHidden/>
              </w:rPr>
              <w:tab/>
            </w:r>
            <w:r>
              <w:rPr>
                <w:noProof/>
                <w:webHidden/>
              </w:rPr>
              <w:fldChar w:fldCharType="begin"/>
            </w:r>
            <w:r>
              <w:rPr>
                <w:noProof/>
                <w:webHidden/>
              </w:rPr>
              <w:instrText xml:space="preserve"> PAGEREF _Toc236836435 \h </w:instrText>
            </w:r>
            <w:r>
              <w:rPr>
                <w:noProof/>
                <w:webHidden/>
              </w:rPr>
            </w:r>
            <w:r>
              <w:rPr>
                <w:noProof/>
                <w:webHidden/>
              </w:rPr>
              <w:fldChar w:fldCharType="separate"/>
            </w:r>
            <w:r>
              <w:rPr>
                <w:noProof/>
                <w:webHidden/>
              </w:rPr>
              <w:t>13</w:t>
            </w:r>
            <w:r>
              <w:rPr>
                <w:noProof/>
                <w:webHidden/>
              </w:rPr>
              <w:fldChar w:fldCharType="end"/>
            </w:r>
          </w:hyperlink>
        </w:p>
        <w:p w14:paraId="7F747BB4" w14:textId="04A5DACB" w:rsidR="00E1683C" w:rsidRDefault="00E1683C">
          <w:pPr>
            <w:pStyle w:val="TOC1"/>
            <w:tabs>
              <w:tab w:val="right" w:leader="dot" w:pos="10070"/>
            </w:tabs>
            <w:rPr>
              <w:rFonts w:asciiTheme="minorHAnsi" w:eastAsiaTheme="minorEastAsia" w:hAnsiTheme="minorHAnsi"/>
              <w:noProof/>
              <w:kern w:val="2"/>
              <w:sz w:val="24"/>
              <w:szCs w:val="24"/>
              <w14:ligatures w14:val="standardContextual"/>
            </w:rPr>
          </w:pPr>
          <w:hyperlink w:anchor="_Toc236836436" w:history="1">
            <w:r w:rsidRPr="004A4377">
              <w:rPr>
                <w:rStyle w:val="Hyperlink"/>
                <w:noProof/>
              </w:rPr>
              <w:t>References</w:t>
            </w:r>
            <w:r>
              <w:rPr>
                <w:noProof/>
                <w:webHidden/>
              </w:rPr>
              <w:tab/>
            </w:r>
            <w:r>
              <w:rPr>
                <w:noProof/>
                <w:webHidden/>
              </w:rPr>
              <w:fldChar w:fldCharType="begin"/>
            </w:r>
            <w:r>
              <w:rPr>
                <w:noProof/>
                <w:webHidden/>
              </w:rPr>
              <w:instrText xml:space="preserve"> PAGEREF _Toc236836436 \h </w:instrText>
            </w:r>
            <w:r>
              <w:rPr>
                <w:noProof/>
                <w:webHidden/>
              </w:rPr>
            </w:r>
            <w:r>
              <w:rPr>
                <w:noProof/>
                <w:webHidden/>
              </w:rPr>
              <w:fldChar w:fldCharType="separate"/>
            </w:r>
            <w:r>
              <w:rPr>
                <w:noProof/>
                <w:webHidden/>
              </w:rPr>
              <w:t>13</w:t>
            </w:r>
            <w:r>
              <w:rPr>
                <w:noProof/>
                <w:webHidden/>
              </w:rPr>
              <w:fldChar w:fldCharType="end"/>
            </w:r>
          </w:hyperlink>
        </w:p>
        <w:p w14:paraId="611CC9BE" w14:textId="32BA98A3" w:rsidR="00BC3ACA" w:rsidRDefault="00BC3ACA">
          <w:r>
            <w:rPr>
              <w:b/>
              <w:bCs/>
              <w:noProof/>
            </w:rPr>
            <w:fldChar w:fldCharType="end"/>
          </w:r>
        </w:p>
      </w:sdtContent>
    </w:sdt>
    <w:p w14:paraId="252FA43B" w14:textId="77777777" w:rsidR="00BC3ACA" w:rsidRDefault="00BC3ACA" w:rsidP="00794DDD">
      <w:pPr>
        <w:pStyle w:val="Caption"/>
        <w:keepNext/>
        <w:keepLines/>
      </w:pPr>
    </w:p>
    <w:p w14:paraId="61DAE11D" w14:textId="77777777" w:rsidR="00810190" w:rsidRDefault="00810190" w:rsidP="00810190">
      <w:pPr>
        <w:keepNext/>
        <w:keepLines/>
        <w:jc w:val="center"/>
      </w:pPr>
      <w:r>
        <w:rPr>
          <w:noProof/>
        </w:rPr>
        <w:drawing>
          <wp:inline distT="0" distB="0" distL="0" distR="0" wp14:anchorId="4BA0F1D2" wp14:editId="08752EC3">
            <wp:extent cx="5794884" cy="5479085"/>
            <wp:effectExtent l="0" t="0" r="0" b="3810"/>
            <wp:docPr id="2140854324" name="Picture 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54324" name="Picture 2" descr="A screenshot of a computer screen&#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4884" cy="5479085"/>
                    </a:xfrm>
                    <a:prstGeom prst="rect">
                      <a:avLst/>
                    </a:prstGeom>
                    <a:noFill/>
                  </pic:spPr>
                </pic:pic>
              </a:graphicData>
            </a:graphic>
          </wp:inline>
        </w:drawing>
      </w:r>
    </w:p>
    <w:p w14:paraId="298F9A66" w14:textId="19F98465" w:rsidR="00810190" w:rsidRDefault="00810190" w:rsidP="00810190">
      <w:pPr>
        <w:pStyle w:val="Heading1"/>
      </w:pPr>
      <w:bookmarkStart w:id="0" w:name="_Toc236836419"/>
      <w:r>
        <w:t>Figure S</w:t>
      </w:r>
      <w:r>
        <w:fldChar w:fldCharType="begin"/>
      </w:r>
      <w:r>
        <w:instrText>SEQ Figure \* ARABIC</w:instrText>
      </w:r>
      <w:r>
        <w:fldChar w:fldCharType="separate"/>
      </w:r>
      <w:r w:rsidR="00C20113">
        <w:rPr>
          <w:noProof/>
        </w:rPr>
        <w:t>1</w:t>
      </w:r>
      <w:r>
        <w:fldChar w:fldCharType="end"/>
      </w:r>
      <w:r>
        <w:t xml:space="preserve">: </w:t>
      </w:r>
      <w:r w:rsidR="001A22F1">
        <w:t>S</w:t>
      </w:r>
      <w:r>
        <w:t>tudy design</w:t>
      </w:r>
      <w:r w:rsidR="001A22F1">
        <w:t xml:space="preserve"> elements</w:t>
      </w:r>
      <w:bookmarkEnd w:id="0"/>
    </w:p>
    <w:p w14:paraId="24FAFBF7" w14:textId="193438FB" w:rsidR="00810190" w:rsidRDefault="00810190" w:rsidP="00810190">
      <w:pPr>
        <w:pStyle w:val="NoSpacing"/>
      </w:pPr>
      <w:r w:rsidRPr="00703117">
        <w:t xml:space="preserve">The vertical arrow </w:t>
      </w:r>
      <w:r>
        <w:t>indicates</w:t>
      </w:r>
      <w:r w:rsidRPr="00703117">
        <w:t xml:space="preserve"> the index dat</w:t>
      </w:r>
      <w:r>
        <w:t xml:space="preserve">e </w:t>
      </w:r>
      <w:r w:rsidRPr="00703117">
        <w:t>(day 0)</w:t>
      </w:r>
      <w:r>
        <w:t>, when spinal manipulative therapy (SMT) or ibuprofen are received and eligibility criteria are met</w:t>
      </w:r>
      <w:r w:rsidRPr="00703117">
        <w:t xml:space="preserve">. </w:t>
      </w:r>
      <w:r>
        <w:t>Boxes and text descriptions show the</w:t>
      </w:r>
      <w:r w:rsidRPr="00703117">
        <w:t xml:space="preserve"> </w:t>
      </w:r>
      <w:r>
        <w:t>eligibility</w:t>
      </w:r>
      <w:r w:rsidRPr="00703117">
        <w:t xml:space="preserve"> criteria which were assessed during</w:t>
      </w:r>
      <w:r>
        <w:t xml:space="preserve"> individual</w:t>
      </w:r>
      <w:r w:rsidRPr="00703117">
        <w:t xml:space="preserve"> time windows </w:t>
      </w:r>
      <w:proofErr w:type="gramStart"/>
      <w:r w:rsidRPr="00703117">
        <w:t>([#, #]</w:t>
      </w:r>
      <w:proofErr w:type="gramEnd"/>
      <w:r w:rsidRPr="00703117">
        <w:t xml:space="preserve">) </w:t>
      </w:r>
      <w:r>
        <w:t xml:space="preserve">in </w:t>
      </w:r>
      <w:r w:rsidRPr="00703117">
        <w:t xml:space="preserve">days </w:t>
      </w:r>
      <w:r>
        <w:t>relative to</w:t>
      </w:r>
      <w:r w:rsidRPr="00703117">
        <w:t xml:space="preserve"> the index date</w:t>
      </w:r>
      <w:r>
        <w:t>. Previous manual therapies and SMT exclusion extends to day 0 for the ibuprofen cohort (*).</w:t>
      </w:r>
      <w:r w:rsidRPr="00703117">
        <w:t xml:space="preserve"> </w:t>
      </w:r>
      <w:r>
        <w:t>Other abbreviations: Cervical artery dissection (CeAD). Figure</w:t>
      </w:r>
      <w:r w:rsidRPr="00703117">
        <w:t xml:space="preserve"> created using </w:t>
      </w:r>
      <w:r>
        <w:t xml:space="preserve">a </w:t>
      </w:r>
      <w:r w:rsidRPr="00703117">
        <w:t xml:space="preserve">Creative Commons template from </w:t>
      </w:r>
      <w:r>
        <w:t>Wang</w:t>
      </w:r>
      <w:r w:rsidRPr="00703117">
        <w:t xml:space="preserve"> et al</w:t>
      </w:r>
      <w:r>
        <w:t xml:space="preserve"> </w:t>
      </w:r>
      <w:r>
        <w:fldChar w:fldCharType="begin"/>
      </w:r>
      <w:r w:rsidR="003E6EF5">
        <w:instrText xml:space="preserve"> ADDIN ZOTERO_ITEM CSL_CITATION {"citationID":"KZD9s7qy","properties":{"formattedCitation":"[1]","plainCitation":"[1]","noteIndex":0},"citationItems":[{"id":27456,"uris":["http://zotero.org/users/1179918/items/TVA7L6NB"],"itemData":{"id":27456,"type":"article-journal","abstract":"Background\nThere is growing interest in using evidence generated from clinical practice data to support regulatory, coverage and other healthcare decision-making. A graphical framework for depicting longitudinal study designs to mitigate this barrier was introduced and has found wide acceptance. We sought to enhance the framework to contain information that helps readers assess the appropriateness of the source data in which the study design was applied.\n\nMethods\nFor the enhanced graphical framework, we added a simple visualization of data type and observability to capture differences between electronic health record (EHR) and other registry data that may have limited data continuity and insurance claims data that have enrollment files.\n\nResults\nWe illustrate the revised graphical framework with 2 example studies conducted using different data sources, including administrative claims only, EHR only, linked claims and EHR, as well as specialty community based EHRs with and without external linkages.\n\nConclusion\nThe enhanced visualization framework is important because evaluation of study validity needs to consider the triad of study question, design, and data together. Any given data source or study design may be appropriate for some questions but not others.","container-title":"Clinical Epidemiology","DOI":"10.2147/CLEP.S358583","ISSN":"1179-1349","journalAbbreviation":"Clin Epidemiol","page":"601-608","PMID":"35520277","PMCID":"PMC9063805","source":"PubMed Central","title":"A Framework for Visualizing Study Designs and Data Observability in Electronic Health Record Data","URL":"https://www.ncbi.nlm.nih.gov/pmc/articles/PMC9063805/","volume":"14","author":[{"family":"Wang","given":"Shirley V"},{"family":"Schneeweiss","given":"Sebastian"}],"accessed":{"date-parts":[["2024",10,7]]},"issued":{"date-parts":[["2022",4,29]]}}}],"schema":"https://github.com/citation-style-language/schema/raw/master/csl-citation.json"} </w:instrText>
      </w:r>
      <w:r>
        <w:fldChar w:fldCharType="separate"/>
      </w:r>
      <w:r w:rsidR="00C81629" w:rsidRPr="00C81629">
        <w:rPr>
          <w:rFonts w:ascii="Aptos" w:hAnsi="Aptos"/>
        </w:rPr>
        <w:t>[1]</w:t>
      </w:r>
      <w:r>
        <w:fldChar w:fldCharType="end"/>
      </w:r>
      <w:r>
        <w:t xml:space="preserve"> (doi: </w:t>
      </w:r>
      <w:r w:rsidRPr="009627EC">
        <w:t>10.2147/CLEP.S358583</w:t>
      </w:r>
      <w:r>
        <w:t>).</w:t>
      </w:r>
    </w:p>
    <w:p w14:paraId="00B66621" w14:textId="6AA7CE57" w:rsidR="005B18C9" w:rsidRDefault="005B18C9">
      <w:pPr>
        <w:spacing w:after="160" w:line="259" w:lineRule="auto"/>
      </w:pPr>
      <w:r>
        <w:br w:type="page"/>
      </w:r>
    </w:p>
    <w:p w14:paraId="46BC6B0D" w14:textId="77777777" w:rsidR="005B18C9" w:rsidRPr="007F1803" w:rsidRDefault="005B18C9" w:rsidP="005B18C9"/>
    <w:p w14:paraId="4563A0FF" w14:textId="42757B4E" w:rsidR="005B18C9" w:rsidRDefault="005B18C9" w:rsidP="005B18C9">
      <w:pPr>
        <w:pStyle w:val="Heading1"/>
      </w:pPr>
      <w:bookmarkStart w:id="1" w:name="_Toc236836420"/>
      <w:r w:rsidRPr="00BC3ACA">
        <w:rPr>
          <w:rStyle w:val="Heading1Char"/>
          <w:b/>
          <w:i/>
        </w:rPr>
        <w:t>Table S1: Neck pain and headache definition</w:t>
      </w:r>
      <w:bookmarkEnd w:id="1"/>
      <w:r w:rsidRPr="00BC3ACA">
        <w:t xml:space="preserve"> </w:t>
      </w:r>
    </w:p>
    <w:p w14:paraId="1A243739" w14:textId="77777777" w:rsidR="005B18C9" w:rsidRPr="006B7659" w:rsidRDefault="005B18C9" w:rsidP="005B18C9">
      <w:pPr>
        <w:pStyle w:val="NoSpacing"/>
      </w:pPr>
      <w:r w:rsidRPr="006B7659">
        <w:t>Abbreviations: International Classification of Diseases, 10th Revision (ICD-10)</w:t>
      </w:r>
    </w:p>
    <w:tbl>
      <w:tblPr>
        <w:tblStyle w:val="TableGridLight"/>
        <w:tblW w:w="6660" w:type="dxa"/>
        <w:tblLook w:val="04A0" w:firstRow="1" w:lastRow="0" w:firstColumn="1" w:lastColumn="0" w:noHBand="0" w:noVBand="1"/>
      </w:tblPr>
      <w:tblGrid>
        <w:gridCol w:w="1890"/>
        <w:gridCol w:w="4770"/>
      </w:tblGrid>
      <w:tr w:rsidR="005B18C9" w:rsidRPr="00B87B07" w14:paraId="7423B04E" w14:textId="77777777" w:rsidTr="00657272">
        <w:trPr>
          <w:trHeight w:val="226"/>
        </w:trPr>
        <w:tc>
          <w:tcPr>
            <w:tcW w:w="1890" w:type="dxa"/>
            <w:noWrap/>
          </w:tcPr>
          <w:p w14:paraId="7A673E59" w14:textId="77777777" w:rsidR="005B18C9" w:rsidRPr="002A6227" w:rsidDel="00A01FA7" w:rsidRDefault="005B18C9" w:rsidP="00657272">
            <w:pPr>
              <w:keepNext/>
              <w:keepLines/>
              <w:spacing w:after="0"/>
              <w:rPr>
                <w:rFonts w:ascii="Calibri" w:eastAsia="Times New Roman" w:hAnsi="Calibri" w:cs="Calibri"/>
                <w:b/>
                <w:bCs/>
                <w:color w:val="000000"/>
              </w:rPr>
            </w:pPr>
            <w:r w:rsidRPr="002A6227">
              <w:rPr>
                <w:rFonts w:ascii="Calibri" w:eastAsia="Times New Roman" w:hAnsi="Calibri" w:cs="Calibri"/>
                <w:b/>
                <w:bCs/>
                <w:color w:val="000000"/>
              </w:rPr>
              <w:t>ICD-10 Codes</w:t>
            </w:r>
          </w:p>
        </w:tc>
        <w:tc>
          <w:tcPr>
            <w:tcW w:w="4770" w:type="dxa"/>
            <w:noWrap/>
          </w:tcPr>
          <w:p w14:paraId="65CFE8D2" w14:textId="77777777" w:rsidR="005B18C9" w:rsidRPr="007C6B15" w:rsidDel="00A01FA7" w:rsidRDefault="005B18C9" w:rsidP="00657272">
            <w:pPr>
              <w:keepNext/>
              <w:keepLines/>
              <w:spacing w:after="0"/>
              <w:rPr>
                <w:rFonts w:ascii="Calibri" w:eastAsia="Times New Roman" w:hAnsi="Calibri" w:cs="Calibri"/>
                <w:b/>
                <w:bCs/>
                <w:color w:val="000000"/>
              </w:rPr>
            </w:pPr>
            <w:r w:rsidRPr="007C6B15">
              <w:rPr>
                <w:rFonts w:ascii="Calibri" w:eastAsia="Times New Roman" w:hAnsi="Calibri" w:cs="Calibri"/>
                <w:b/>
                <w:bCs/>
                <w:color w:val="000000"/>
              </w:rPr>
              <w:t>Definition</w:t>
            </w:r>
          </w:p>
        </w:tc>
      </w:tr>
      <w:tr w:rsidR="005B18C9" w:rsidRPr="00B87B07" w14:paraId="739C5D91" w14:textId="77777777" w:rsidTr="00657272">
        <w:trPr>
          <w:trHeight w:val="226"/>
        </w:trPr>
        <w:tc>
          <w:tcPr>
            <w:tcW w:w="6660" w:type="dxa"/>
            <w:gridSpan w:val="2"/>
            <w:noWrap/>
          </w:tcPr>
          <w:p w14:paraId="182F8F62" w14:textId="77777777" w:rsidR="005B18C9" w:rsidRPr="003E1D9B" w:rsidRDefault="005B18C9" w:rsidP="00657272">
            <w:pPr>
              <w:keepNext/>
              <w:keepLines/>
              <w:spacing w:after="0"/>
              <w:rPr>
                <w:rFonts w:ascii="Calibri" w:eastAsia="Times New Roman" w:hAnsi="Calibri" w:cs="Calibri"/>
                <w:b/>
                <w:bCs/>
                <w:color w:val="000000"/>
              </w:rPr>
            </w:pPr>
            <w:r w:rsidRPr="003E1D9B">
              <w:rPr>
                <w:rFonts w:ascii="Calibri" w:eastAsia="Times New Roman" w:hAnsi="Calibri" w:cs="Calibri"/>
                <w:b/>
                <w:bCs/>
                <w:color w:val="000000"/>
              </w:rPr>
              <w:t>Neck pain</w:t>
            </w:r>
          </w:p>
        </w:tc>
      </w:tr>
      <w:tr w:rsidR="005B18C9" w:rsidRPr="00B87B07" w14:paraId="67CB9E02" w14:textId="77777777" w:rsidTr="00657272">
        <w:trPr>
          <w:trHeight w:val="226"/>
        </w:trPr>
        <w:tc>
          <w:tcPr>
            <w:tcW w:w="1890" w:type="dxa"/>
            <w:noWrap/>
          </w:tcPr>
          <w:p w14:paraId="50BE8201" w14:textId="77777777" w:rsidR="005B18C9" w:rsidRPr="00B87B07" w:rsidRDefault="005B18C9" w:rsidP="00657272">
            <w:pPr>
              <w:keepNext/>
              <w:keepLines/>
              <w:spacing w:after="100" w:afterAutospacing="1"/>
              <w:ind w:left="76"/>
              <w:rPr>
                <w:rFonts w:ascii="Calibri" w:eastAsia="Times New Roman" w:hAnsi="Calibri" w:cs="Calibri"/>
                <w:color w:val="000000"/>
              </w:rPr>
            </w:pPr>
            <w:r>
              <w:rPr>
                <w:rFonts w:ascii="Calibri" w:eastAsia="Times New Roman" w:hAnsi="Calibri" w:cs="Calibri"/>
                <w:color w:val="000000"/>
              </w:rPr>
              <w:t>M50.1</w:t>
            </w:r>
          </w:p>
        </w:tc>
        <w:tc>
          <w:tcPr>
            <w:tcW w:w="4770" w:type="dxa"/>
            <w:noWrap/>
          </w:tcPr>
          <w:p w14:paraId="378E43CB" w14:textId="77777777" w:rsidR="005B18C9" w:rsidRPr="00B87B07" w:rsidRDefault="005B18C9" w:rsidP="00657272">
            <w:pPr>
              <w:keepNext/>
              <w:keepLines/>
              <w:spacing w:after="100" w:afterAutospacing="1"/>
              <w:rPr>
                <w:rFonts w:ascii="Calibri" w:eastAsia="Times New Roman" w:hAnsi="Calibri" w:cs="Calibri"/>
                <w:color w:val="000000"/>
              </w:rPr>
            </w:pPr>
            <w:r>
              <w:rPr>
                <w:rFonts w:ascii="Calibri" w:eastAsia="Times New Roman" w:hAnsi="Calibri" w:cs="Calibri"/>
                <w:color w:val="000000"/>
              </w:rPr>
              <w:t>Cervical disc disorder with radiculopathy</w:t>
            </w:r>
          </w:p>
        </w:tc>
      </w:tr>
      <w:tr w:rsidR="005B18C9" w:rsidRPr="00B87B07" w14:paraId="45C86E62" w14:textId="77777777" w:rsidTr="00657272">
        <w:trPr>
          <w:trHeight w:val="226"/>
        </w:trPr>
        <w:tc>
          <w:tcPr>
            <w:tcW w:w="1890" w:type="dxa"/>
            <w:noWrap/>
          </w:tcPr>
          <w:p w14:paraId="097995B6" w14:textId="77777777" w:rsidR="005B18C9" w:rsidRDefault="005B18C9" w:rsidP="00657272">
            <w:pPr>
              <w:keepNext/>
              <w:keepLines/>
              <w:spacing w:after="100" w:afterAutospacing="1"/>
              <w:ind w:left="76"/>
              <w:rPr>
                <w:rFonts w:ascii="Calibri" w:eastAsia="Times New Roman" w:hAnsi="Calibri" w:cs="Calibri"/>
                <w:color w:val="000000"/>
              </w:rPr>
            </w:pPr>
            <w:r>
              <w:rPr>
                <w:rFonts w:ascii="Calibri" w:eastAsia="Times New Roman" w:hAnsi="Calibri" w:cs="Calibri"/>
                <w:color w:val="000000"/>
              </w:rPr>
              <w:t>M54.2</w:t>
            </w:r>
          </w:p>
        </w:tc>
        <w:tc>
          <w:tcPr>
            <w:tcW w:w="4770" w:type="dxa"/>
            <w:noWrap/>
          </w:tcPr>
          <w:p w14:paraId="18711893" w14:textId="77777777" w:rsidR="005B18C9" w:rsidRDefault="005B18C9" w:rsidP="00657272">
            <w:pPr>
              <w:keepNext/>
              <w:keepLines/>
              <w:spacing w:after="100" w:afterAutospacing="1"/>
              <w:rPr>
                <w:rFonts w:ascii="Calibri" w:eastAsia="Times New Roman" w:hAnsi="Calibri" w:cs="Calibri"/>
                <w:color w:val="000000"/>
              </w:rPr>
            </w:pPr>
            <w:r>
              <w:rPr>
                <w:rFonts w:ascii="Calibri" w:eastAsia="Times New Roman" w:hAnsi="Calibri" w:cs="Calibri"/>
                <w:color w:val="000000"/>
              </w:rPr>
              <w:t>Cervicalgia</w:t>
            </w:r>
          </w:p>
        </w:tc>
      </w:tr>
      <w:tr w:rsidR="005B18C9" w14:paraId="426775D4" w14:textId="77777777" w:rsidTr="00657272">
        <w:trPr>
          <w:trHeight w:val="188"/>
        </w:trPr>
        <w:tc>
          <w:tcPr>
            <w:tcW w:w="1890" w:type="dxa"/>
            <w:noWrap/>
          </w:tcPr>
          <w:p w14:paraId="353F7B2C" w14:textId="77777777" w:rsidR="005B18C9" w:rsidRDefault="005B18C9" w:rsidP="00657272">
            <w:pPr>
              <w:keepNext/>
              <w:keepLines/>
              <w:spacing w:after="100" w:afterAutospacing="1"/>
              <w:ind w:left="76"/>
              <w:rPr>
                <w:rFonts w:ascii="Calibri" w:eastAsia="Times New Roman" w:hAnsi="Calibri" w:cs="Calibri"/>
                <w:color w:val="000000" w:themeColor="text1"/>
              </w:rPr>
            </w:pPr>
            <w:r w:rsidRPr="61C04222">
              <w:rPr>
                <w:rFonts w:ascii="Calibri" w:eastAsia="Times New Roman" w:hAnsi="Calibri" w:cs="Calibri"/>
                <w:color w:val="000000" w:themeColor="text1"/>
              </w:rPr>
              <w:t>M53.1</w:t>
            </w:r>
          </w:p>
        </w:tc>
        <w:tc>
          <w:tcPr>
            <w:tcW w:w="4770" w:type="dxa"/>
            <w:noWrap/>
          </w:tcPr>
          <w:p w14:paraId="5F650B18" w14:textId="77777777" w:rsidR="005B18C9" w:rsidRDefault="005B18C9" w:rsidP="00657272">
            <w:pPr>
              <w:keepNext/>
              <w:keepLines/>
              <w:spacing w:after="100" w:afterAutospacing="1"/>
              <w:rPr>
                <w:rFonts w:ascii="Calibri" w:eastAsia="Times New Roman" w:hAnsi="Calibri" w:cs="Calibri"/>
                <w:color w:val="000000" w:themeColor="text1"/>
              </w:rPr>
            </w:pPr>
            <w:r w:rsidRPr="61C04222">
              <w:rPr>
                <w:rFonts w:ascii="Calibri" w:eastAsia="Times New Roman" w:hAnsi="Calibri" w:cs="Calibri"/>
                <w:color w:val="000000" w:themeColor="text1"/>
              </w:rPr>
              <w:t>Cervicobrachial syndrome</w:t>
            </w:r>
          </w:p>
        </w:tc>
      </w:tr>
      <w:tr w:rsidR="005B18C9" w14:paraId="7BC506F3" w14:textId="77777777" w:rsidTr="00657272">
        <w:trPr>
          <w:trHeight w:val="226"/>
        </w:trPr>
        <w:tc>
          <w:tcPr>
            <w:tcW w:w="1890" w:type="dxa"/>
            <w:noWrap/>
          </w:tcPr>
          <w:p w14:paraId="16202541" w14:textId="77777777" w:rsidR="005B18C9" w:rsidRDefault="005B18C9" w:rsidP="00657272">
            <w:pPr>
              <w:keepNext/>
              <w:keepLines/>
              <w:spacing w:after="100" w:afterAutospacing="1"/>
              <w:ind w:left="76"/>
              <w:rPr>
                <w:rFonts w:ascii="Calibri" w:eastAsia="Times New Roman" w:hAnsi="Calibri" w:cs="Calibri"/>
                <w:color w:val="000000" w:themeColor="text1"/>
              </w:rPr>
            </w:pPr>
            <w:r w:rsidRPr="61C04222">
              <w:rPr>
                <w:rFonts w:ascii="Calibri" w:eastAsia="Times New Roman" w:hAnsi="Calibri" w:cs="Calibri"/>
                <w:color w:val="000000" w:themeColor="text1"/>
              </w:rPr>
              <w:t>M53.82</w:t>
            </w:r>
          </w:p>
        </w:tc>
        <w:tc>
          <w:tcPr>
            <w:tcW w:w="4770" w:type="dxa"/>
            <w:noWrap/>
          </w:tcPr>
          <w:p w14:paraId="6A41DCEB" w14:textId="77777777" w:rsidR="005B18C9" w:rsidRDefault="005B18C9" w:rsidP="00657272">
            <w:pPr>
              <w:keepNext/>
              <w:keepLines/>
              <w:spacing w:after="100" w:afterAutospacing="1"/>
              <w:rPr>
                <w:rFonts w:ascii="Calibri" w:eastAsia="Times New Roman" w:hAnsi="Calibri" w:cs="Calibri"/>
                <w:color w:val="000000" w:themeColor="text1"/>
              </w:rPr>
            </w:pPr>
            <w:r w:rsidRPr="61C04222">
              <w:rPr>
                <w:rFonts w:ascii="Calibri" w:eastAsia="Times New Roman" w:hAnsi="Calibri" w:cs="Calibri"/>
                <w:color w:val="000000" w:themeColor="text1"/>
              </w:rPr>
              <w:t>Other specified dorsopathies, cervical region</w:t>
            </w:r>
          </w:p>
        </w:tc>
      </w:tr>
      <w:tr w:rsidR="005B18C9" w14:paraId="0F1B1805" w14:textId="77777777" w:rsidTr="00657272">
        <w:trPr>
          <w:trHeight w:val="206"/>
        </w:trPr>
        <w:tc>
          <w:tcPr>
            <w:tcW w:w="1890" w:type="dxa"/>
            <w:noWrap/>
          </w:tcPr>
          <w:p w14:paraId="50A8817A" w14:textId="77777777" w:rsidR="005B18C9" w:rsidRDefault="005B18C9" w:rsidP="00657272">
            <w:pPr>
              <w:keepNext/>
              <w:keepLines/>
              <w:spacing w:after="100" w:afterAutospacing="1"/>
              <w:ind w:left="76"/>
              <w:rPr>
                <w:rFonts w:ascii="Calibri" w:eastAsia="Times New Roman" w:hAnsi="Calibri" w:cs="Calibri"/>
                <w:color w:val="000000" w:themeColor="text1"/>
              </w:rPr>
            </w:pPr>
            <w:r w:rsidRPr="7F9C0E33">
              <w:rPr>
                <w:rFonts w:ascii="Calibri" w:eastAsia="Times New Roman" w:hAnsi="Calibri" w:cs="Calibri"/>
                <w:color w:val="000000" w:themeColor="text1"/>
              </w:rPr>
              <w:t>M54.12</w:t>
            </w:r>
          </w:p>
        </w:tc>
        <w:tc>
          <w:tcPr>
            <w:tcW w:w="4770" w:type="dxa"/>
            <w:noWrap/>
          </w:tcPr>
          <w:p w14:paraId="6B7C000E" w14:textId="77777777" w:rsidR="005B18C9" w:rsidRDefault="005B18C9" w:rsidP="00657272">
            <w:pPr>
              <w:keepNext/>
              <w:keepLines/>
              <w:spacing w:after="100" w:afterAutospacing="1"/>
              <w:rPr>
                <w:rFonts w:ascii="Calibri" w:eastAsia="Times New Roman" w:hAnsi="Calibri" w:cs="Calibri"/>
                <w:color w:val="000000" w:themeColor="text1"/>
              </w:rPr>
            </w:pPr>
            <w:r w:rsidRPr="7F9C0E33">
              <w:rPr>
                <w:rFonts w:ascii="Calibri" w:eastAsia="Times New Roman" w:hAnsi="Calibri" w:cs="Calibri"/>
                <w:color w:val="000000" w:themeColor="text1"/>
              </w:rPr>
              <w:t>Cervical radiculopathy</w:t>
            </w:r>
          </w:p>
        </w:tc>
      </w:tr>
      <w:tr w:rsidR="005B18C9" w:rsidRPr="00B87B07" w14:paraId="3155C194" w14:textId="77777777" w:rsidTr="00657272">
        <w:trPr>
          <w:trHeight w:val="226"/>
        </w:trPr>
        <w:tc>
          <w:tcPr>
            <w:tcW w:w="6660" w:type="dxa"/>
            <w:gridSpan w:val="2"/>
            <w:noWrap/>
          </w:tcPr>
          <w:p w14:paraId="1D751FE8" w14:textId="77777777" w:rsidR="005B18C9" w:rsidRPr="003E1D9B" w:rsidRDefault="005B18C9" w:rsidP="00657272">
            <w:pPr>
              <w:keepNext/>
              <w:keepLines/>
              <w:spacing w:after="100" w:afterAutospacing="1"/>
              <w:rPr>
                <w:b/>
                <w:bCs/>
              </w:rPr>
            </w:pPr>
            <w:r w:rsidRPr="003E1D9B">
              <w:rPr>
                <w:b/>
                <w:bCs/>
              </w:rPr>
              <w:t>Headache</w:t>
            </w:r>
          </w:p>
        </w:tc>
      </w:tr>
      <w:tr w:rsidR="005B18C9" w:rsidRPr="00B87B07" w14:paraId="78C7F3D6" w14:textId="77777777" w:rsidTr="00657272">
        <w:trPr>
          <w:trHeight w:val="226"/>
        </w:trPr>
        <w:tc>
          <w:tcPr>
            <w:tcW w:w="1890" w:type="dxa"/>
            <w:noWrap/>
          </w:tcPr>
          <w:p w14:paraId="41F00A61" w14:textId="77777777" w:rsidR="005B18C9" w:rsidRDefault="005B18C9" w:rsidP="00657272">
            <w:pPr>
              <w:keepNext/>
              <w:keepLines/>
              <w:spacing w:after="100" w:afterAutospacing="1"/>
              <w:ind w:left="76"/>
              <w:rPr>
                <w:rFonts w:ascii="Calibri" w:eastAsia="Times New Roman" w:hAnsi="Calibri" w:cs="Calibri"/>
                <w:color w:val="000000"/>
              </w:rPr>
            </w:pPr>
            <w:r>
              <w:rPr>
                <w:rFonts w:ascii="Calibri" w:eastAsia="Times New Roman" w:hAnsi="Calibri" w:cs="Calibri"/>
                <w:color w:val="000000"/>
              </w:rPr>
              <w:t>R51</w:t>
            </w:r>
          </w:p>
        </w:tc>
        <w:tc>
          <w:tcPr>
            <w:tcW w:w="4770" w:type="dxa"/>
            <w:noWrap/>
          </w:tcPr>
          <w:p w14:paraId="30CB0D3F" w14:textId="77777777" w:rsidR="005B18C9" w:rsidRDefault="005B18C9" w:rsidP="00657272">
            <w:pPr>
              <w:keepNext/>
              <w:keepLines/>
              <w:spacing w:after="100" w:afterAutospacing="1"/>
            </w:pPr>
            <w:r>
              <w:t>Headache</w:t>
            </w:r>
          </w:p>
        </w:tc>
      </w:tr>
      <w:tr w:rsidR="005B18C9" w:rsidRPr="00B87B07" w14:paraId="041FF2FE" w14:textId="77777777" w:rsidTr="00657272">
        <w:trPr>
          <w:trHeight w:val="226"/>
        </w:trPr>
        <w:tc>
          <w:tcPr>
            <w:tcW w:w="1890" w:type="dxa"/>
            <w:noWrap/>
          </w:tcPr>
          <w:p w14:paraId="29E263A9" w14:textId="77777777" w:rsidR="005B18C9" w:rsidRDefault="005B18C9" w:rsidP="00657272">
            <w:pPr>
              <w:keepNext/>
              <w:keepLines/>
              <w:spacing w:after="100" w:afterAutospacing="1"/>
              <w:ind w:left="76"/>
              <w:rPr>
                <w:rFonts w:ascii="Calibri" w:eastAsia="Times New Roman" w:hAnsi="Calibri" w:cs="Calibri"/>
                <w:color w:val="000000"/>
              </w:rPr>
            </w:pPr>
            <w:r>
              <w:rPr>
                <w:rFonts w:ascii="Calibri" w:eastAsia="Times New Roman" w:hAnsi="Calibri" w:cs="Calibri"/>
                <w:color w:val="000000"/>
              </w:rPr>
              <w:t>G43</w:t>
            </w:r>
          </w:p>
        </w:tc>
        <w:tc>
          <w:tcPr>
            <w:tcW w:w="4770" w:type="dxa"/>
            <w:noWrap/>
          </w:tcPr>
          <w:p w14:paraId="6D161B3D" w14:textId="77777777" w:rsidR="005B18C9" w:rsidRPr="00CE4506" w:rsidRDefault="005B18C9" w:rsidP="00657272">
            <w:pPr>
              <w:keepNext/>
              <w:keepLines/>
              <w:spacing w:after="100" w:afterAutospacing="1"/>
            </w:pPr>
            <w:r>
              <w:t>Migraine</w:t>
            </w:r>
          </w:p>
        </w:tc>
      </w:tr>
      <w:tr w:rsidR="005B18C9" w:rsidRPr="00B87B07" w14:paraId="1EA3E730" w14:textId="77777777" w:rsidTr="00657272">
        <w:trPr>
          <w:trHeight w:val="226"/>
        </w:trPr>
        <w:tc>
          <w:tcPr>
            <w:tcW w:w="1890" w:type="dxa"/>
            <w:noWrap/>
          </w:tcPr>
          <w:p w14:paraId="58B9A941" w14:textId="77777777" w:rsidR="005B18C9" w:rsidRDefault="005B18C9" w:rsidP="00657272">
            <w:pPr>
              <w:keepNext/>
              <w:keepLines/>
              <w:spacing w:after="100" w:afterAutospacing="1"/>
              <w:ind w:left="76"/>
              <w:rPr>
                <w:rFonts w:ascii="Calibri" w:eastAsia="Times New Roman" w:hAnsi="Calibri" w:cs="Calibri"/>
                <w:color w:val="000000"/>
              </w:rPr>
            </w:pPr>
            <w:r>
              <w:rPr>
                <w:rFonts w:ascii="Calibri" w:eastAsia="Times New Roman" w:hAnsi="Calibri" w:cs="Calibri"/>
                <w:color w:val="000000"/>
              </w:rPr>
              <w:t>G44.2</w:t>
            </w:r>
          </w:p>
        </w:tc>
        <w:tc>
          <w:tcPr>
            <w:tcW w:w="4770" w:type="dxa"/>
            <w:noWrap/>
          </w:tcPr>
          <w:p w14:paraId="659EF82E" w14:textId="77777777" w:rsidR="005B18C9" w:rsidRDefault="005B18C9" w:rsidP="00657272">
            <w:pPr>
              <w:keepNext/>
              <w:keepLines/>
              <w:spacing w:after="100" w:afterAutospacing="1"/>
            </w:pPr>
            <w:r>
              <w:t>Tension-type headache</w:t>
            </w:r>
          </w:p>
        </w:tc>
      </w:tr>
      <w:tr w:rsidR="005B18C9" w:rsidRPr="00B87B07" w14:paraId="3D63215E" w14:textId="77777777" w:rsidTr="00657272">
        <w:trPr>
          <w:trHeight w:val="226"/>
        </w:trPr>
        <w:tc>
          <w:tcPr>
            <w:tcW w:w="1890" w:type="dxa"/>
            <w:noWrap/>
          </w:tcPr>
          <w:p w14:paraId="10E8D430" w14:textId="77777777" w:rsidR="005B18C9" w:rsidRDefault="005B18C9" w:rsidP="00657272">
            <w:pPr>
              <w:keepNext/>
              <w:keepLines/>
              <w:spacing w:after="100" w:afterAutospacing="1"/>
              <w:ind w:left="76"/>
              <w:rPr>
                <w:rFonts w:ascii="Calibri" w:eastAsia="Times New Roman" w:hAnsi="Calibri" w:cs="Calibri"/>
                <w:color w:val="000000"/>
              </w:rPr>
            </w:pPr>
            <w:r w:rsidRPr="334693F7">
              <w:rPr>
                <w:rFonts w:ascii="Calibri" w:eastAsia="Times New Roman" w:hAnsi="Calibri" w:cs="Calibri"/>
                <w:color w:val="000000" w:themeColor="text1"/>
              </w:rPr>
              <w:t>G44.86</w:t>
            </w:r>
          </w:p>
        </w:tc>
        <w:tc>
          <w:tcPr>
            <w:tcW w:w="4770" w:type="dxa"/>
            <w:noWrap/>
          </w:tcPr>
          <w:p w14:paraId="4F20EE4F" w14:textId="77777777" w:rsidR="005B18C9" w:rsidRDefault="005B18C9" w:rsidP="00657272">
            <w:pPr>
              <w:keepNext/>
              <w:keepLines/>
              <w:spacing w:after="100" w:afterAutospacing="1"/>
            </w:pPr>
            <w:r>
              <w:t>Cervicogenic headache</w:t>
            </w:r>
          </w:p>
        </w:tc>
      </w:tr>
      <w:tr w:rsidR="005B18C9" w:rsidRPr="00B87B07" w14:paraId="57652E4E" w14:textId="77777777" w:rsidTr="00657272">
        <w:trPr>
          <w:trHeight w:val="226"/>
        </w:trPr>
        <w:tc>
          <w:tcPr>
            <w:tcW w:w="1890" w:type="dxa"/>
            <w:noWrap/>
          </w:tcPr>
          <w:p w14:paraId="1F03F6BB" w14:textId="77777777" w:rsidR="005B18C9" w:rsidRDefault="005B18C9" w:rsidP="00657272">
            <w:pPr>
              <w:keepNext/>
              <w:keepLines/>
              <w:spacing w:after="100" w:afterAutospacing="1"/>
              <w:ind w:left="76"/>
              <w:rPr>
                <w:rFonts w:ascii="Calibri" w:eastAsia="Times New Roman" w:hAnsi="Calibri" w:cs="Calibri"/>
                <w:color w:val="000000"/>
              </w:rPr>
            </w:pPr>
            <w:r>
              <w:rPr>
                <w:rFonts w:ascii="Calibri" w:eastAsia="Times New Roman" w:hAnsi="Calibri" w:cs="Calibri"/>
                <w:color w:val="000000"/>
              </w:rPr>
              <w:t>M54.81</w:t>
            </w:r>
          </w:p>
        </w:tc>
        <w:tc>
          <w:tcPr>
            <w:tcW w:w="4770" w:type="dxa"/>
            <w:noWrap/>
          </w:tcPr>
          <w:p w14:paraId="761D26C4" w14:textId="77777777" w:rsidR="005B18C9" w:rsidRDefault="005B18C9" w:rsidP="00657272">
            <w:pPr>
              <w:keepNext/>
              <w:keepLines/>
              <w:spacing w:after="100" w:afterAutospacing="1"/>
            </w:pPr>
            <w:r>
              <w:t>Occipital neuralgia</w:t>
            </w:r>
          </w:p>
        </w:tc>
      </w:tr>
    </w:tbl>
    <w:p w14:paraId="1C9978CF" w14:textId="77777777" w:rsidR="005B18C9" w:rsidRDefault="005B18C9">
      <w:pPr>
        <w:spacing w:after="160" w:line="259" w:lineRule="auto"/>
      </w:pPr>
    </w:p>
    <w:p w14:paraId="52FA3712" w14:textId="77777777" w:rsidR="005B18C9" w:rsidRDefault="005B18C9">
      <w:pPr>
        <w:spacing w:after="160" w:line="259" w:lineRule="auto"/>
        <w:rPr>
          <w:rFonts w:eastAsiaTheme="majorEastAsia" w:cstheme="majorBidi"/>
          <w:b/>
          <w:i/>
          <w:szCs w:val="40"/>
        </w:rPr>
      </w:pPr>
      <w:r>
        <w:br w:type="page"/>
      </w:r>
    </w:p>
    <w:p w14:paraId="1A10DA2C" w14:textId="1499A370" w:rsidR="005B18C9" w:rsidRDefault="005B18C9" w:rsidP="005B18C9">
      <w:pPr>
        <w:pStyle w:val="Heading1"/>
      </w:pPr>
      <w:bookmarkStart w:id="2" w:name="_Toc236836421"/>
      <w:r w:rsidRPr="00D435E3">
        <w:lastRenderedPageBreak/>
        <w:t xml:space="preserve">Table </w:t>
      </w:r>
      <w:r>
        <w:t>S</w:t>
      </w:r>
      <w:r w:rsidRPr="00D435E3">
        <w:t>2: Exclusion criteria</w:t>
      </w:r>
      <w:bookmarkEnd w:id="2"/>
    </w:p>
    <w:p w14:paraId="22412BB8" w14:textId="6E003C29" w:rsidR="005B18C9" w:rsidRPr="00D435E3" w:rsidRDefault="005B18C9" w:rsidP="005B18C9">
      <w:pPr>
        <w:pStyle w:val="NoSpacing"/>
      </w:pPr>
      <w:r w:rsidRPr="00602459">
        <w:t>Abbreviations: any preceding duration of time available in the patient’s data (-</w:t>
      </w:r>
      <w:r w:rsidRPr="00D435E3">
        <w:t>∞),Current Procedural Terminology (CPT); International Classification of Diseases, 10</w:t>
      </w:r>
      <w:r w:rsidRPr="00602459">
        <w:t>th</w:t>
      </w:r>
      <w:r w:rsidRPr="00D435E3">
        <w:t xml:space="preserve"> Edition (ICD-10); ICD-10 Procedure Coding System (ICD-10-PCS)</w:t>
      </w:r>
      <w:r>
        <w:t xml:space="preserve">; </w:t>
      </w:r>
      <w:r w:rsidRPr="00D161FF">
        <w:t>Systematized Nomenclature of Medicine (SNOMED); normalized names for clinical drugs (RxNorm)</w:t>
      </w:r>
    </w:p>
    <w:tbl>
      <w:tblPr>
        <w:tblStyle w:val="TableGridLight"/>
        <w:tblW w:w="9573" w:type="dxa"/>
        <w:tblLook w:val="04A0" w:firstRow="1" w:lastRow="0" w:firstColumn="1" w:lastColumn="0" w:noHBand="0" w:noVBand="1"/>
      </w:tblPr>
      <w:tblGrid>
        <w:gridCol w:w="2588"/>
        <w:gridCol w:w="6081"/>
        <w:gridCol w:w="904"/>
      </w:tblGrid>
      <w:tr w:rsidR="005B18C9" w:rsidRPr="0039200C" w14:paraId="0E001A8E" w14:textId="77777777" w:rsidTr="00B05282">
        <w:trPr>
          <w:trHeight w:val="209"/>
        </w:trPr>
        <w:tc>
          <w:tcPr>
            <w:tcW w:w="2588" w:type="dxa"/>
            <w:noWrap/>
          </w:tcPr>
          <w:p w14:paraId="3937047E" w14:textId="77777777" w:rsidR="005B18C9" w:rsidRPr="0039200C" w:rsidDel="00A01FA7" w:rsidRDefault="005B18C9" w:rsidP="00657272">
            <w:pPr>
              <w:keepNext/>
              <w:keepLines/>
              <w:spacing w:after="0"/>
              <w:rPr>
                <w:rFonts w:eastAsia="Times New Roman" w:cs="Arial"/>
                <w:b/>
                <w:bCs/>
                <w:color w:val="000000"/>
                <w:szCs w:val="18"/>
              </w:rPr>
            </w:pPr>
            <w:r w:rsidRPr="0039200C">
              <w:rPr>
                <w:rFonts w:eastAsia="Times New Roman" w:cs="Arial"/>
                <w:b/>
                <w:bCs/>
                <w:color w:val="000000"/>
                <w:szCs w:val="18"/>
              </w:rPr>
              <w:t>Codes</w:t>
            </w:r>
          </w:p>
        </w:tc>
        <w:tc>
          <w:tcPr>
            <w:tcW w:w="6081" w:type="dxa"/>
            <w:noWrap/>
          </w:tcPr>
          <w:p w14:paraId="0EB416AA" w14:textId="77777777" w:rsidR="005B18C9" w:rsidRPr="0039200C" w:rsidDel="00A01FA7" w:rsidRDefault="005B18C9" w:rsidP="00657272">
            <w:pPr>
              <w:keepNext/>
              <w:keepLines/>
              <w:spacing w:after="0"/>
              <w:rPr>
                <w:rFonts w:eastAsia="Times New Roman" w:cs="Arial"/>
                <w:b/>
                <w:bCs/>
                <w:color w:val="000000"/>
                <w:szCs w:val="18"/>
              </w:rPr>
            </w:pPr>
            <w:r w:rsidRPr="0039200C">
              <w:rPr>
                <w:rFonts w:eastAsia="Times New Roman" w:cs="Arial"/>
                <w:b/>
                <w:bCs/>
                <w:color w:val="000000"/>
                <w:szCs w:val="18"/>
              </w:rPr>
              <w:t>Definition</w:t>
            </w:r>
          </w:p>
        </w:tc>
        <w:tc>
          <w:tcPr>
            <w:tcW w:w="904" w:type="dxa"/>
          </w:tcPr>
          <w:p w14:paraId="2DD636C6" w14:textId="77777777" w:rsidR="005B18C9" w:rsidRPr="0039200C" w:rsidRDefault="005B18C9" w:rsidP="00657272">
            <w:pPr>
              <w:keepNext/>
              <w:keepLines/>
              <w:spacing w:after="0"/>
              <w:jc w:val="center"/>
              <w:rPr>
                <w:rFonts w:eastAsia="Times New Roman" w:cs="Arial"/>
                <w:b/>
                <w:bCs/>
                <w:color w:val="000000"/>
                <w:szCs w:val="18"/>
              </w:rPr>
            </w:pPr>
            <w:r w:rsidRPr="0039200C">
              <w:rPr>
                <w:rFonts w:eastAsia="Times New Roman" w:cs="Arial"/>
                <w:b/>
                <w:bCs/>
                <w:color w:val="000000"/>
                <w:szCs w:val="18"/>
              </w:rPr>
              <w:t>Days</w:t>
            </w:r>
          </w:p>
        </w:tc>
      </w:tr>
      <w:tr w:rsidR="005B18C9" w:rsidRPr="0039200C" w14:paraId="7B7F32FF" w14:textId="77777777" w:rsidTr="00B05282">
        <w:trPr>
          <w:trHeight w:val="209"/>
        </w:trPr>
        <w:tc>
          <w:tcPr>
            <w:tcW w:w="9573" w:type="dxa"/>
            <w:gridSpan w:val="3"/>
            <w:noWrap/>
          </w:tcPr>
          <w:p w14:paraId="35077E25" w14:textId="77777777" w:rsidR="005B18C9" w:rsidRPr="0039200C" w:rsidRDefault="005B18C9" w:rsidP="00657272">
            <w:pPr>
              <w:keepNext/>
              <w:keepLines/>
              <w:spacing w:after="0"/>
              <w:rPr>
                <w:rFonts w:eastAsia="Times New Roman" w:cs="Arial"/>
                <w:color w:val="000000"/>
                <w:szCs w:val="18"/>
              </w:rPr>
            </w:pPr>
            <w:r w:rsidRPr="0039200C">
              <w:rPr>
                <w:rFonts w:eastAsia="Times New Roman" w:cs="Arial"/>
                <w:b/>
                <w:bCs/>
                <w:color w:val="000000"/>
                <w:szCs w:val="18"/>
              </w:rPr>
              <w:t>Exclusions for both cohorts</w:t>
            </w:r>
          </w:p>
        </w:tc>
      </w:tr>
      <w:tr w:rsidR="005B18C9" w:rsidRPr="0039200C" w14:paraId="038DAD61" w14:textId="77777777" w:rsidTr="00B05282">
        <w:trPr>
          <w:trHeight w:val="209"/>
        </w:trPr>
        <w:tc>
          <w:tcPr>
            <w:tcW w:w="2588" w:type="dxa"/>
            <w:noWrap/>
          </w:tcPr>
          <w:p w14:paraId="59D44D82"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I72.6 (ICD-10)</w:t>
            </w:r>
          </w:p>
        </w:tc>
        <w:tc>
          <w:tcPr>
            <w:tcW w:w="6081" w:type="dxa"/>
            <w:noWrap/>
          </w:tcPr>
          <w:p w14:paraId="40AE4B38" w14:textId="77777777" w:rsidR="005B18C9" w:rsidRPr="0039200C" w:rsidRDefault="005B18C9" w:rsidP="00657272">
            <w:pPr>
              <w:keepNext/>
              <w:keepLines/>
              <w:spacing w:after="0"/>
              <w:rPr>
                <w:rFonts w:eastAsia="Times New Roman" w:cs="Arial"/>
                <w:color w:val="000000"/>
                <w:szCs w:val="18"/>
              </w:rPr>
            </w:pPr>
            <w:r w:rsidRPr="0039200C">
              <w:rPr>
                <w:rFonts w:eastAsia="Times New Roman" w:cs="Arial"/>
                <w:color w:val="000000"/>
                <w:szCs w:val="18"/>
              </w:rPr>
              <w:t>Aneurysm of vertebral artery</w:t>
            </w:r>
          </w:p>
        </w:tc>
        <w:tc>
          <w:tcPr>
            <w:tcW w:w="904" w:type="dxa"/>
          </w:tcPr>
          <w:p w14:paraId="798878C2" w14:textId="77777777" w:rsidR="005B18C9" w:rsidRPr="0039200C" w:rsidRDefault="005B18C9" w:rsidP="00657272">
            <w:pPr>
              <w:keepNext/>
              <w:keepLines/>
              <w:spacing w:after="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7559020D" w14:textId="77777777" w:rsidTr="00B05282">
        <w:trPr>
          <w:trHeight w:val="209"/>
        </w:trPr>
        <w:tc>
          <w:tcPr>
            <w:tcW w:w="2588" w:type="dxa"/>
            <w:noWrap/>
          </w:tcPr>
          <w:p w14:paraId="6D41224D"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I77.71 (ICD-10)</w:t>
            </w:r>
          </w:p>
        </w:tc>
        <w:tc>
          <w:tcPr>
            <w:tcW w:w="6081" w:type="dxa"/>
            <w:noWrap/>
          </w:tcPr>
          <w:p w14:paraId="76CDC96C" w14:textId="77777777" w:rsidR="005B18C9" w:rsidRPr="0039200C" w:rsidRDefault="005B18C9" w:rsidP="00657272">
            <w:pPr>
              <w:keepNext/>
              <w:keepLines/>
              <w:spacing w:after="0"/>
              <w:rPr>
                <w:rFonts w:eastAsia="Times New Roman" w:cs="Arial"/>
                <w:color w:val="000000"/>
                <w:szCs w:val="18"/>
              </w:rPr>
            </w:pPr>
            <w:r w:rsidRPr="0039200C">
              <w:rPr>
                <w:rFonts w:eastAsia="Times New Roman" w:cs="Arial"/>
                <w:color w:val="000000"/>
                <w:szCs w:val="18"/>
              </w:rPr>
              <w:t>Dissection of carotid artery</w:t>
            </w:r>
          </w:p>
        </w:tc>
        <w:tc>
          <w:tcPr>
            <w:tcW w:w="904" w:type="dxa"/>
          </w:tcPr>
          <w:p w14:paraId="4FB53257" w14:textId="77777777" w:rsidR="005B18C9" w:rsidRPr="0039200C" w:rsidRDefault="005B18C9" w:rsidP="00657272">
            <w:pPr>
              <w:keepNext/>
              <w:keepLines/>
              <w:spacing w:after="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46C0FA68" w14:textId="77777777" w:rsidTr="00B05282">
        <w:trPr>
          <w:trHeight w:val="209"/>
        </w:trPr>
        <w:tc>
          <w:tcPr>
            <w:tcW w:w="2588" w:type="dxa"/>
            <w:noWrap/>
          </w:tcPr>
          <w:p w14:paraId="72B0B3BE" w14:textId="77777777" w:rsidR="005B18C9" w:rsidRPr="0039200C" w:rsidRDefault="005B18C9" w:rsidP="00657272">
            <w:pPr>
              <w:keepNext/>
              <w:keepLines/>
              <w:spacing w:after="0"/>
              <w:ind w:left="74"/>
              <w:rPr>
                <w:rFonts w:cs="Arial"/>
                <w:szCs w:val="18"/>
              </w:rPr>
            </w:pPr>
            <w:r w:rsidRPr="0039200C">
              <w:rPr>
                <w:rFonts w:eastAsia="Times New Roman" w:cs="Arial"/>
                <w:color w:val="000000"/>
                <w:szCs w:val="18"/>
              </w:rPr>
              <w:t>I77.74 (ICD-10)</w:t>
            </w:r>
          </w:p>
        </w:tc>
        <w:tc>
          <w:tcPr>
            <w:tcW w:w="6081" w:type="dxa"/>
            <w:noWrap/>
          </w:tcPr>
          <w:p w14:paraId="7FEC6626" w14:textId="77777777" w:rsidR="005B18C9" w:rsidRPr="0039200C" w:rsidRDefault="005B18C9" w:rsidP="00657272">
            <w:pPr>
              <w:keepNext/>
              <w:keepLines/>
              <w:spacing w:after="0"/>
              <w:rPr>
                <w:rFonts w:eastAsia="Times New Roman" w:cs="Arial"/>
                <w:color w:val="000000"/>
                <w:szCs w:val="18"/>
              </w:rPr>
            </w:pPr>
            <w:r w:rsidRPr="0039200C">
              <w:rPr>
                <w:rFonts w:eastAsia="Times New Roman" w:cs="Arial"/>
                <w:color w:val="000000"/>
                <w:szCs w:val="18"/>
              </w:rPr>
              <w:t>Dissection of vertebral artery</w:t>
            </w:r>
          </w:p>
        </w:tc>
        <w:tc>
          <w:tcPr>
            <w:tcW w:w="904" w:type="dxa"/>
          </w:tcPr>
          <w:p w14:paraId="2B17AFD3" w14:textId="77777777" w:rsidR="005B18C9" w:rsidRPr="0039200C" w:rsidRDefault="005B18C9" w:rsidP="00657272">
            <w:pPr>
              <w:keepNext/>
              <w:keepLines/>
              <w:spacing w:after="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2711724E" w14:textId="77777777" w:rsidTr="00B05282">
        <w:trPr>
          <w:trHeight w:val="209"/>
        </w:trPr>
        <w:tc>
          <w:tcPr>
            <w:tcW w:w="2588" w:type="dxa"/>
            <w:noWrap/>
          </w:tcPr>
          <w:p w14:paraId="74534FEE"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I77.75 (ICD-10)</w:t>
            </w:r>
          </w:p>
        </w:tc>
        <w:tc>
          <w:tcPr>
            <w:tcW w:w="6081" w:type="dxa"/>
            <w:noWrap/>
          </w:tcPr>
          <w:p w14:paraId="3B2E49BC" w14:textId="77777777" w:rsidR="005B18C9" w:rsidRPr="0039200C" w:rsidRDefault="005B18C9" w:rsidP="00657272">
            <w:pPr>
              <w:keepNext/>
              <w:keepLines/>
              <w:spacing w:after="0"/>
              <w:rPr>
                <w:rFonts w:eastAsia="Times New Roman" w:cs="Arial"/>
                <w:color w:val="000000"/>
                <w:szCs w:val="18"/>
              </w:rPr>
            </w:pPr>
            <w:r w:rsidRPr="0039200C">
              <w:rPr>
                <w:rFonts w:eastAsia="Times New Roman" w:cs="Arial"/>
                <w:color w:val="000000"/>
                <w:szCs w:val="18"/>
              </w:rPr>
              <w:t>Dissection of other precerebral arteries</w:t>
            </w:r>
          </w:p>
        </w:tc>
        <w:tc>
          <w:tcPr>
            <w:tcW w:w="904" w:type="dxa"/>
          </w:tcPr>
          <w:p w14:paraId="79CF76E7" w14:textId="77777777" w:rsidR="005B18C9" w:rsidRPr="0039200C" w:rsidRDefault="005B18C9" w:rsidP="00657272">
            <w:pPr>
              <w:keepNext/>
              <w:keepLines/>
              <w:spacing w:after="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259CE7AB" w14:textId="77777777" w:rsidTr="00B05282">
        <w:trPr>
          <w:trHeight w:val="209"/>
        </w:trPr>
        <w:tc>
          <w:tcPr>
            <w:tcW w:w="2588" w:type="dxa"/>
            <w:noWrap/>
          </w:tcPr>
          <w:p w14:paraId="635AF3E0"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G45 (ICD-10)</w:t>
            </w:r>
          </w:p>
        </w:tc>
        <w:tc>
          <w:tcPr>
            <w:tcW w:w="6081" w:type="dxa"/>
            <w:noWrap/>
          </w:tcPr>
          <w:p w14:paraId="334AB48A" w14:textId="77777777" w:rsidR="005B18C9" w:rsidRPr="0039200C" w:rsidRDefault="005B18C9" w:rsidP="00657272">
            <w:pPr>
              <w:keepNext/>
              <w:keepLines/>
              <w:spacing w:after="0"/>
              <w:rPr>
                <w:rFonts w:eastAsia="Times New Roman" w:cs="Arial"/>
                <w:color w:val="000000"/>
                <w:szCs w:val="18"/>
              </w:rPr>
            </w:pPr>
            <w:r w:rsidRPr="0039200C">
              <w:rPr>
                <w:rFonts w:eastAsia="Times New Roman" w:cs="Arial"/>
                <w:color w:val="000000"/>
                <w:szCs w:val="18"/>
              </w:rPr>
              <w:t>Transient cerebral ischemic attacks and related syndromes</w:t>
            </w:r>
          </w:p>
        </w:tc>
        <w:tc>
          <w:tcPr>
            <w:tcW w:w="904" w:type="dxa"/>
          </w:tcPr>
          <w:p w14:paraId="53FCD5A4" w14:textId="77777777" w:rsidR="005B18C9" w:rsidRPr="0039200C" w:rsidRDefault="005B18C9" w:rsidP="00657272">
            <w:pPr>
              <w:keepNext/>
              <w:keepLines/>
              <w:spacing w:after="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31016468" w14:textId="77777777" w:rsidTr="00B05282">
        <w:trPr>
          <w:trHeight w:val="209"/>
        </w:trPr>
        <w:tc>
          <w:tcPr>
            <w:tcW w:w="2588" w:type="dxa"/>
            <w:noWrap/>
          </w:tcPr>
          <w:p w14:paraId="0F7064F7"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G46 (ICD-10)</w:t>
            </w:r>
          </w:p>
        </w:tc>
        <w:tc>
          <w:tcPr>
            <w:tcW w:w="6081" w:type="dxa"/>
            <w:noWrap/>
          </w:tcPr>
          <w:p w14:paraId="65DE0309" w14:textId="77777777" w:rsidR="005B18C9" w:rsidRPr="0039200C" w:rsidRDefault="005B18C9" w:rsidP="00657272">
            <w:pPr>
              <w:keepNext/>
              <w:keepLines/>
              <w:spacing w:after="0"/>
              <w:rPr>
                <w:rFonts w:eastAsia="Times New Roman" w:cs="Arial"/>
                <w:color w:val="000000"/>
                <w:szCs w:val="18"/>
              </w:rPr>
            </w:pPr>
            <w:r w:rsidRPr="0039200C">
              <w:rPr>
                <w:rFonts w:eastAsia="Times New Roman" w:cs="Arial"/>
                <w:color w:val="000000"/>
                <w:szCs w:val="18"/>
              </w:rPr>
              <w:t>Vascular diseases of brain in cerebrovascular diseases</w:t>
            </w:r>
          </w:p>
        </w:tc>
        <w:tc>
          <w:tcPr>
            <w:tcW w:w="904" w:type="dxa"/>
          </w:tcPr>
          <w:p w14:paraId="11277007" w14:textId="77777777" w:rsidR="005B18C9" w:rsidRPr="0039200C" w:rsidRDefault="005B18C9" w:rsidP="00657272">
            <w:pPr>
              <w:keepNext/>
              <w:keepLines/>
              <w:spacing w:after="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2E505F96" w14:textId="77777777" w:rsidTr="00B05282">
        <w:trPr>
          <w:trHeight w:val="209"/>
        </w:trPr>
        <w:tc>
          <w:tcPr>
            <w:tcW w:w="2588" w:type="dxa"/>
            <w:noWrap/>
          </w:tcPr>
          <w:p w14:paraId="1D75B589"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I60-I69 (ICD-10)</w:t>
            </w:r>
          </w:p>
        </w:tc>
        <w:tc>
          <w:tcPr>
            <w:tcW w:w="6081" w:type="dxa"/>
            <w:noWrap/>
          </w:tcPr>
          <w:p w14:paraId="47C214BF" w14:textId="571CFAC1" w:rsidR="005B18C9" w:rsidRPr="005E07FF" w:rsidRDefault="005B18C9" w:rsidP="005E07FF">
            <w:r w:rsidRPr="0039200C">
              <w:rPr>
                <w:rFonts w:eastAsia="Times New Roman" w:cs="Arial"/>
                <w:color w:val="000000"/>
                <w:szCs w:val="18"/>
              </w:rPr>
              <w:t>Cerebrovascular diseases</w:t>
            </w:r>
            <w:r w:rsidR="005E07FF">
              <w:rPr>
                <w:rFonts w:eastAsia="Times New Roman" w:cs="Arial"/>
                <w:color w:val="000000"/>
                <w:szCs w:val="18"/>
              </w:rPr>
              <w:t xml:space="preserve"> </w:t>
            </w:r>
            <w:r w:rsidR="005E07FF" w:rsidRPr="005E07FF">
              <w:rPr>
                <w:sz w:val="16"/>
                <w:szCs w:val="20"/>
              </w:rPr>
              <w:t>(I60 - Nontraumatic subarachnoid hemorrhage; I61- Nontraumatic intracerebral hemorrhage; I62- Other and unspecified nontraumatic intracranial hemorrhage; I63 - Cerebral infarction; I65 - Occlusion and stenosis of precerebral arteries, not resulting in cerebral infarction; I66 - Occlusion and stenosis of cerebral arteries, not resulting in cerebral infarction; I67 - Other cerebrovascular diseases; I68 - Cerebrovascular disorders in diseases classified elsewhere; I69 - Sequelae of cerebrovascular disease)</w:t>
            </w:r>
          </w:p>
        </w:tc>
        <w:tc>
          <w:tcPr>
            <w:tcW w:w="904" w:type="dxa"/>
          </w:tcPr>
          <w:p w14:paraId="7BA2C444" w14:textId="77777777" w:rsidR="005B18C9" w:rsidRPr="0039200C" w:rsidRDefault="005B18C9" w:rsidP="00657272">
            <w:pPr>
              <w:keepNext/>
              <w:keepLines/>
              <w:spacing w:after="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42F44CE8" w14:textId="77777777" w:rsidTr="00B05282">
        <w:trPr>
          <w:trHeight w:val="209"/>
        </w:trPr>
        <w:tc>
          <w:tcPr>
            <w:tcW w:w="2588" w:type="dxa"/>
            <w:noWrap/>
          </w:tcPr>
          <w:p w14:paraId="5C6FD322"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I97.81, I97.82 (ICD-10)</w:t>
            </w:r>
          </w:p>
        </w:tc>
        <w:tc>
          <w:tcPr>
            <w:tcW w:w="6081" w:type="dxa"/>
            <w:noWrap/>
          </w:tcPr>
          <w:p w14:paraId="4903B0CB" w14:textId="77777777" w:rsidR="005B18C9" w:rsidRPr="0039200C" w:rsidRDefault="005B18C9" w:rsidP="00657272">
            <w:pPr>
              <w:keepNext/>
              <w:keepLines/>
              <w:spacing w:after="0"/>
              <w:rPr>
                <w:rFonts w:eastAsia="Times New Roman" w:cs="Arial"/>
                <w:color w:val="000000"/>
                <w:szCs w:val="18"/>
              </w:rPr>
            </w:pPr>
            <w:r w:rsidRPr="0039200C">
              <w:rPr>
                <w:rFonts w:eastAsia="Times New Roman" w:cs="Arial"/>
                <w:color w:val="000000"/>
                <w:szCs w:val="18"/>
              </w:rPr>
              <w:t>Intraoperative or postoperative cerebral infarction</w:t>
            </w:r>
          </w:p>
        </w:tc>
        <w:tc>
          <w:tcPr>
            <w:tcW w:w="904" w:type="dxa"/>
          </w:tcPr>
          <w:p w14:paraId="2DA235BD" w14:textId="77777777" w:rsidR="005B18C9" w:rsidRPr="0039200C" w:rsidRDefault="005B18C9" w:rsidP="00657272">
            <w:pPr>
              <w:keepNext/>
              <w:keepLines/>
              <w:spacing w:after="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4EA23EAF" w14:textId="77777777" w:rsidTr="00B05282">
        <w:trPr>
          <w:trHeight w:val="209"/>
        </w:trPr>
        <w:tc>
          <w:tcPr>
            <w:tcW w:w="2588" w:type="dxa"/>
            <w:noWrap/>
          </w:tcPr>
          <w:p w14:paraId="3137316E"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S15.0, S15.1 (ICD-10)</w:t>
            </w:r>
          </w:p>
        </w:tc>
        <w:tc>
          <w:tcPr>
            <w:tcW w:w="6081" w:type="dxa"/>
            <w:noWrap/>
          </w:tcPr>
          <w:p w14:paraId="2D7017F0"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Injury of carotid artery of neck or vertebral artery</w:t>
            </w:r>
          </w:p>
        </w:tc>
        <w:tc>
          <w:tcPr>
            <w:tcW w:w="904" w:type="dxa"/>
          </w:tcPr>
          <w:p w14:paraId="405316E6"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71CD27DE" w14:textId="77777777" w:rsidTr="00B05282">
        <w:trPr>
          <w:trHeight w:val="209"/>
        </w:trPr>
        <w:tc>
          <w:tcPr>
            <w:tcW w:w="2588" w:type="dxa"/>
            <w:noWrap/>
          </w:tcPr>
          <w:p w14:paraId="414BA434" w14:textId="77777777" w:rsidR="005B18C9" w:rsidRPr="0039200C" w:rsidRDefault="005B18C9" w:rsidP="00657272">
            <w:pPr>
              <w:keepNext/>
              <w:keepLines/>
              <w:spacing w:after="0"/>
              <w:ind w:left="74"/>
              <w:rPr>
                <w:rFonts w:eastAsia="Times New Roman" w:cs="Arial"/>
                <w:color w:val="000000"/>
                <w:szCs w:val="18"/>
              </w:rPr>
            </w:pPr>
            <w:r w:rsidRPr="0039200C">
              <w:rPr>
                <w:rFonts w:cs="Arial"/>
                <w:szCs w:val="18"/>
              </w:rPr>
              <w:t>A17, A18.01, G00-G09, M46.2, M46.3, M46.4, M46.5 (ICD-10)</w:t>
            </w:r>
          </w:p>
        </w:tc>
        <w:tc>
          <w:tcPr>
            <w:tcW w:w="6081" w:type="dxa"/>
            <w:noWrap/>
          </w:tcPr>
          <w:p w14:paraId="0DE7368F" w14:textId="77777777" w:rsidR="005B18C9" w:rsidRPr="0039200C" w:rsidRDefault="005B18C9" w:rsidP="00657272">
            <w:pPr>
              <w:keepNext/>
              <w:keepLines/>
              <w:spacing w:after="0"/>
              <w:ind w:left="-20" w:firstLine="20"/>
              <w:rPr>
                <w:rFonts w:eastAsia="Times New Roman" w:cs="Arial"/>
                <w:color w:val="000000"/>
                <w:szCs w:val="18"/>
              </w:rPr>
            </w:pPr>
            <w:r w:rsidRPr="0039200C">
              <w:rPr>
                <w:rFonts w:cs="Arial"/>
                <w:szCs w:val="18"/>
              </w:rPr>
              <w:t>Spinal infection: Tuberculosis of nervous system or spine; inflammatory diseases of the central nervous system (e.g., abscess); osteomyelitis of vertebra, infection of intervertebral disc (pyogenic), discitis, or other infective spondylopathies</w:t>
            </w:r>
          </w:p>
        </w:tc>
        <w:tc>
          <w:tcPr>
            <w:tcW w:w="904" w:type="dxa"/>
          </w:tcPr>
          <w:p w14:paraId="7A24D35A"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5F9327EB" w14:textId="77777777" w:rsidTr="00B05282">
        <w:trPr>
          <w:trHeight w:val="209"/>
        </w:trPr>
        <w:tc>
          <w:tcPr>
            <w:tcW w:w="2588" w:type="dxa"/>
            <w:noWrap/>
          </w:tcPr>
          <w:p w14:paraId="667F595F"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C41.2, C70, C72 (ICD-10)</w:t>
            </w:r>
          </w:p>
        </w:tc>
        <w:tc>
          <w:tcPr>
            <w:tcW w:w="6081" w:type="dxa"/>
            <w:noWrap/>
          </w:tcPr>
          <w:p w14:paraId="3E9476BE" w14:textId="77777777" w:rsidR="005B18C9" w:rsidRPr="0039200C" w:rsidRDefault="005B18C9" w:rsidP="00657272">
            <w:pPr>
              <w:keepNext/>
              <w:keepLines/>
              <w:spacing w:after="0"/>
              <w:rPr>
                <w:rFonts w:eastAsia="Times New Roman" w:cs="Arial"/>
                <w:color w:val="000000"/>
                <w:szCs w:val="18"/>
              </w:rPr>
            </w:pPr>
            <w:r w:rsidRPr="0039200C">
              <w:rPr>
                <w:rFonts w:eastAsia="Times New Roman" w:cs="Arial"/>
                <w:color w:val="000000"/>
                <w:szCs w:val="18"/>
              </w:rPr>
              <w:t xml:space="preserve">Malignancy: of vertebral column, meninges, or spinal cord </w:t>
            </w:r>
          </w:p>
        </w:tc>
        <w:tc>
          <w:tcPr>
            <w:tcW w:w="904" w:type="dxa"/>
          </w:tcPr>
          <w:p w14:paraId="609C19B5"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719EBB82" w14:textId="77777777" w:rsidTr="00B05282">
        <w:trPr>
          <w:trHeight w:val="209"/>
        </w:trPr>
        <w:tc>
          <w:tcPr>
            <w:tcW w:w="2588" w:type="dxa"/>
            <w:noWrap/>
          </w:tcPr>
          <w:p w14:paraId="2B6F432E"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DWY1 (ICD-10-PCS)</w:t>
            </w:r>
          </w:p>
        </w:tc>
        <w:tc>
          <w:tcPr>
            <w:tcW w:w="6081" w:type="dxa"/>
            <w:noWrap/>
          </w:tcPr>
          <w:p w14:paraId="66710942"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Radiation therapy to head and neck</w:t>
            </w:r>
          </w:p>
        </w:tc>
        <w:tc>
          <w:tcPr>
            <w:tcW w:w="904" w:type="dxa"/>
          </w:tcPr>
          <w:p w14:paraId="197D291B"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4359798E" w14:textId="77777777" w:rsidTr="00B05282">
        <w:trPr>
          <w:trHeight w:val="209"/>
        </w:trPr>
        <w:tc>
          <w:tcPr>
            <w:tcW w:w="2588" w:type="dxa"/>
            <w:noWrap/>
          </w:tcPr>
          <w:p w14:paraId="718C6E19"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M48.42; M48.52, M48.53; S12</w:t>
            </w:r>
          </w:p>
        </w:tc>
        <w:tc>
          <w:tcPr>
            <w:tcW w:w="6081" w:type="dxa"/>
            <w:noWrap/>
          </w:tcPr>
          <w:p w14:paraId="3368A94C" w14:textId="77777777" w:rsidR="005B18C9" w:rsidRPr="0039200C" w:rsidRDefault="005B18C9" w:rsidP="00657272">
            <w:pPr>
              <w:keepNext/>
              <w:keepLines/>
              <w:spacing w:after="0"/>
              <w:ind w:left="-20"/>
              <w:rPr>
                <w:rFonts w:eastAsia="Times New Roman" w:cs="Arial"/>
                <w:color w:val="000000"/>
                <w:szCs w:val="18"/>
              </w:rPr>
            </w:pPr>
            <w:r w:rsidRPr="0039200C">
              <w:rPr>
                <w:rFonts w:eastAsia="Times New Roman" w:cs="Arial"/>
                <w:color w:val="000000"/>
                <w:szCs w:val="18"/>
              </w:rPr>
              <w:t>Cervical spinal fracture: Fatigue fracture of vertebra, cervical region; collapsed vertebra, cervical region or cervicothoracic region; fracture of cervical vertebra and other parts of neck</w:t>
            </w:r>
          </w:p>
        </w:tc>
        <w:tc>
          <w:tcPr>
            <w:tcW w:w="904" w:type="dxa"/>
          </w:tcPr>
          <w:p w14:paraId="513397F5"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7AB33691" w14:textId="77777777" w:rsidTr="00B05282">
        <w:trPr>
          <w:trHeight w:val="209"/>
        </w:trPr>
        <w:tc>
          <w:tcPr>
            <w:tcW w:w="2588" w:type="dxa"/>
            <w:noWrap/>
          </w:tcPr>
          <w:p w14:paraId="5A991779"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R29.71, R29.72, R29.73, R29.74 (ICD-10)</w:t>
            </w:r>
          </w:p>
        </w:tc>
        <w:tc>
          <w:tcPr>
            <w:tcW w:w="6081" w:type="dxa"/>
            <w:noWrap/>
          </w:tcPr>
          <w:p w14:paraId="3E266376"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National Institutes of Health Stroke Scale score 10-19; 20-29; 30-39; or 40-42</w:t>
            </w:r>
          </w:p>
        </w:tc>
        <w:tc>
          <w:tcPr>
            <w:tcW w:w="904" w:type="dxa"/>
          </w:tcPr>
          <w:p w14:paraId="61C26BEC"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3B0C8629" w14:textId="77777777" w:rsidTr="00B05282">
        <w:trPr>
          <w:trHeight w:val="209"/>
        </w:trPr>
        <w:tc>
          <w:tcPr>
            <w:tcW w:w="2588" w:type="dxa"/>
            <w:noWrap/>
          </w:tcPr>
          <w:p w14:paraId="48413FDA"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8410, 259280 (RxNorm); J2997, J3101 (HCPCS); Z92.82 (ICD-10)</w:t>
            </w:r>
          </w:p>
        </w:tc>
        <w:tc>
          <w:tcPr>
            <w:tcW w:w="6081" w:type="dxa"/>
            <w:noWrap/>
          </w:tcPr>
          <w:p w14:paraId="0A3B6CAF"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Recombinant tissue plasminogen activator (rtPA):  Alteplase, tenectplase drug and injection codes; status-post administration of tpa (rtPA)</w:t>
            </w:r>
          </w:p>
        </w:tc>
        <w:tc>
          <w:tcPr>
            <w:tcW w:w="904" w:type="dxa"/>
          </w:tcPr>
          <w:p w14:paraId="24C52AED"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77DB0AB3" w14:textId="77777777" w:rsidTr="00B05282">
        <w:trPr>
          <w:trHeight w:val="209"/>
        </w:trPr>
        <w:tc>
          <w:tcPr>
            <w:tcW w:w="2588" w:type="dxa"/>
            <w:noWrap/>
          </w:tcPr>
          <w:p w14:paraId="6A83B858"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80051000119107 (SNOMED)</w:t>
            </w:r>
          </w:p>
        </w:tc>
        <w:tc>
          <w:tcPr>
            <w:tcW w:w="6081" w:type="dxa"/>
            <w:noWrap/>
          </w:tcPr>
          <w:p w14:paraId="5A4405EC"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Stroke care management</w:t>
            </w:r>
          </w:p>
        </w:tc>
        <w:tc>
          <w:tcPr>
            <w:tcW w:w="904" w:type="dxa"/>
          </w:tcPr>
          <w:p w14:paraId="7EA41588"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171BCA01" w14:textId="77777777" w:rsidTr="00B05282">
        <w:trPr>
          <w:trHeight w:val="209"/>
        </w:trPr>
        <w:tc>
          <w:tcPr>
            <w:tcW w:w="2588" w:type="dxa"/>
            <w:noWrap/>
          </w:tcPr>
          <w:p w14:paraId="29365E74"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Z86.73 (ICD-10)</w:t>
            </w:r>
          </w:p>
        </w:tc>
        <w:tc>
          <w:tcPr>
            <w:tcW w:w="6081" w:type="dxa"/>
            <w:noWrap/>
          </w:tcPr>
          <w:p w14:paraId="25D2517F"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Personal history of transient ischemic attack (TIA), and cerebral infarction without residual deficits</w:t>
            </w:r>
          </w:p>
        </w:tc>
        <w:tc>
          <w:tcPr>
            <w:tcW w:w="904" w:type="dxa"/>
          </w:tcPr>
          <w:p w14:paraId="108D484F"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0</w:t>
            </w:r>
          </w:p>
        </w:tc>
      </w:tr>
      <w:tr w:rsidR="005B18C9" w:rsidRPr="0039200C" w14:paraId="728C67C6" w14:textId="77777777" w:rsidTr="00B05282">
        <w:trPr>
          <w:trHeight w:val="209"/>
        </w:trPr>
        <w:tc>
          <w:tcPr>
            <w:tcW w:w="2588" w:type="dxa"/>
            <w:noWrap/>
          </w:tcPr>
          <w:p w14:paraId="202150E5"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I69 (ICD-10)</w:t>
            </w:r>
          </w:p>
        </w:tc>
        <w:tc>
          <w:tcPr>
            <w:tcW w:w="6081" w:type="dxa"/>
            <w:noWrap/>
          </w:tcPr>
          <w:p w14:paraId="39293470"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Sequelae of cerebrovascular diseases (i.e., late effects)</w:t>
            </w:r>
          </w:p>
        </w:tc>
        <w:tc>
          <w:tcPr>
            <w:tcW w:w="904" w:type="dxa"/>
          </w:tcPr>
          <w:p w14:paraId="7CCD7EF5"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0</w:t>
            </w:r>
          </w:p>
        </w:tc>
      </w:tr>
      <w:tr w:rsidR="005B18C9" w:rsidRPr="0039200C" w14:paraId="3F768FB4" w14:textId="77777777" w:rsidTr="00B05282">
        <w:trPr>
          <w:trHeight w:val="209"/>
        </w:trPr>
        <w:tc>
          <w:tcPr>
            <w:tcW w:w="9573" w:type="dxa"/>
            <w:gridSpan w:val="3"/>
            <w:noWrap/>
          </w:tcPr>
          <w:p w14:paraId="0F7610FE" w14:textId="77777777" w:rsidR="005B18C9" w:rsidRPr="0039200C" w:rsidRDefault="005B18C9" w:rsidP="00657272">
            <w:pPr>
              <w:keepNext/>
              <w:keepLines/>
              <w:spacing w:after="0"/>
              <w:ind w:left="-20" w:firstLine="20"/>
              <w:rPr>
                <w:rFonts w:eastAsia="Times New Roman" w:cs="Arial"/>
                <w:b/>
                <w:bCs/>
                <w:color w:val="000000"/>
                <w:szCs w:val="18"/>
              </w:rPr>
            </w:pPr>
            <w:r w:rsidRPr="0039200C">
              <w:rPr>
                <w:rFonts w:eastAsia="Times New Roman" w:cs="Arial"/>
                <w:b/>
                <w:bCs/>
                <w:color w:val="000000"/>
                <w:szCs w:val="18"/>
              </w:rPr>
              <w:t>Procedures and visits</w:t>
            </w:r>
          </w:p>
        </w:tc>
      </w:tr>
      <w:tr w:rsidR="005B18C9" w:rsidRPr="0039200C" w14:paraId="17A7C0AD" w14:textId="77777777" w:rsidTr="00B05282">
        <w:trPr>
          <w:trHeight w:val="209"/>
        </w:trPr>
        <w:tc>
          <w:tcPr>
            <w:tcW w:w="2588" w:type="dxa"/>
            <w:noWrap/>
          </w:tcPr>
          <w:p w14:paraId="4273C568"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1022228; 1022277 (CPT)</w:t>
            </w:r>
          </w:p>
        </w:tc>
        <w:tc>
          <w:tcPr>
            <w:tcW w:w="6081" w:type="dxa"/>
            <w:noWrap/>
          </w:tcPr>
          <w:p w14:paraId="6E68F887"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 xml:space="preserve">Transcatheter placement of stent: cervical carotid artery; extracranial vertebral artery </w:t>
            </w:r>
          </w:p>
        </w:tc>
        <w:tc>
          <w:tcPr>
            <w:tcW w:w="904" w:type="dxa"/>
          </w:tcPr>
          <w:p w14:paraId="4C133366"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6BB0E5D4" w14:textId="77777777" w:rsidTr="00B05282">
        <w:trPr>
          <w:trHeight w:val="209"/>
        </w:trPr>
        <w:tc>
          <w:tcPr>
            <w:tcW w:w="2588" w:type="dxa"/>
            <w:noWrap/>
          </w:tcPr>
          <w:p w14:paraId="1997608D"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35301 (CPT)</w:t>
            </w:r>
          </w:p>
        </w:tc>
        <w:tc>
          <w:tcPr>
            <w:tcW w:w="6081" w:type="dxa"/>
            <w:noWrap/>
          </w:tcPr>
          <w:p w14:paraId="5F5FC16F"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Thrombarterectomy, including patch graft, if performed; carotid, vertebral, subclavian, by neck incision</w:t>
            </w:r>
          </w:p>
        </w:tc>
        <w:tc>
          <w:tcPr>
            <w:tcW w:w="904" w:type="dxa"/>
          </w:tcPr>
          <w:p w14:paraId="778CB2B6"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715951F2" w14:textId="77777777" w:rsidTr="00B05282">
        <w:trPr>
          <w:trHeight w:val="209"/>
        </w:trPr>
        <w:tc>
          <w:tcPr>
            <w:tcW w:w="2588" w:type="dxa"/>
            <w:noWrap/>
          </w:tcPr>
          <w:p w14:paraId="7C6DDDA3" w14:textId="77777777" w:rsidR="005B18C9" w:rsidRPr="0039200C" w:rsidRDefault="005B18C9" w:rsidP="00657272">
            <w:pPr>
              <w:keepNext/>
              <w:keepLines/>
              <w:spacing w:after="0"/>
              <w:ind w:left="74"/>
              <w:rPr>
                <w:rFonts w:eastAsia="Times New Roman" w:cs="Arial"/>
                <w:color w:val="000000"/>
                <w:szCs w:val="18"/>
              </w:rPr>
            </w:pPr>
            <w:r w:rsidRPr="0039200C">
              <w:rPr>
                <w:rFonts w:eastAsia="Calibri" w:cs="Arial"/>
                <w:szCs w:val="18"/>
              </w:rPr>
              <w:t>03QJ, 03QH, 03QN, 03QM, 03QL, 03QK, 03QQ, 03QP (ICD-10-PCS)</w:t>
            </w:r>
          </w:p>
        </w:tc>
        <w:tc>
          <w:tcPr>
            <w:tcW w:w="6081" w:type="dxa"/>
            <w:noWrap/>
          </w:tcPr>
          <w:p w14:paraId="1DDCBE83"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Calibri" w:cs="Arial"/>
                <w:szCs w:val="18"/>
              </w:rPr>
              <w:t>Carotid or vertebral artery repair</w:t>
            </w:r>
          </w:p>
        </w:tc>
        <w:tc>
          <w:tcPr>
            <w:tcW w:w="904" w:type="dxa"/>
          </w:tcPr>
          <w:p w14:paraId="38856AA7"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 </w:t>
            </w:r>
            <w:r w:rsidRPr="0039200C">
              <w:rPr>
                <w:rFonts w:eastAsia="Times New Roman" w:cs="Arial"/>
                <w:color w:val="000000"/>
                <w:szCs w:val="18"/>
              </w:rPr>
              <w:t>to -1</w:t>
            </w:r>
          </w:p>
        </w:tc>
      </w:tr>
      <w:tr w:rsidR="005B18C9" w:rsidRPr="0039200C" w14:paraId="6AD42D3C" w14:textId="77777777" w:rsidTr="00B05282">
        <w:trPr>
          <w:trHeight w:val="209"/>
        </w:trPr>
        <w:tc>
          <w:tcPr>
            <w:tcW w:w="2588" w:type="dxa"/>
            <w:noWrap/>
          </w:tcPr>
          <w:p w14:paraId="0AA9A37C"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 xml:space="preserve">1009028, 1014226, 38720, 38724, 1009060, 1006697 </w:t>
            </w:r>
          </w:p>
          <w:p w14:paraId="28F1752F" w14:textId="77777777" w:rsidR="005B18C9" w:rsidRPr="0039200C" w:rsidRDefault="005B18C9" w:rsidP="00657272">
            <w:pPr>
              <w:keepNext/>
              <w:keepLines/>
              <w:spacing w:after="0"/>
              <w:ind w:left="74"/>
              <w:rPr>
                <w:rFonts w:eastAsia="Calibri" w:cs="Arial"/>
                <w:szCs w:val="18"/>
              </w:rPr>
            </w:pPr>
            <w:r w:rsidRPr="0039200C">
              <w:rPr>
                <w:rFonts w:eastAsia="Times New Roman" w:cs="Arial"/>
                <w:color w:val="000000"/>
                <w:szCs w:val="18"/>
              </w:rPr>
              <w:t>(CPT)</w:t>
            </w:r>
          </w:p>
        </w:tc>
        <w:tc>
          <w:tcPr>
            <w:tcW w:w="6081" w:type="dxa"/>
            <w:noWrap/>
          </w:tcPr>
          <w:p w14:paraId="52295B33" w14:textId="77777777" w:rsidR="005B18C9" w:rsidRPr="0039200C" w:rsidRDefault="005B18C9" w:rsidP="00657272">
            <w:pPr>
              <w:keepNext/>
              <w:keepLines/>
              <w:spacing w:after="0"/>
              <w:ind w:left="-20" w:firstLine="20"/>
              <w:rPr>
                <w:rFonts w:eastAsia="Calibri" w:cs="Arial"/>
                <w:szCs w:val="18"/>
              </w:rPr>
            </w:pPr>
            <w:r w:rsidRPr="0039200C">
              <w:rPr>
                <w:rFonts w:eastAsia="Times New Roman" w:cs="Arial"/>
                <w:color w:val="000000"/>
                <w:szCs w:val="18"/>
              </w:rPr>
              <w:t>Anterior neck surgery: Thyroid excision procedures (e.g., lobectomy, thyroidectomy, biopsy), parathyroidectomy or exploration of parathyroid(s), cervical lymphadenectomy (complete or modified radical neck dissection), excision of carotid body tumor, insertion of central venous access device</w:t>
            </w:r>
          </w:p>
        </w:tc>
        <w:tc>
          <w:tcPr>
            <w:tcW w:w="904" w:type="dxa"/>
          </w:tcPr>
          <w:p w14:paraId="179C862D"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14 </w:t>
            </w:r>
            <w:r w:rsidRPr="0039200C">
              <w:rPr>
                <w:rFonts w:eastAsia="Times New Roman" w:cs="Arial"/>
                <w:color w:val="000000"/>
                <w:szCs w:val="18"/>
              </w:rPr>
              <w:t>to -1</w:t>
            </w:r>
          </w:p>
        </w:tc>
      </w:tr>
      <w:tr w:rsidR="005B18C9" w:rsidRPr="0039200C" w14:paraId="6CED2FE6" w14:textId="77777777" w:rsidTr="00B05282">
        <w:trPr>
          <w:trHeight w:val="209"/>
        </w:trPr>
        <w:tc>
          <w:tcPr>
            <w:tcW w:w="2588" w:type="dxa"/>
            <w:noWrap/>
          </w:tcPr>
          <w:p w14:paraId="68D83C2C"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1013711 (CPT)</w:t>
            </w:r>
          </w:p>
        </w:tc>
        <w:tc>
          <w:tcPr>
            <w:tcW w:w="6081" w:type="dxa"/>
            <w:noWrap/>
          </w:tcPr>
          <w:p w14:paraId="4A895B0C"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Emergency department services</w:t>
            </w:r>
          </w:p>
        </w:tc>
        <w:tc>
          <w:tcPr>
            <w:tcW w:w="904" w:type="dxa"/>
          </w:tcPr>
          <w:p w14:paraId="1276A6E4"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14 </w:t>
            </w:r>
            <w:r w:rsidRPr="0039200C">
              <w:rPr>
                <w:rFonts w:eastAsia="Times New Roman" w:cs="Arial"/>
                <w:color w:val="000000"/>
                <w:szCs w:val="18"/>
              </w:rPr>
              <w:t>to -1</w:t>
            </w:r>
          </w:p>
        </w:tc>
      </w:tr>
      <w:tr w:rsidR="005B18C9" w:rsidRPr="0039200C" w14:paraId="163E11E0" w14:textId="77777777" w:rsidTr="00B05282">
        <w:trPr>
          <w:trHeight w:val="209"/>
        </w:trPr>
        <w:tc>
          <w:tcPr>
            <w:tcW w:w="2588" w:type="dxa"/>
            <w:noWrap/>
          </w:tcPr>
          <w:p w14:paraId="625377CC"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1013699 (CPT)</w:t>
            </w:r>
          </w:p>
        </w:tc>
        <w:tc>
          <w:tcPr>
            <w:tcW w:w="6081" w:type="dxa"/>
            <w:noWrap/>
          </w:tcPr>
          <w:p w14:paraId="3727C705"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Inpatient or observation consultations</w:t>
            </w:r>
          </w:p>
        </w:tc>
        <w:tc>
          <w:tcPr>
            <w:tcW w:w="904" w:type="dxa"/>
          </w:tcPr>
          <w:p w14:paraId="0C0AD29A"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14 </w:t>
            </w:r>
            <w:r w:rsidRPr="0039200C">
              <w:rPr>
                <w:rFonts w:eastAsia="Times New Roman" w:cs="Arial"/>
                <w:color w:val="000000"/>
                <w:szCs w:val="18"/>
              </w:rPr>
              <w:t>to -1</w:t>
            </w:r>
          </w:p>
        </w:tc>
      </w:tr>
      <w:tr w:rsidR="005B18C9" w:rsidRPr="0039200C" w14:paraId="6D480815" w14:textId="77777777" w:rsidTr="00B05282">
        <w:trPr>
          <w:trHeight w:val="209"/>
        </w:trPr>
        <w:tc>
          <w:tcPr>
            <w:tcW w:w="2588" w:type="dxa"/>
            <w:noWrap/>
          </w:tcPr>
          <w:p w14:paraId="66406D21"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1013729 (CPT)</w:t>
            </w:r>
          </w:p>
        </w:tc>
        <w:tc>
          <w:tcPr>
            <w:tcW w:w="6081" w:type="dxa"/>
            <w:noWrap/>
          </w:tcPr>
          <w:p w14:paraId="50A77204"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Critical care services</w:t>
            </w:r>
          </w:p>
        </w:tc>
        <w:tc>
          <w:tcPr>
            <w:tcW w:w="904" w:type="dxa"/>
          </w:tcPr>
          <w:p w14:paraId="42CDD3ED"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14 </w:t>
            </w:r>
            <w:r w:rsidRPr="0039200C">
              <w:rPr>
                <w:rFonts w:eastAsia="Times New Roman" w:cs="Arial"/>
                <w:color w:val="000000"/>
                <w:szCs w:val="18"/>
              </w:rPr>
              <w:t>to -1</w:t>
            </w:r>
          </w:p>
        </w:tc>
      </w:tr>
      <w:tr w:rsidR="005B18C9" w:rsidRPr="0039200C" w14:paraId="7E831C00" w14:textId="77777777" w:rsidTr="00B05282">
        <w:trPr>
          <w:trHeight w:val="209"/>
        </w:trPr>
        <w:tc>
          <w:tcPr>
            <w:tcW w:w="2588" w:type="dxa"/>
            <w:noWrap/>
          </w:tcPr>
          <w:p w14:paraId="7F6AF76D"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1004038 (CPT)</w:t>
            </w:r>
          </w:p>
        </w:tc>
        <w:tc>
          <w:tcPr>
            <w:tcW w:w="6081" w:type="dxa"/>
            <w:noWrap/>
          </w:tcPr>
          <w:p w14:paraId="45A2FCB8"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Surgical procedures on the spine (vertebral column)</w:t>
            </w:r>
          </w:p>
        </w:tc>
        <w:tc>
          <w:tcPr>
            <w:tcW w:w="904" w:type="dxa"/>
          </w:tcPr>
          <w:p w14:paraId="18C5FCE2"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14 </w:t>
            </w:r>
            <w:r w:rsidRPr="0039200C">
              <w:rPr>
                <w:rFonts w:eastAsia="Times New Roman" w:cs="Arial"/>
                <w:color w:val="000000"/>
                <w:szCs w:val="18"/>
              </w:rPr>
              <w:t>to -1</w:t>
            </w:r>
          </w:p>
        </w:tc>
      </w:tr>
      <w:tr w:rsidR="005B18C9" w:rsidRPr="0039200C" w14:paraId="69DABFAA" w14:textId="77777777" w:rsidTr="00B05282">
        <w:trPr>
          <w:trHeight w:val="209"/>
        </w:trPr>
        <w:tc>
          <w:tcPr>
            <w:tcW w:w="2588" w:type="dxa"/>
            <w:noWrap/>
          </w:tcPr>
          <w:p w14:paraId="06D62B28"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1009340 (CPT)</w:t>
            </w:r>
          </w:p>
        </w:tc>
        <w:tc>
          <w:tcPr>
            <w:tcW w:w="6081" w:type="dxa"/>
            <w:noWrap/>
          </w:tcPr>
          <w:p w14:paraId="61425A72" w14:textId="77777777" w:rsidR="005B18C9" w:rsidRPr="0039200C" w:rsidRDefault="005B18C9" w:rsidP="00657272">
            <w:pPr>
              <w:keepNext/>
              <w:keepLines/>
              <w:spacing w:after="0"/>
              <w:ind w:left="-20" w:firstLine="20"/>
              <w:rPr>
                <w:rFonts w:eastAsia="Times New Roman" w:cs="Arial"/>
                <w:color w:val="000000"/>
                <w:szCs w:val="18"/>
              </w:rPr>
            </w:pPr>
            <w:r w:rsidRPr="0039200C">
              <w:rPr>
                <w:rFonts w:eastAsia="Times New Roman" w:cs="Arial"/>
                <w:color w:val="000000"/>
                <w:szCs w:val="18"/>
              </w:rPr>
              <w:t>Surgical procedures on the spine and spinal cord</w:t>
            </w:r>
          </w:p>
        </w:tc>
        <w:tc>
          <w:tcPr>
            <w:tcW w:w="904" w:type="dxa"/>
          </w:tcPr>
          <w:p w14:paraId="4994BB1A"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w:t>
            </w:r>
            <w:r w:rsidRPr="0039200C">
              <w:rPr>
                <w:rFonts w:cs="Arial"/>
                <w:szCs w:val="18"/>
              </w:rPr>
              <w:t xml:space="preserve">14 </w:t>
            </w:r>
            <w:r w:rsidRPr="0039200C">
              <w:rPr>
                <w:rFonts w:eastAsia="Times New Roman" w:cs="Arial"/>
                <w:color w:val="000000"/>
                <w:szCs w:val="18"/>
              </w:rPr>
              <w:t>to -1</w:t>
            </w:r>
          </w:p>
        </w:tc>
      </w:tr>
      <w:tr w:rsidR="005B18C9" w:rsidRPr="0039200C" w14:paraId="4F5F24E7" w14:textId="77777777" w:rsidTr="00B05282">
        <w:trPr>
          <w:trHeight w:val="209"/>
        </w:trPr>
        <w:tc>
          <w:tcPr>
            <w:tcW w:w="2588" w:type="dxa"/>
            <w:noWrap/>
          </w:tcPr>
          <w:p w14:paraId="07F7DA31" w14:textId="77777777" w:rsidR="005B18C9" w:rsidRPr="0039200C" w:rsidRDefault="005B18C9" w:rsidP="00657272">
            <w:pPr>
              <w:keepNext/>
              <w:keepLines/>
              <w:spacing w:after="0"/>
              <w:ind w:left="74"/>
              <w:rPr>
                <w:rFonts w:eastAsia="Times New Roman" w:cs="Arial"/>
                <w:color w:val="000000"/>
                <w:szCs w:val="18"/>
              </w:rPr>
            </w:pPr>
            <w:r w:rsidRPr="0039200C">
              <w:rPr>
                <w:rFonts w:eastAsia="Times New Roman" w:cs="Arial"/>
                <w:color w:val="000000"/>
                <w:szCs w:val="18"/>
              </w:rPr>
              <w:t>1013558 (CPT)</w:t>
            </w:r>
          </w:p>
        </w:tc>
        <w:tc>
          <w:tcPr>
            <w:tcW w:w="6081" w:type="dxa"/>
            <w:noWrap/>
          </w:tcPr>
          <w:p w14:paraId="4A7A3FD3" w14:textId="77777777" w:rsidR="005B18C9" w:rsidRPr="0039200C" w:rsidRDefault="005B18C9" w:rsidP="00657272">
            <w:pPr>
              <w:keepNext/>
              <w:keepLines/>
              <w:spacing w:after="0"/>
              <w:ind w:left="-20" w:firstLine="20"/>
              <w:rPr>
                <w:rFonts w:eastAsia="Times New Roman" w:cs="Arial"/>
                <w:color w:val="000000"/>
                <w:szCs w:val="18"/>
              </w:rPr>
            </w:pPr>
            <w:r w:rsidRPr="0039200C">
              <w:rPr>
                <w:rFonts w:cs="Arial"/>
                <w:szCs w:val="18"/>
              </w:rPr>
              <w:t>Osteopathic manipulative treatment procedures</w:t>
            </w:r>
          </w:p>
        </w:tc>
        <w:tc>
          <w:tcPr>
            <w:tcW w:w="904" w:type="dxa"/>
          </w:tcPr>
          <w:p w14:paraId="4EEF5A11" w14:textId="77777777" w:rsidR="005B18C9" w:rsidRPr="0039200C" w:rsidRDefault="005B18C9" w:rsidP="00657272">
            <w:pPr>
              <w:keepNext/>
              <w:keepLines/>
              <w:spacing w:after="0"/>
              <w:ind w:left="-20" w:firstLine="20"/>
              <w:jc w:val="center"/>
              <w:rPr>
                <w:rFonts w:eastAsia="Times New Roman" w:cs="Arial"/>
                <w:color w:val="000000"/>
                <w:szCs w:val="18"/>
              </w:rPr>
            </w:pPr>
            <w:r w:rsidRPr="0039200C">
              <w:rPr>
                <w:rFonts w:eastAsia="Times New Roman" w:cs="Arial"/>
                <w:color w:val="000000"/>
                <w:szCs w:val="18"/>
              </w:rPr>
              <w:t>-30 to 0</w:t>
            </w:r>
          </w:p>
        </w:tc>
      </w:tr>
      <w:tr w:rsidR="005B18C9" w:rsidRPr="0039200C" w14:paraId="72848135" w14:textId="77777777" w:rsidTr="00B05282">
        <w:trPr>
          <w:trHeight w:val="209"/>
        </w:trPr>
        <w:tc>
          <w:tcPr>
            <w:tcW w:w="9573" w:type="dxa"/>
            <w:gridSpan w:val="3"/>
            <w:noWrap/>
          </w:tcPr>
          <w:p w14:paraId="10178CE2" w14:textId="77777777" w:rsidR="005B18C9" w:rsidRPr="0039200C" w:rsidRDefault="005B18C9" w:rsidP="00657272">
            <w:pPr>
              <w:keepNext/>
              <w:keepLines/>
              <w:spacing w:after="0"/>
              <w:rPr>
                <w:rFonts w:cs="Arial"/>
                <w:b/>
                <w:bCs/>
                <w:szCs w:val="18"/>
              </w:rPr>
            </w:pPr>
            <w:r w:rsidRPr="0039200C">
              <w:rPr>
                <w:rFonts w:cs="Arial"/>
                <w:b/>
                <w:bCs/>
                <w:szCs w:val="18"/>
              </w:rPr>
              <w:t>Prior spinal manipulative therapy / ibuprofen cohort only</w:t>
            </w:r>
          </w:p>
        </w:tc>
      </w:tr>
      <w:tr w:rsidR="005B18C9" w:rsidRPr="0039200C" w14:paraId="0BA4BB35" w14:textId="77777777" w:rsidTr="00B05282">
        <w:trPr>
          <w:trHeight w:val="209"/>
        </w:trPr>
        <w:tc>
          <w:tcPr>
            <w:tcW w:w="2588" w:type="dxa"/>
            <w:noWrap/>
          </w:tcPr>
          <w:p w14:paraId="605DB68D" w14:textId="77777777" w:rsidR="005B18C9" w:rsidRPr="0039200C" w:rsidRDefault="005B18C9" w:rsidP="00657272">
            <w:pPr>
              <w:keepNext/>
              <w:keepLines/>
              <w:spacing w:after="0"/>
              <w:ind w:left="76"/>
              <w:rPr>
                <w:rFonts w:eastAsia="Times New Roman" w:cs="Arial"/>
                <w:color w:val="000000"/>
                <w:szCs w:val="18"/>
              </w:rPr>
            </w:pPr>
            <w:r w:rsidRPr="0039200C">
              <w:rPr>
                <w:rFonts w:eastAsia="Times New Roman" w:cs="Arial"/>
                <w:color w:val="000000"/>
                <w:szCs w:val="18"/>
              </w:rPr>
              <w:t>97140 (CPT)</w:t>
            </w:r>
          </w:p>
        </w:tc>
        <w:tc>
          <w:tcPr>
            <w:tcW w:w="6081" w:type="dxa"/>
            <w:noWrap/>
          </w:tcPr>
          <w:p w14:paraId="0631396F" w14:textId="77777777" w:rsidR="005B18C9" w:rsidRPr="0039200C" w:rsidRDefault="005B18C9" w:rsidP="00657272">
            <w:pPr>
              <w:keepNext/>
              <w:keepLines/>
              <w:spacing w:after="0"/>
              <w:rPr>
                <w:rFonts w:cs="Arial"/>
                <w:szCs w:val="18"/>
              </w:rPr>
            </w:pPr>
            <w:r w:rsidRPr="0039200C">
              <w:rPr>
                <w:rFonts w:cs="Arial"/>
                <w:szCs w:val="18"/>
              </w:rPr>
              <w:t>Manual therapy techniques (e.g., mobilization/manipulation, manual traction)</w:t>
            </w:r>
          </w:p>
        </w:tc>
        <w:tc>
          <w:tcPr>
            <w:tcW w:w="904" w:type="dxa"/>
          </w:tcPr>
          <w:p w14:paraId="2975149E" w14:textId="77777777" w:rsidR="005B18C9" w:rsidRPr="0039200C" w:rsidRDefault="005B18C9" w:rsidP="00657272">
            <w:pPr>
              <w:keepNext/>
              <w:keepLines/>
              <w:spacing w:after="0"/>
              <w:jc w:val="center"/>
              <w:rPr>
                <w:rFonts w:cs="Arial"/>
                <w:szCs w:val="18"/>
              </w:rPr>
            </w:pPr>
            <w:r w:rsidRPr="0039200C">
              <w:rPr>
                <w:rFonts w:eastAsia="Times New Roman" w:cs="Arial"/>
                <w:color w:val="000000"/>
                <w:szCs w:val="18"/>
              </w:rPr>
              <w:t>-30 to 7</w:t>
            </w:r>
          </w:p>
        </w:tc>
      </w:tr>
      <w:tr w:rsidR="005B18C9" w:rsidRPr="0039200C" w14:paraId="234FBD89" w14:textId="77777777" w:rsidTr="00B05282">
        <w:trPr>
          <w:trHeight w:val="209"/>
        </w:trPr>
        <w:tc>
          <w:tcPr>
            <w:tcW w:w="2588" w:type="dxa"/>
            <w:noWrap/>
          </w:tcPr>
          <w:p w14:paraId="49AE9082" w14:textId="77777777" w:rsidR="005B18C9" w:rsidRPr="0039200C" w:rsidRDefault="005B18C9" w:rsidP="00657272">
            <w:pPr>
              <w:keepNext/>
              <w:keepLines/>
              <w:spacing w:after="0"/>
              <w:ind w:left="76"/>
              <w:rPr>
                <w:rFonts w:eastAsia="Times New Roman" w:cs="Arial"/>
                <w:color w:val="000000"/>
                <w:szCs w:val="18"/>
              </w:rPr>
            </w:pPr>
            <w:r w:rsidRPr="0039200C">
              <w:rPr>
                <w:rFonts w:eastAsia="Times New Roman" w:cs="Arial"/>
                <w:color w:val="000000"/>
                <w:szCs w:val="18"/>
              </w:rPr>
              <w:t>98940, 98941, 98942 (CPT)</w:t>
            </w:r>
          </w:p>
        </w:tc>
        <w:tc>
          <w:tcPr>
            <w:tcW w:w="6081" w:type="dxa"/>
            <w:noWrap/>
          </w:tcPr>
          <w:p w14:paraId="48EAA42B" w14:textId="77777777" w:rsidR="005B18C9" w:rsidRPr="0039200C" w:rsidRDefault="005B18C9" w:rsidP="00657272">
            <w:pPr>
              <w:keepNext/>
              <w:keepLines/>
              <w:spacing w:after="0"/>
              <w:rPr>
                <w:rFonts w:cs="Arial"/>
                <w:szCs w:val="18"/>
              </w:rPr>
            </w:pPr>
            <w:r w:rsidRPr="0039200C">
              <w:rPr>
                <w:rFonts w:cs="Arial"/>
                <w:szCs w:val="18"/>
              </w:rPr>
              <w:t>Chiropractic manipulative treatment, spinal</w:t>
            </w:r>
          </w:p>
        </w:tc>
        <w:tc>
          <w:tcPr>
            <w:tcW w:w="904" w:type="dxa"/>
          </w:tcPr>
          <w:p w14:paraId="6CA8D066" w14:textId="77777777" w:rsidR="005B18C9" w:rsidRPr="0039200C" w:rsidRDefault="005B18C9" w:rsidP="00657272">
            <w:pPr>
              <w:keepNext/>
              <w:keepLines/>
              <w:spacing w:after="0"/>
              <w:jc w:val="center"/>
              <w:rPr>
                <w:rFonts w:cs="Arial"/>
                <w:szCs w:val="18"/>
              </w:rPr>
            </w:pPr>
            <w:r w:rsidRPr="0039200C">
              <w:rPr>
                <w:rFonts w:eastAsia="Times New Roman" w:cs="Arial"/>
                <w:color w:val="000000"/>
                <w:szCs w:val="18"/>
              </w:rPr>
              <w:t>-30 to 7</w:t>
            </w:r>
          </w:p>
        </w:tc>
      </w:tr>
    </w:tbl>
    <w:p w14:paraId="42A3D578" w14:textId="77777777" w:rsidR="00472A53" w:rsidRDefault="00472A53" w:rsidP="00472A53"/>
    <w:p w14:paraId="3C8CC140" w14:textId="1B28B4FE" w:rsidR="004D3EB4" w:rsidRDefault="004D3EB4" w:rsidP="004D3EB4">
      <w:pPr>
        <w:pStyle w:val="Heading1"/>
      </w:pPr>
      <w:bookmarkStart w:id="3" w:name="_Toc236836422"/>
      <w:r w:rsidRPr="00D01EB0">
        <w:lastRenderedPageBreak/>
        <w:t xml:space="preserve">Table </w:t>
      </w:r>
      <w:r>
        <w:t>S3</w:t>
      </w:r>
      <w:r w:rsidRPr="00D01EB0">
        <w:t xml:space="preserve">: </w:t>
      </w:r>
      <w:r>
        <w:t>Propensity-matched v</w:t>
      </w:r>
      <w:r w:rsidRPr="00D01EB0">
        <w:t>ariables</w:t>
      </w:r>
      <w:bookmarkEnd w:id="3"/>
    </w:p>
    <w:p w14:paraId="7EDE87A4" w14:textId="77777777" w:rsidR="004D3EB4" w:rsidRPr="00D01EB0" w:rsidRDefault="004D3EB4" w:rsidP="004D3EB4">
      <w:pPr>
        <w:pStyle w:val="NoSpacing"/>
      </w:pPr>
      <w:r w:rsidRPr="00323C99">
        <w:t>Abbreviations: International Classification of Diseases, 10th Revision (ICD-10), Veterans Affairs National Drug File (VA); positive association (</w:t>
      </w:r>
      <w:r w:rsidRPr="00323C99">
        <w:rPr>
          <w:rFonts w:ascii="Cambria Math" w:hAnsi="Cambria Math" w:cs="Cambria Math"/>
          <w:b/>
          <w:bCs/>
        </w:rPr>
        <w:t>⬆</w:t>
      </w:r>
      <w:r w:rsidRPr="00323C99">
        <w:t>), negative association (</w:t>
      </w:r>
      <w:r w:rsidRPr="00323C99">
        <w:rPr>
          <w:rFonts w:ascii="Cambria Math" w:hAnsi="Cambria Math" w:cs="Cambria Math"/>
          <w:b/>
          <w:bCs/>
        </w:rPr>
        <w:t>⬇</w:t>
      </w:r>
      <w:r w:rsidRPr="00323C99">
        <w:t>)</w:t>
      </w:r>
      <w:r>
        <w:t xml:space="preserve">, variable association </w:t>
      </w:r>
      <w:r w:rsidRPr="00323C99">
        <w:t>(</w:t>
      </w:r>
      <w:r w:rsidRPr="00323C99">
        <w:rPr>
          <w:rFonts w:ascii="Cambria Math" w:hAnsi="Cambria Math" w:cs="Cambria Math"/>
          <w:b/>
          <w:bCs/>
        </w:rPr>
        <w:t>⬆⬇</w:t>
      </w:r>
      <w:r w:rsidRPr="00323C99">
        <w:t>)</w:t>
      </w:r>
      <w:r>
        <w:t>.</w:t>
      </w:r>
    </w:p>
    <w:tbl>
      <w:tblPr>
        <w:tblStyle w:val="TableGridLight"/>
        <w:tblW w:w="0" w:type="auto"/>
        <w:tblLook w:val="04A0" w:firstRow="1" w:lastRow="0" w:firstColumn="1" w:lastColumn="0" w:noHBand="0" w:noVBand="1"/>
      </w:tblPr>
      <w:tblGrid>
        <w:gridCol w:w="1600"/>
        <w:gridCol w:w="5206"/>
        <w:gridCol w:w="1237"/>
        <w:gridCol w:w="1341"/>
        <w:gridCol w:w="12"/>
      </w:tblGrid>
      <w:tr w:rsidR="004D3EB4" w:rsidRPr="002E5C2D" w14:paraId="5A05EA58" w14:textId="77777777" w:rsidTr="00160F73">
        <w:trPr>
          <w:gridAfter w:val="1"/>
          <w:wAfter w:w="12" w:type="dxa"/>
          <w:trHeight w:val="202"/>
        </w:trPr>
        <w:tc>
          <w:tcPr>
            <w:tcW w:w="1600" w:type="dxa"/>
          </w:tcPr>
          <w:p w14:paraId="3A06A526" w14:textId="77777777" w:rsidR="004D3EB4" w:rsidRPr="002E5C2D" w:rsidRDefault="004D3EB4" w:rsidP="00160F73">
            <w:pPr>
              <w:keepNext/>
              <w:keepLines/>
              <w:spacing w:after="100" w:afterAutospacing="1" w:line="20" w:lineRule="atLeast"/>
              <w:rPr>
                <w:rFonts w:cstheme="minorHAnsi"/>
                <w:b/>
                <w:bCs/>
                <w:szCs w:val="18"/>
              </w:rPr>
            </w:pPr>
            <w:r w:rsidRPr="002E5C2D">
              <w:rPr>
                <w:rFonts w:cstheme="minorHAnsi"/>
                <w:b/>
                <w:bCs/>
                <w:szCs w:val="18"/>
              </w:rPr>
              <w:t>Variable</w:t>
            </w:r>
          </w:p>
        </w:tc>
        <w:tc>
          <w:tcPr>
            <w:tcW w:w="5206" w:type="dxa"/>
          </w:tcPr>
          <w:p w14:paraId="2BFA8556" w14:textId="77777777" w:rsidR="004D3EB4" w:rsidRPr="002E5C2D" w:rsidRDefault="004D3EB4" w:rsidP="00160F73">
            <w:pPr>
              <w:keepNext/>
              <w:keepLines/>
              <w:spacing w:after="100" w:afterAutospacing="1" w:line="20" w:lineRule="atLeast"/>
              <w:rPr>
                <w:rFonts w:cstheme="minorHAnsi"/>
                <w:b/>
                <w:bCs/>
                <w:szCs w:val="18"/>
              </w:rPr>
            </w:pPr>
            <w:r w:rsidRPr="002E5C2D">
              <w:rPr>
                <w:rFonts w:cstheme="minorHAnsi"/>
                <w:b/>
                <w:bCs/>
                <w:szCs w:val="18"/>
              </w:rPr>
              <w:t>Description</w:t>
            </w:r>
          </w:p>
        </w:tc>
        <w:tc>
          <w:tcPr>
            <w:tcW w:w="1074" w:type="dxa"/>
          </w:tcPr>
          <w:p w14:paraId="44DA089D" w14:textId="77777777" w:rsidR="004D3EB4" w:rsidRPr="002E5C2D" w:rsidRDefault="004D3EB4" w:rsidP="00160F73">
            <w:pPr>
              <w:keepNext/>
              <w:keepLines/>
              <w:spacing w:after="100" w:afterAutospacing="1" w:line="20" w:lineRule="atLeast"/>
              <w:rPr>
                <w:rFonts w:cstheme="minorHAnsi"/>
                <w:b/>
                <w:bCs/>
                <w:szCs w:val="18"/>
              </w:rPr>
            </w:pPr>
            <w:r w:rsidRPr="002E5C2D">
              <w:rPr>
                <w:rFonts w:cstheme="minorHAnsi"/>
                <w:b/>
                <w:bCs/>
                <w:szCs w:val="18"/>
              </w:rPr>
              <w:t>Association with CeAD</w:t>
            </w:r>
          </w:p>
        </w:tc>
        <w:tc>
          <w:tcPr>
            <w:tcW w:w="1341" w:type="dxa"/>
          </w:tcPr>
          <w:p w14:paraId="7B8936BD" w14:textId="77777777" w:rsidR="004D3EB4" w:rsidRPr="002E5C2D" w:rsidRDefault="004D3EB4" w:rsidP="00160F73">
            <w:pPr>
              <w:spacing w:after="100" w:afterAutospacing="1" w:line="20" w:lineRule="atLeast"/>
              <w:rPr>
                <w:rFonts w:cstheme="minorHAnsi"/>
                <w:b/>
                <w:bCs/>
                <w:szCs w:val="18"/>
              </w:rPr>
            </w:pPr>
            <w:r w:rsidRPr="002E5C2D">
              <w:rPr>
                <w:rFonts w:cstheme="minorHAnsi"/>
                <w:b/>
                <w:bCs/>
                <w:szCs w:val="18"/>
              </w:rPr>
              <w:t>Reference(s)</w:t>
            </w:r>
          </w:p>
        </w:tc>
      </w:tr>
      <w:tr w:rsidR="004D3EB4" w:rsidRPr="002E5C2D" w14:paraId="4A3660B0" w14:textId="77777777" w:rsidTr="00160F73">
        <w:trPr>
          <w:gridAfter w:val="1"/>
          <w:wAfter w:w="12" w:type="dxa"/>
          <w:trHeight w:val="202"/>
        </w:trPr>
        <w:tc>
          <w:tcPr>
            <w:tcW w:w="1600" w:type="dxa"/>
          </w:tcPr>
          <w:p w14:paraId="2FFC0B36" w14:textId="77777777" w:rsidR="004D3EB4" w:rsidRPr="002E5C2D" w:rsidRDefault="004D3EB4" w:rsidP="00160F73">
            <w:pPr>
              <w:keepNext/>
              <w:keepLines/>
              <w:spacing w:after="100" w:afterAutospacing="1" w:line="20" w:lineRule="atLeast"/>
              <w:rPr>
                <w:rFonts w:cstheme="minorHAnsi"/>
                <w:b/>
                <w:bCs/>
                <w:szCs w:val="18"/>
              </w:rPr>
            </w:pPr>
            <w:r w:rsidRPr="002E5C2D">
              <w:rPr>
                <w:rFonts w:cstheme="minorHAnsi"/>
                <w:b/>
                <w:bCs/>
                <w:szCs w:val="18"/>
              </w:rPr>
              <w:t>Demographics</w:t>
            </w:r>
          </w:p>
        </w:tc>
        <w:tc>
          <w:tcPr>
            <w:tcW w:w="5206" w:type="dxa"/>
          </w:tcPr>
          <w:p w14:paraId="7346D6E7"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t>Age at index, current age, sex, race/ethnicity</w:t>
            </w:r>
          </w:p>
        </w:tc>
        <w:tc>
          <w:tcPr>
            <w:tcW w:w="1074" w:type="dxa"/>
          </w:tcPr>
          <w:p w14:paraId="7FAF5646" w14:textId="77777777" w:rsidR="004D3EB4" w:rsidRPr="002E5C2D" w:rsidRDefault="004D3EB4" w:rsidP="00160F73">
            <w:pPr>
              <w:keepNext/>
              <w:keepLines/>
              <w:spacing w:after="100" w:afterAutospacing="1" w:line="20" w:lineRule="atLeast"/>
              <w:rPr>
                <w:rFonts w:cstheme="minorHAnsi"/>
                <w:szCs w:val="18"/>
              </w:rPr>
            </w:pPr>
            <w:r w:rsidRPr="002E5C2D">
              <w:rPr>
                <w:rFonts w:ascii="Cambria Math" w:hAnsi="Cambria Math" w:cs="Cambria Math"/>
                <w:b/>
                <w:bCs/>
                <w:szCs w:val="18"/>
              </w:rPr>
              <w:t>⬆⬇</w:t>
            </w:r>
          </w:p>
        </w:tc>
        <w:tc>
          <w:tcPr>
            <w:tcW w:w="1341" w:type="dxa"/>
          </w:tcPr>
          <w:p w14:paraId="048DAD1A" w14:textId="2CD8E15F"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{"citationID":"6jKDS9SS","properties":{"formattedCitation":"[2]","plainCitation":"[2]","noteIndex":0},"citationItems":[{"id":28419,"uris":["http://zotero.org/users/1179918/items/WH5SHVBH"],"itemData":{"id":28419,"type":"article-journal","abstract":"Background and ObjectivesCervical artery dissection (CeAD) is a common cause of acute ischemic stroke (AIS), especially in patients younger than 55 years, but data regarding trends and subsequent AIS risk after CeAD remain scarce. We aimed to determine national trends in CeAD admissions and examine post-CeAD risk of ischemic stroke.MethodsWe used the National Inpatient Sample (2005–2019), National Readmission Database (2015–2019), and State Inpatient Database for New York (2011–2017) and Florida (2011–2019). Adult patients with spontaneous CeAD were identified using International Classification of Diseases, Ninth Revision, Clinical Modification and International Classification of Diseases, Tenth Revision, Clinical Modification codes. Survey-weighted annual CeAD cases were combined with US census data to estimate annual incidence. National estimates were verified with state-level data, which allows for the removal of duplicate admissions for a single patient through a unique patient identifier. Joinpoint regression was used to quantify the average annual percent change (AAPC) of CeAD incidence. AIS readmission risk after CeAD without concurrent AIS was assessed with death as a competing risk using Fine and Gray competing risk methodology.ResultsFrom 2005 to 2019, we identified 125,102 patients (46.09% female, mean age 51.4 years) with spontaneous CeAD. CeAD incidence increased from 10.7 cases per million population in 2005 to 45.6 cases per million population in 2019, revealing an AAPC of 10.21% (95% CI 9.67%–10.76%). This substantial increase in CeAD admissions was particularly high in the older, Black, and Hispanic populations. Statewide data corroborated this upward trend with an AAPC of 8.47% (95% CI 7.97%–9.48%). Among patients with CeAD without AIS, vertebral artery dissection was the sole major predictor of subsequent ischemic stroke risk within 90 days (adjusted subdistributed hazard ratio 1.77, 95% CI 1.18–2.64, p = 0.006). Interaction and subgroup analyses were performed and demonstrated similar results.DiscussionThere was an almost 5-fold increase in CeAD hospitalizations and an upward incidence trend from 2005 to 2019, particularly in racial minorities, which may be attributed to increased imaging and awareness of CeAD. Our study also revealed a small but significant risk of AIS in patients with vertebral artery dissection without concurrent ischemic stroke. These findings underscore the importance of studying acute treatment and secondary prevention strategies in patients with CeAD.","container-title":"Neurology","DOI":"10.1212/WNL.0000000000213548","issue":"9","page":"e213548","publisher":"Wolters Kluwer","source":"neurology.org (Atypon)","title":"Incidence Trends and Risk of Recurrent Stroke of Cervical Artery Dissections in the United States Between 2005 and 2019","URL":"https://www.neurology.org/doi/10.1212/WNL.0000000000213548","volume":"104","author":[{"family":"Shu","given":"Liqi"},{"family":"Strelecky","given":"Lukas"},{"family":"Havenon","given":"Adam","non-dropping-particle":"de"},{"family":"Nguyen","given":"Thanh N."},{"family":"Henninger","given":"Nils"},{"family":"Keser","given":"Zafer"},{"family":"Khan","given":"Muhib"},{"family":"Siegler","given":"James Ernest"},{"family":"Penckofer","given":"Mary"},{"family":"Omran","given":"Setareh Salehi"},{"family":"Field","given":"Thalia S."},{"family":"Zhou","given":"Lily"},{"family":"Xiao","given":"Han"},{"family":"Jacobson","given":"Austin"},{"family":"Goldstein","given":"Eric D."},{"family":"Stretz","given":"Christoph"},{"family":"Khan","given":"Farhan"},{"family":"Perelstein","given":"Elizabeth"},{"family":"Furie","given":"Karen"},{"family":"Yaghi","given":"Shadi"}],"accessed":{"date-parts":[["2025",5,21]]},"issued":{"date-parts":[["2025",5,13]]}}}],"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[2]</w:t>
            </w:r>
            <w:r w:rsidRPr="002E5C2D">
              <w:rPr>
                <w:rFonts w:cstheme="minorHAnsi"/>
                <w:color w:val="202124"/>
                <w:szCs w:val="18"/>
                <w:shd w:val="clear" w:color="auto" w:fill="FFFFFF"/>
              </w:rPr>
              <w:fldChar w:fldCharType="end"/>
            </w:r>
          </w:p>
        </w:tc>
      </w:tr>
      <w:tr w:rsidR="004D3EB4" w:rsidRPr="002E5C2D" w14:paraId="54801851" w14:textId="77777777" w:rsidTr="00160F73">
        <w:trPr>
          <w:trHeight w:val="202"/>
        </w:trPr>
        <w:tc>
          <w:tcPr>
            <w:tcW w:w="9233" w:type="dxa"/>
            <w:gridSpan w:val="5"/>
          </w:tcPr>
          <w:p w14:paraId="23281A27" w14:textId="77777777" w:rsidR="004D3EB4" w:rsidRPr="002E5C2D" w:rsidRDefault="004D3EB4" w:rsidP="00160F73">
            <w:pPr>
              <w:keepNext/>
              <w:keepLines/>
              <w:spacing w:after="100" w:afterAutospacing="1" w:line="20" w:lineRule="atLeast"/>
              <w:rPr>
                <w:rFonts w:cstheme="minorHAnsi"/>
                <w:b/>
                <w:bCs/>
                <w:szCs w:val="18"/>
              </w:rPr>
            </w:pPr>
            <w:r w:rsidRPr="002E5C2D">
              <w:rPr>
                <w:rFonts w:cstheme="minorHAnsi"/>
                <w:b/>
                <w:bCs/>
                <w:szCs w:val="18"/>
              </w:rPr>
              <w:t>Comorbidities (ICD-10)</w:t>
            </w:r>
          </w:p>
        </w:tc>
      </w:tr>
      <w:tr w:rsidR="004D3EB4" w:rsidRPr="002E5C2D" w14:paraId="0F79FD74" w14:textId="77777777" w:rsidTr="00160F73">
        <w:trPr>
          <w:gridAfter w:val="1"/>
          <w:wAfter w:w="12" w:type="dxa"/>
          <w:trHeight w:val="222"/>
        </w:trPr>
        <w:tc>
          <w:tcPr>
            <w:tcW w:w="1600" w:type="dxa"/>
          </w:tcPr>
          <w:p w14:paraId="5131C693"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J00-J06</w:t>
            </w:r>
          </w:p>
        </w:tc>
        <w:tc>
          <w:tcPr>
            <w:tcW w:w="5206" w:type="dxa"/>
          </w:tcPr>
          <w:p w14:paraId="7D9BC57F"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szCs w:val="18"/>
              </w:rPr>
              <w:t>Acute upper respiratory infections</w:t>
            </w:r>
          </w:p>
        </w:tc>
        <w:tc>
          <w:tcPr>
            <w:tcW w:w="1074" w:type="dxa"/>
          </w:tcPr>
          <w:p w14:paraId="5BF4A002"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52AB44C4" w14:textId="1C4FFF08"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{"citationID":"AmdFdRyZ","properties":{"formattedCitation":"[3,4]","plainCitation":"[3,4]","noteIndex":0},"citationItems":[{"id":18155,"uris":["http://zotero.org/users/1179918/items/5QFWWLLA"],"itemData":{"id":18155,"type":"article-journal","abstract":"Cervical artery dissection (CAD) is an important cause of ischemic stroke in younger patients. However, its cause is insufficiently understood.To test the hypothesis that CAD is frequently associated with recent infection.We compared the prevalence of infection during the preceding week in 43 consecutive patients with acute CAD and 58 consecutive patients younger than 50 years with acute cerebral ischemia from other causes (control patients). In subgroups of patients, we correlated infectious status with electron microscopic studies of skin biopsy specimens and investigated pathways potentially linking infection and CAD.Recent infection was more common in patients with CAD (25/43 [58.1%]) than in control patients (19/58 [32.8%]; P=.01). Respiratory tract infection was preponderant in both groups. Recent infection, but not the mechanical factors cough, sneezing, or vomiting, was independently associated with CAD in multivariate analysis. Investigation of serum antibodies against Chlamydia pneumoniae, smooth muscle cells, endothelial cells, collagen types I through IV, and heat shock protein 65 and assessment of serum α1-antitrypsin and HLA did not contribute to the understanding of the pathogenesis of CAD. More patients with pathologic findings in skin biopsy specimens tended to have had a recent infection (13/21 [62%]) than patients without pathologic findings (2/9 [22%]; P=.11).Our results suggest a significant association between recent infection and CAD that is not explained by mechanical factors occurring during infection.Arch Neurol. 1999;56:851-856--&gt;","container-title":"Archives of Neurology","DOI":"10.1001/archneur.56.7.851","ISSN":"0003-9942","issue":"7","journalAbbreviation":"Archives of Neurology","page":"851-856","source":"Silverchair","title":"Association of Cervical Artery Dissection With Recent Infection","URL":"https://doi.org/10.1001/archneur.56.7.851","volume":"56","author":[{"family":"Grau","given":"Armin J."},{"family":"Brandt","given":"Tobias"},{"family":"Buggle","given":"Florian"},{"family":"Orberk","given":"Erdem"},{"family":"Mytilineos","given":"Joannis"},{"family":"Werle","given":"Egon"},{"family":"Conradt","given":"Christian"},{"family":"Krause","given":"Martin"},{"family":"Winter","given":"Ralph"},{"family":"Hacke","given":"Werner"}],"accessed":{"date-parts":[["2023",3,12]]},"issued":{"date-parts":[["1999",7,1]]}}},{"id":18126,"uris":["http://zotero.org/users/1179918/items/2BNFNI6B"],"itemData":{"id":18126,"type":"article-journal","container-title":"Stroke","DOI":"10.1161/STROKEAHA.122.042367","issue":"3","page":"e66-e68","publisher":"American Heart Association","source":"ahajournals.org (Atypon)","title":"Influenza-Like Illness as a Short-Term Risk Factor for Arterial Dissection","URL":"https://www.ahajournals.org/doi/full/10.1161/STROKEAHA.122.042367","volume":"54","author":[{"family":"Witsch","given":"Jens"},{"family":"Rutrick","given":"Stephanie B."},{"family":"Lansdale","given":"Kelsey N."},{"family":"Seitz","given":"Alison"},{"family":"Kamel","given":"Hooman"},{"family":"Parikh","given":"Neal S."},{"family":"Segal","given":"Alan Z."},{"family":"Mir","given":"Saad A."},{"family":"Murthy","given":"Santosh B."},{"family":"Niogi","given":"Sumit N."},{"family":"Gaudino","given":"Mario"},{"family":"Girardi","given":"Leonard N."},{"family":"Kim","given":"Jiwon"},{"family":"Devereux","given":"Richard B."},{"family":"Roman","given":"Mary J."},{"family":"Iadecola","given":"Costantino"},{"family":"Kasner","given":"Scott E."},{"family":"Zhang","given":"Cenai"},{"family":"Merkler","given":"Alexander E."}],"accessed":{"date-parts":[["2023",3,11]]},"issued":{"date-parts":[["2023",3]]}}}],"schema":"https://github.com/citation-style-language/schema/raw/master/csl-citation.json"}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[3,4]</w:t>
            </w:r>
            <w:r w:rsidRPr="002E5C2D">
              <w:rPr>
                <w:rFonts w:cstheme="minorHAnsi"/>
                <w:color w:val="202124"/>
                <w:szCs w:val="18"/>
                <w:shd w:val="clear" w:color="auto" w:fill="FFFFFF"/>
              </w:rPr>
              <w:fldChar w:fldCharType="end"/>
            </w:r>
          </w:p>
        </w:tc>
      </w:tr>
      <w:tr w:rsidR="004D3EB4" w:rsidRPr="002E5C2D" w14:paraId="1345B8B4" w14:textId="77777777" w:rsidTr="00160F73">
        <w:trPr>
          <w:gridAfter w:val="1"/>
          <w:wAfter w:w="12" w:type="dxa"/>
          <w:trHeight w:val="222"/>
        </w:trPr>
        <w:tc>
          <w:tcPr>
            <w:tcW w:w="1600" w:type="dxa"/>
          </w:tcPr>
          <w:p w14:paraId="55FD1458"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Z55-Z65</w:t>
            </w:r>
          </w:p>
        </w:tc>
        <w:tc>
          <w:tcPr>
            <w:tcW w:w="5206" w:type="dxa"/>
          </w:tcPr>
          <w:p w14:paraId="69025F90" w14:textId="74BB7559" w:rsidR="004D3EB4" w:rsidRPr="002E5C2D" w:rsidRDefault="004D3EB4" w:rsidP="00160F73">
            <w:pPr>
              <w:keepNext/>
              <w:keepLines/>
              <w:spacing w:after="100" w:afterAutospacing="1" w:line="20" w:lineRule="atLeast"/>
              <w:rPr>
                <w:rFonts w:cstheme="minorHAnsi"/>
                <w:szCs w:val="18"/>
              </w:rPr>
            </w:pPr>
            <w:r>
              <w:rPr>
                <w:szCs w:val="18"/>
              </w:rPr>
              <w:t>Adverse</w:t>
            </w:r>
            <w:r w:rsidRPr="0020243D">
              <w:rPr>
                <w:szCs w:val="18"/>
              </w:rPr>
              <w:t xml:space="preserve"> socioeconomic and psychosocial circumstances</w:t>
            </w:r>
            <w:r>
              <w:rPr>
                <w:szCs w:val="18"/>
              </w:rPr>
              <w:t xml:space="preserve"> (i.e., social determinants of health) </w:t>
            </w:r>
            <w:r w:rsidRPr="00473D80">
              <w:rPr>
                <w:rFonts w:cs="Arial"/>
                <w:szCs w:val="18"/>
              </w:rPr>
              <w:fldChar w:fldCharType="begin"/>
            </w:r>
            <w:r w:rsidR="003E6EF5">
              <w:rPr>
                <w:rFonts w:cs="Arial"/>
                <w:szCs w:val="18"/>
              </w:rPr>
              <w:instrText xml:space="preserve"> ADDIN ZOTERO_ITEM CSL_CITATION {"citationID":"aTexgjZZ","properties":{"formattedCitation":"[5,6]","plainCitation":"[5,6]","noteIndex":0},"citationItems":[{"id":28564,"uris":["http://zotero.org/users/1179918/items/YIPVHJB6"],"itemData":{"id":28564,"type":"article-journal","abstract":"INTRODUCTION: Social determinants of health (SDoH) are non-medical factors that impact individuals' health. SDoH can be documented in claims data using International Classification of Disease (ICD) 10th revision codes Z55 - Z65. The study objective was to describe the documentation of SDoH Z-codes among Medicaid beneficiaries in Texas.\nMETHODS: Texas Medicaid medical and enrollment claims data were utilized. Beneficiaries with at least one claim associated with SDoH Z-codes between 2016 and 2019 were identified excluding those 65+ years of age and others dually eligible for Medicare.\nRESULTS: SDoH Z-code documentation was associated with approximately 1.2 million claims for 181,136 unique beneficiaries. Females (54.3%) and Hispanics (47.9%) comprised a majority of beneficiaries with Z-code documentation, and the average age was 14.2 ± 13.4 years. Nearly 40% had Z-code documentation of \"problems related to upbringing\" (Z62) (N = 68,478, 37.8%), followed by \"problems related to primary support group including family circumstances\" (Z63) (N = 42,378, 23.4%), and \"problems related to education and literacy\" (Z55) (N = 28,848, 15.9%). SDoH Z-code documentation increased slightly over the years from 1% of Medicaid beneficiaries in 2016 to 1.3% in 2019.\nCONCLUSION: A steady increase in SDoH Z-code documentation was observed among Medicaid beneficiaries but represented a relatively small proportion of the beneficiaries overall.","container-title":"Research in social &amp; administrative pharmacy: RSAP","DOI":"10.1016/j.sapharm.2022.10.010","ISSN":"1934-8150","issue":"1","journalAbbreviation":"Res Social Adm Pharm","language":"eng","page":"180-183","PMID":"36333228","source":"PubMed","title":"Z-code documentation to identify social determinants of health among Medicaid beneficiaries","volume":"19","author":[{"family":"Heidari","given":"Elham"},{"family":"Zalmai","given":"Rana"},{"family":"Richards","given":"Kristin"},{"family":"Sakthisivabalan","given":"Lakshya"},{"family":"Brown","given":"Carolyn"}],"issued":{"date-parts":[["2023",1]]}}},{"id":29112,"uris":["http://zotero.org/users/1179918/items/ST76H837"],"itemData":{"id":29112,"type":"article-journal","container-title":"Journal of Managed Care &amp; Specialty Pharmacy","DOI":"10.18553/jmcp.2022.28.6.685","ISSN":"2376-1032","issue":"6","journalAbbreviation":"J Manag Care Spec Pharm","language":"eng","page":"685-687","PMID":"35621723","PMCID":"PMC10373016","source":"PubMed","title":"From access to equity: The devil is in \"Z\" details","title-short":"From access to equity","volume":"28","author":[{"family":"Schulte","given":"Adam"},{"family":"Donovan","given":"Anthony L."},{"family":"McAdam-Marx","given":"Carrie"}],"issued":{"date-parts":[["2022",6]]}}}],"schema":"https://github.com/citation-style-language/schema/raw/master/csl-citation.json"} </w:instrText>
            </w:r>
            <w:r w:rsidRPr="00473D80">
              <w:rPr>
                <w:rFonts w:cs="Arial"/>
                <w:szCs w:val="18"/>
              </w:rPr>
              <w:fldChar w:fldCharType="separate"/>
            </w:r>
            <w:r w:rsidR="006E0AEA" w:rsidRPr="006E0AEA">
              <w:rPr>
                <w:rFonts w:cs="Arial"/>
              </w:rPr>
              <w:t>[5,6]</w:t>
            </w:r>
            <w:r w:rsidRPr="00473D80">
              <w:rPr>
                <w:rFonts w:cs="Arial"/>
                <w:szCs w:val="18"/>
              </w:rPr>
              <w:fldChar w:fldCharType="end"/>
            </w:r>
          </w:p>
        </w:tc>
        <w:tc>
          <w:tcPr>
            <w:tcW w:w="1074" w:type="dxa"/>
          </w:tcPr>
          <w:p w14:paraId="1B191139"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2BB67F7D" w14:textId="7A69679E"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{"citationID":"1eXyu00f","properties":{"formattedCitation":"[3,7]","plainCitation":"[3,7]","noteIndex":0},"citationItems":[{"id":18195,"uris":["http://zotero.org/users/1179918/items/B44ATYGB"],"itemData":{"id":18195,"type":"article-journal","abstract":"BACKGROUND AND PURPOSE: We investigated whether university education is more likely in cervical artery dissection (CeAD)-patients than in age- and sex-matched patients with ischemic stroke (IS) due to other causes (non-CeAD-IS-patients).\nMETHODS: Patients from the Cervical Artery Dissection and Ischemic Stroke Patients study with documented self-reported profession before onset of IS due to CeAD (n = 715) or non-CeAD causes (n = 631) were analyzed. In the reported profession, the absence or presence of university education was assessed. Professions could be rated as academic or non-academic in 518 CeAD and 456 non-CeAD patients. Clinical outcome at 3 months was defined as excellent if modified Rankin Scale was 0-1.\nRESULTS: University education was more frequent in CeAD-patients (100 of 518, 19.3%) than in non-CeAD-IS-patients (61 of 456, 13.4%, p = 0.008). CeAD-patients with and without university education differed significantly with regard to smoking (39 vs. 57%, p = 0.001) and excellent outcome (80 vs. 66%, p = 0.004). In logistic regression analysis, university education was associated with excellent outcome in CeAD-patients (OR 2.44, 95% CI 1.37-5.38) independent of other outcome predictors such as age (OR 0.97, 95% CI 0.84-0.99), NIHSS (OR 0.80, 95% CI 0.76-0.84) and local signs (OR 2.77, 95% CI 1.37-5.57).\nCONCLUSION: We observed a higher rate of university education in patients with CeAD compared with non-CeAD patients in our study population. University education was associated with favorable outcome in CeAD-patients. The mechanism behind this association remains unclear.","container-title":"Journal of Neurology","DOI":"10.1007/s00415-018-8798-7","ISSN":"1432-1459","issue":"5","journalAbbreviation":"J Neurol","language":"eng","page":"1065-1070","PMID":"29478223","source":"PubMed","title":"University education and cervical artery dissection","volume":"265","author":[{"family":"Kellert","given":"Lars"},{"family":"Grau","given":"Armin"},{"family":"Pezzini","given":"Alessandro"},{"family":"Debette","given":"Stéphanie"},{"family":"Leys","given":"Didier"},{"family":"Caso","given":"Valeria"},{"family":"Thijs","given":"Vincent N."},{"family":"Bersano","given":"Anna"},{"family":"Touzé","given":"Emmanuel"},{"family":"Tatlisumak","given":"Turgut"},{"family":"Traenka","given":"Christopher"},{"family":"Lyrer","given":"Philippe A."},{"family":"Engelter","given":"Stefan T."},{"family":"Metso","given":"Tiina M."},{"family":"Grond-Ginsbach","given":"Caspar"},{"family":"Kloss","given":"Manja"},{"literal":"Cervical Artery Dissection and Ischemic Stroke Patients (CADISP)-Study Group"}],"issued":{"date-parts":[["2018",5]]}}},{"id":18155,"uris":["http://zotero.org/users/1179918/items/5QFWWLLA"],"itemData":{"id":18155,"type":"article-journal","abstract":"Cervical artery dissection (CAD) is an important cause of ischemic stroke in younger patients. However, its cause is insufficiently understood.To test the hypothesis that CAD is frequently associated with recent infection.We compared the prevalence of infection during the preceding week in 43 consecutive patients with acute CAD and 58 consecutive patients younger than 50 years with acute cerebral ischemia from other causes (control patients). In subgroups of patients, we correlated infectious status with electron microscopic studies of skin biopsy specimens and investigated pathways potentially linking infection and CAD.Recent infection was more common in patients with CAD (25/43 [58.1%]) than in control patients (19/58 [32.8%]; P=.01). Respiratory tract infection was preponderant in both groups. Recent infection, but not the mechanical factors cough, sneezing, or vomiting, was independently associated with CAD in multivariate analysis. Investigation of serum antibodies against Chlamydia pneumoniae, smooth muscle cells, endothelial cells, collagen types I through IV, and heat shock protein 65 and assessment of serum α1-antitrypsin and HLA did not contribute to the understanding of the pathogenesis of CAD. More patients with pathologic findings in skin biopsy specimens tended to have had a recent infection (13/21 [62%]) than patients without pathologic findings (2/9 [22%]; P=.11).Our results suggest a significant association between recent infection and CAD that is not explained by mechanical factors occurring during infection.Arch Neurol. 1999;56:851-856--&gt;","container-title":"Archives of Neurology","DOI":"10.1001/archneur.56.7.851","ISSN":"0003-9942","issue":"7","journalAbbreviation":"Archives of Neurology","page":"851-856","source":"Silverchair","title":"Association of Cervical Artery Dissection With Recent Infection","URL":"https://doi.org/10.1001/archneur.56.7.851","volume":"56","author":[{"family":"Grau","given":"Armin J."},{"family":"Brandt","given":"Tobias"},{"family":"Buggle","given":"Florian"},{"family":"Orberk","given":"Erdem"},{"family":"Mytilineos","given":"Joannis"},{"family":"Werle","given":"Egon"},{"family":"Conradt","given":"Christian"},{"family":"Krause","given":"Martin"},{"family":"Winter","given":"Ralph"},{"family":"Hacke","given":"Werner"}],"accessed":{"date-parts":[["2023",3,12]]},"issued":{"date-parts":[["1999",7,1]]}}}],"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[3,7]</w:t>
            </w:r>
            <w:r w:rsidRPr="002E5C2D">
              <w:rPr>
                <w:rFonts w:cstheme="minorHAnsi"/>
                <w:color w:val="202124"/>
                <w:szCs w:val="18"/>
                <w:shd w:val="clear" w:color="auto" w:fill="FFFFFF"/>
              </w:rPr>
              <w:fldChar w:fldCharType="end"/>
            </w:r>
          </w:p>
        </w:tc>
      </w:tr>
      <w:tr w:rsidR="004D3EB4" w:rsidRPr="002E5C2D" w14:paraId="04628397" w14:textId="77777777" w:rsidTr="00160F73">
        <w:trPr>
          <w:gridAfter w:val="1"/>
          <w:wAfter w:w="12" w:type="dxa"/>
          <w:trHeight w:val="222"/>
        </w:trPr>
        <w:tc>
          <w:tcPr>
            <w:tcW w:w="1600" w:type="dxa"/>
          </w:tcPr>
          <w:p w14:paraId="74CB8025"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I71</w:t>
            </w:r>
          </w:p>
        </w:tc>
        <w:tc>
          <w:tcPr>
            <w:tcW w:w="5206" w:type="dxa"/>
          </w:tcPr>
          <w:p w14:paraId="3DFFF278"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t>Aortic aneurysm and dissection</w:t>
            </w:r>
          </w:p>
        </w:tc>
        <w:tc>
          <w:tcPr>
            <w:tcW w:w="1074" w:type="dxa"/>
          </w:tcPr>
          <w:p w14:paraId="1F05B625"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39296709" w14:textId="38752C7C"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mVtutGuK","properties":{"formattedCitation":"[8]","plainCitation":"[8]","noteIndex":0},"citationItems":[{"id":18398,"uris":["http://zotero.org/users/1179918/items/KPS4KBNG"],"itemData":{"id":18398,"type":"article-journal","container-title":"Circulation","DOI":"10.1161/CIRCULATIONAHA.121.055274","issue":"10","page":"840-842","publisher":"American Heart Association","source":"ahajournals.org (Atypon)","title":"Association Between Cervical Artery Dissection and Aortic Dissection","URL":"https://www.ahajournals.org/doi/full/10.1161/CIRCULATIONAHA.121.055274","volume":"144","author":[{"family":"Witsch","given":"Jens"},{"family":"Mir","given":"Saad A."},{"family":"Parikh","given":"Neal S."},{"family":"Murthy","given":"Santosh B."},{"family":"Kamel","given":"Hooman"},{"family":"Navi","given":"Babak B."},{"family":"Segal","given":"Alan Z."},{"family":"Fink","given":"Matthew E."},{"family":"Rutrick","given":"Stephanie B."},{"family":"Safford","given":"Monika M."},{"family":"Narula","given":"Nupoor"},{"family":"Goyal","given":"Parag"},{"family":"Gaudino","given":"Mario"},{"family":"Girardi","given":"Leonard N."},{"family":"Devereux","given":"Richard B."},{"family":"Roman","given":"Mary J."},{"family":"Zhang","given":"Cenai"},{"family":"Merkler","given":"Alexander E."}],"accessed":{"date-parts":[["2023",4,28]]},"issued":{"date-parts":[["2021",9,7]]}}}],"schema":"https://github.com/citation-style-language/schema/raw/master/csl-citation.json"}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[8]</w:t>
            </w:r>
            <w:r w:rsidRPr="002E5C2D">
              <w:rPr>
                <w:rFonts w:cstheme="minorHAnsi"/>
                <w:color w:val="202124"/>
                <w:szCs w:val="18"/>
                <w:shd w:val="clear" w:color="auto" w:fill="FFFFFF"/>
              </w:rPr>
              <w:fldChar w:fldCharType="end"/>
            </w:r>
          </w:p>
        </w:tc>
      </w:tr>
      <w:tr w:rsidR="004D3EB4" w:rsidRPr="002E5C2D" w14:paraId="4E64600C" w14:textId="77777777" w:rsidTr="00160F73">
        <w:trPr>
          <w:gridAfter w:val="1"/>
          <w:wAfter w:w="12" w:type="dxa"/>
          <w:trHeight w:val="222"/>
        </w:trPr>
        <w:tc>
          <w:tcPr>
            <w:tcW w:w="1600" w:type="dxa"/>
          </w:tcPr>
          <w:p w14:paraId="525ED7A0"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I77.3</w:t>
            </w:r>
          </w:p>
        </w:tc>
        <w:tc>
          <w:tcPr>
            <w:tcW w:w="5206" w:type="dxa"/>
          </w:tcPr>
          <w:p w14:paraId="1B82EF91"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t>Arterial fibromuscular dysplasia</w:t>
            </w:r>
          </w:p>
        </w:tc>
        <w:tc>
          <w:tcPr>
            <w:tcW w:w="1074" w:type="dxa"/>
          </w:tcPr>
          <w:p w14:paraId="092D4A5F"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298AD6EF" w14:textId="76FAB6F4"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szCs w:val="18"/>
              </w:rPr>
              <w:fldChar w:fldCharType="begin"/>
            </w:r>
            <w:r w:rsidR="003E6EF5">
              <w:rPr>
                <w:rFonts w:cstheme="minorHAnsi"/>
                <w:szCs w:val="18"/>
              </w:rPr>
              <w:instrText xml:space="preserve"> ADDIN ZOTERO_ITEM CSL_CITATION {"citationID":"KBEgbiYI","properties":{"formattedCitation":"[9]","plainCitation":"[9]","noteIndex":0},"citationItems":[{"id":6787,"uris":["http://zotero.org/users/1179918/items/WXMASCUC"],"itemData":{"id":6787,"type":"article-journal","abstract":"Purpose of review \n        Cervical artery dissection (CeAD) is a major cause of ischemic stroke in young and middle-aged adults, although relatively uncommon in the community. Recent large collaborative projects have provided new insights into mechanisms and risk factors of CeAD.\n        Recent findings \n        Pathologic changes observed at the media–adventitia border in temporal arteries of CeAD patients suggest a predisposing arterial wall weakness. In large multicenter series of CeAD patients, compared to age-matched healthy controls and patients with an ischemic stroke of another cause, hypertension and migraine, especially without aura, were confirmed as risk factors for CeAD, in addition to cervical trauma and recent infection. Hypercholesterolemia and being overweight were shown to be inversely associated with CeAD. Differences in risk factor profile and structural features between carotid and vertebral dissection suggest that their pathophysiology may partly differ. An association of CeAD with fibromuscular dysplasia and reversible cerebral vasoconstriction syndrome was described. Genetic risk factors of CeAD are still poorly understood.\n        Summary \n        Large cohorts of CeAD patients have refined our understanding of the pathophysiology and risk factors of CeAD, but the molecular mechanisms are still poorly understood. Ongoing high-throughput genetic projects will hopefully provide novel insight into the biological substrate of CeAD.","container-title":"Current Opinion in Neurology","DOI":"10.1097/WCO.0000000000000056","ISSN":"1350-7540","issue":"1","language":"en-US","page":"20–28","source":"journals.lww.com","title":"Pathophysiology and risk factors of cervical artery dissection: what have we learnt from large hospital-based cohorts?","title-short":"Pathophysiology and risk factors of cervical artery dissection","URL":"https://journals.lww.com/co-neurology/fulltext/2014/02000/Pathophysiology_and_risk_factors_of_cervical.5.aspx?casa_token=vpkiaEpGIcwAAAAA:tN1zfQozuB7FhDuk-3QSAoHKR2ymR0Swn8FGkrBVfH0RI77hcA4X8A18d1FM1tA-OaRfihmNR3gXRkAAtVdgZlBl","volume":"27","author":[{"family":"Debette","given":"Stéphanie"}],"accessed":{"date-parts":[["2021",6,11]]},"issued":{"date-parts":[["2014",2]]}}}],"schema":"https://github.com/citation-style-language/schema/raw/master/csl-citation.json"} </w:instrText>
            </w:r>
            <w:r w:rsidRPr="002E5C2D">
              <w:rPr>
                <w:rFonts w:cstheme="minorHAnsi"/>
                <w:szCs w:val="18"/>
              </w:rPr>
              <w:fldChar w:fldCharType="separate"/>
            </w:r>
            <w:r w:rsidR="006E0AEA" w:rsidRPr="006E0AEA">
              <w:rPr>
                <w:rFonts w:ascii="Calibri" w:hAnsi="Calibri" w:cs="Calibri"/>
              </w:rPr>
              <w:t>[9]</w:t>
            </w:r>
            <w:r w:rsidRPr="002E5C2D">
              <w:rPr>
                <w:rFonts w:cstheme="minorHAnsi"/>
                <w:szCs w:val="18"/>
              </w:rPr>
              <w:fldChar w:fldCharType="end"/>
            </w:r>
          </w:p>
        </w:tc>
      </w:tr>
      <w:tr w:rsidR="004D3EB4" w:rsidRPr="002E5C2D" w14:paraId="515677ED" w14:textId="77777777" w:rsidTr="00160F73">
        <w:trPr>
          <w:gridAfter w:val="1"/>
          <w:wAfter w:w="12" w:type="dxa"/>
          <w:trHeight w:val="222"/>
        </w:trPr>
        <w:tc>
          <w:tcPr>
            <w:tcW w:w="1600" w:type="dxa"/>
          </w:tcPr>
          <w:p w14:paraId="7BC5824C"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E06.3</w:t>
            </w:r>
          </w:p>
        </w:tc>
        <w:tc>
          <w:tcPr>
            <w:tcW w:w="5206" w:type="dxa"/>
          </w:tcPr>
          <w:p w14:paraId="6324AAEC"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bCs/>
                <w:szCs w:val="18"/>
              </w:rPr>
              <w:t>Autoimmune thyroiditis</w:t>
            </w:r>
          </w:p>
        </w:tc>
        <w:tc>
          <w:tcPr>
            <w:tcW w:w="1074" w:type="dxa"/>
          </w:tcPr>
          <w:p w14:paraId="10BE0FC1"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666F27CB" w14:textId="30442CD9"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{"citationID":"0Loc1QEC","properties":{"formattedCitation":"[10,11]","plainCitation":"[10,11]","noteIndex":0},"citationItems":[{"id":18384,"uris":["http://zotero.org/users/1179918/items/T4ADMX36"],"itemData":{"id":18384,"type":"article-journal","abstract":"A series of biopsies and reports showed autoimmune diseases might be involved in the process of local inflammation related to spontaneous cervicocranial arterial dissection (SCCAD) occurrence. This retrospective case-control study examined the association between SCCADs and autoimmune diseases in patients and control subjects from 2014 to 2020. SCCAD patients and age/sex-matched control subjects were recruited, and clinical data were collected. SCCAD was confirmed by digital subtraction angiography or high-resolution magnetic resonance imaging. The study included 215 SCCAD patients and 430 control subjects. Totally, 135 (62.8%) of the 215 cases were found SCCAD in the anterior circulation, 26 (12.0%) patients involved multiple vessels. Autoimmune disease occurred in 27 (12.6%) cases with SCCAD and 4 (0.9%) control subjects (p&lt;0.001). A conditional multivariable logistic regression model was used to calculate the odds ratio for SCCAD among patients with a history of autoimmune disease, adjusting for hypertension, diabetes, hyperlipidemia, and smoking. After adjustment, autoimmune diseases were associated with SCCAD (p&lt;0.001). After sub-analysis by a similar modeling strategy, significant associations were still observed in different subgroups, such as female group and male group as well as intramural hematoma (IMH) group and Non-IHM group. The association of SCCAD with autoimmune disease suggested that autoimmune mechanisms may be involved in some etiologies of SCCAD.","container-title":"Frontiers in Immunology","DOI":"10.3389/fimmu.2021.820039","ISSN":"1664-3224","page":"820039","source":"Frontiers","title":"Association Between Autoimmune Diseases and Spontaneous Cervicocranial Arterial Dissection","volume":"12","author":[{"family":"Li","given":"Hao"},{"family":"Song","given":"Pu"},{"family":"Yang","given":"Wei"},{"family":"Yang","given":"Le"},{"family":"Diao","given":"Shanshan"},{"family":"Huang","given":"Shicun"},{"family":"Wang","given":"Yiqing"},{"family":"Xu","given":"Xingshun"},{"family":"Yang","given":"Yi"}],"accessed":{"date-parts":[["2023",4,20]]},"issued":{"date-parts":[["2022"]]}}},{"id":19444,"uris":["http://zotero.org/users/1179918/items/VC4N3HEH"],"itemData":{"id":19444,"type":"article-journal","abstract":"Background and Purpose—\n              \n              The possibility that a disorder of immunity might have a role in the mechanism of local inflammatory alterations leading to spontaneous cervical artery dissection (sCAD) has been recently advocated.\n            \n            \n              \n                Methods—\n              \n              We explored this hypothesis in a case-control study, including patients with sCAD (n=29) and patients with non-CAD ischemic stroke (non-CAD; n=29). Serum levels of antithyroperoxidase, antithyroglobulin, and antithyroid-stimulating hormone receptor antibodies, antinuclear antibodies, antineutrophil cytoplasmic antibodies, antidouble-stranded deoxyribonucleic acid antibodies, antiextractable nuclear antigen antibodies, rheumatoid factor, C3 and C4 complement fraction, and cryoglobulins were measured in all subjects.\n            \n            \n              \n                Results—\n              \n              Antithyroid autoimmunity was found in 31.0% (9 of 29) of patients with sCAD and 6.9% (2 of 29) of patients with non-CAD ischemic stroke (\n              P\n              =0.041).\n            \n            \n              \n                Conclusions—\n              \n              Autoimmunity may be involved in the process of local inflammation related to sCAD occurrence. The hypothesis that the arterial disease might be one phenotypic expression of a generalized activation of immunity warrants further investigations.","container-title":"Stroke","DOI":"10.1161/01.STR.0000236500.15976.f3","ISSN":"0039-2499, 1524-4628","issue":"9","journalAbbreviation":"Stroke","language":"en","page":"2375-2377","source":"DOI.org (Crossref)","title":"Thyroid Autoimmunity and Spontaneous Cervical Artery Dissection","URL":"https://www.ahajournals.org/doi/10.1161/01.STR.0000236500.15976.f3","volume":"37","author":[{"family":"Pezzini","given":"Alessandro"},{"family":"Del Zotto","given":"Elisabetta"},{"family":"Mazziotti","given":"Gherardo"},{"family":"Ruggeri","given":"Giuseppina"},{"family":"Franco","given":"Fabio"},{"family":"Giossi","given":"Alessia"},{"family":"Giustina","given":"Andrea"},{"family":"Padovani","given":"Alessandro"}],"accessed":{"date-parts":[["2023",10,11]]},"issued":{"date-parts":[["2006",9]]}}}],"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[10,11]</w:t>
            </w:r>
            <w:r w:rsidRPr="002E5C2D">
              <w:rPr>
                <w:rFonts w:cstheme="minorHAnsi"/>
                <w:color w:val="202124"/>
                <w:szCs w:val="18"/>
                <w:shd w:val="clear" w:color="auto" w:fill="FFFFFF"/>
              </w:rPr>
              <w:fldChar w:fldCharType="end"/>
            </w:r>
          </w:p>
        </w:tc>
      </w:tr>
      <w:tr w:rsidR="004D3EB4" w:rsidRPr="002E5C2D" w14:paraId="66705E97" w14:textId="77777777" w:rsidTr="00160F73">
        <w:trPr>
          <w:gridAfter w:val="1"/>
          <w:wAfter w:w="12" w:type="dxa"/>
          <w:trHeight w:val="222"/>
        </w:trPr>
        <w:tc>
          <w:tcPr>
            <w:tcW w:w="1600" w:type="dxa"/>
          </w:tcPr>
          <w:p w14:paraId="7D43AF7D"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F17</w:t>
            </w:r>
          </w:p>
        </w:tc>
        <w:tc>
          <w:tcPr>
            <w:tcW w:w="5206" w:type="dxa"/>
          </w:tcPr>
          <w:p w14:paraId="28B039EF"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bCs/>
                <w:szCs w:val="18"/>
              </w:rPr>
              <w:t>Nicotine dependence</w:t>
            </w:r>
          </w:p>
        </w:tc>
        <w:tc>
          <w:tcPr>
            <w:tcW w:w="1074" w:type="dxa"/>
          </w:tcPr>
          <w:p w14:paraId="0BAB527B"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4687E531" w14:textId="31E435CE"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i/>
                <w:iCs/>
                <w:szCs w:val="18"/>
              </w:rPr>
              <w:fldChar w:fldCharType="begin"/>
            </w:r>
            <w:r w:rsidR="003E6EF5">
              <w:rPr>
                <w:rFonts w:cstheme="minorHAnsi"/>
                <w:i/>
                <w:iCs/>
                <w:szCs w:val="18"/>
              </w:rPr>
              <w:instrText xml:space="preserve"> ADDIN ZOTERO_ITEM CSL_CITATION {"citationID":"H5jJlRNE","properties":{"formattedCitation":"[12]","plainCitation":"[12]","noteIndex":0},"citationItems":[{"id":18119,"uris":["http://zotero.org/users/1179918/items/35UUK2EM"],"itemData":{"id":18119,"type":"article-journal","abstract":"Objectives\nThis meta-analysis was conducted to investigate the association of smoking, hypertension, diabetes mellitus and hyperlipidemia with spontaneous cervical artery dissection (sCeAD) and non-dissection ischemic stroke (IS).\nMaterials and Methods\nWe searched Medline, Embase and PubMed Central for studies that compared the four cardiovascular variables between sCeAD and non-dissection IS. Heterogeneity was quantified with χ2-based Cochran's Q-test and I2-statistic. We used fixed effects analysis when heterogeneity was low, and random effects model when high. Newcastle-Ottawa-Scale was used to assess the risk of bias and Cochrane RevMan 5.4 was used for analysis.\nResults\nEighteen studies compared 1621 patients with ischemic stroke related to sCeAD with 8048 control patients with IS of other causes. Heterogeneity was 25% for diabetes, 40% for smoking, 49% for hypercholesterolemia and 83% for hypertension. The four cardiovascular variables showed a significant association with non-dissection IS compared to sCeAD. This was more pronounced for diabetes (pooled OR = 0.45 [0.35, 0.58], P-value &lt;0.00001), hypercholesterolemia (pooled OR = 0.58 [0.48, 0.70] and smoking (pooled OR 0.63 [0.55, 0.71], P-value &lt;0.00001). Hypertension also showed significant association with non-dissection ischemic stroke compared to sCeAD (pooled OR = 0.57 [0.40, 0.81], P-value =0.002), but this association was not statistically significant after sensitivity analysis.\nConclusion\nThis meta-analysis showed that smoking diabetes and hypercholesterolemia were significantly associated with non-dissection than with dissection ischemic stroke. This association was not shown for hypertension, suggesting it is a risk factor of sCeAD as well as of ischemic stroke of other types.","container-title":"Health Sciences Review","DOI":"10.1016/j.hsr.2022.100058","ISSN":"2772-6320","journalAbbreviation":"Health Sciences Review","language":"en","page":"100058","source":"ScienceDirect","title":"Meta-analysis of cardiovascular risk profile of stroke secondary to spontaneous cervical artery dissection compared to ischemic stroke of other causes","URL":"https://www.sciencedirect.com/science/article/pii/S2772632022000472","volume":"5","author":[{"family":"Abdelnour","given":"Loay H"},{"family":"Abdalla","given":"Mohamed Eltahir"},{"family":"Elhassan","given":"Samah"},{"family":"Kheirelseid","given":"Elrasheid A. H."}],"accessed":{"date-parts":[["2023",3,11]]},"issued":{"date-parts":[["2022",12,1]]}}}],"schema":"https://github.com/citation-style-language/schema/raw/master/csl-citation.json"} </w:instrText>
            </w:r>
            <w:r w:rsidRPr="002E5C2D">
              <w:rPr>
                <w:rFonts w:cstheme="minorHAnsi"/>
                <w:i/>
                <w:iCs/>
                <w:szCs w:val="18"/>
              </w:rPr>
              <w:fldChar w:fldCharType="separate"/>
            </w:r>
            <w:r w:rsidR="006E0AEA" w:rsidRPr="006E0AEA">
              <w:rPr>
                <w:rFonts w:ascii="Calibri" w:hAnsi="Calibri" w:cs="Calibri"/>
              </w:rPr>
              <w:t>[12]</w:t>
            </w:r>
            <w:r w:rsidRPr="002E5C2D">
              <w:rPr>
                <w:rFonts w:cstheme="minorHAnsi"/>
                <w:i/>
                <w:iCs/>
                <w:szCs w:val="18"/>
              </w:rPr>
              <w:fldChar w:fldCharType="end"/>
            </w:r>
          </w:p>
        </w:tc>
      </w:tr>
      <w:tr w:rsidR="004D3EB4" w:rsidRPr="002E5C2D" w14:paraId="140403EE" w14:textId="77777777" w:rsidTr="00160F73">
        <w:trPr>
          <w:gridAfter w:val="1"/>
          <w:wAfter w:w="12" w:type="dxa"/>
          <w:trHeight w:val="222"/>
        </w:trPr>
        <w:tc>
          <w:tcPr>
            <w:tcW w:w="1600" w:type="dxa"/>
          </w:tcPr>
          <w:p w14:paraId="7FE9C63B"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E08-E13</w:t>
            </w:r>
          </w:p>
        </w:tc>
        <w:tc>
          <w:tcPr>
            <w:tcW w:w="5206" w:type="dxa"/>
          </w:tcPr>
          <w:p w14:paraId="4666BD8B"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bCs/>
                <w:szCs w:val="18"/>
              </w:rPr>
              <w:t>Diabetes mellitus</w:t>
            </w:r>
          </w:p>
        </w:tc>
        <w:tc>
          <w:tcPr>
            <w:tcW w:w="1074" w:type="dxa"/>
          </w:tcPr>
          <w:p w14:paraId="6E825DED"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1A5A4489" w14:textId="07B3DB25"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MCim18Ax","properties":{"formattedCitation":"[12\\uc0\\u8211{}14]","plainCitation":"[12–14]","noteIndex":0},"citationItems":[{"id":28510,"uris":["http://zotero.org/users/1179918/items/RLXA6589"],"itemData":{"id":28510,"type":"article-journal","abstract":"OBJECTIVE: Epidemiological data to characterize the individual risk profile of patients with spontaneous cervical artery dissection (sCeAD) are rather inconsistent.\nMETHODS AND RESULTS: In the setting of the Italian Project on Stroke in Young Adults Cervical Artery Dissection (IPSYS CeAD), we compared the characteristics of 1,468 patients with sCeAD (mean age = 47.3 ± 11.3 years, men = 56.7%) prospectively recruited at 39 Italian centers with those of 2 control groups, composed of (1) patients whose ischemic stroke was caused by mechanisms other than dissection (non-CeAD IS) selected from the prospective IPSYS registry and Brescia Stroke Registry and (2) stroke-free individuals selected from the staff members of participating hospitals, matched 1:1:1 by sex, age, and race. Compared to stroke-free subjects, patients with sCeAD were more likely to be hypertensive (odds ratio [OR] = 1.65, 95% confidence interval [CI] = 1.37-1.98), to have personal history of migraine with aura (OR = 2.45, 95% CI = 1.74-3.34), without aura (OR = 2.67, 95% CI = 2.15-3.32), and family history of vascular disease in first-degree relatives (OR = 1.69, 95% CI = 1.39-2.05), and less likely to be diabetic (OR = 0.65, 95% CI = 0.47-0.91), hypercholesterolemic (OR = 0.75, 95% CI = 0.62-0.91), and obese (OR = 0.41, 95% CI = 0.31-0.54). Migraine without aura was also associated with sCeAD (OR = 1.81, 95% CI = 1.47-2.22) in comparison with patients with non-CeAD IS. In the subgroup of patients with migraine, patients with sCeAD had higher frequency of migraine attacks and were less likely to take anti-migraine preventive medications, especially beta-blockers, compared with the other groups.\nINTERPRETATION: The risk of sCeAD is influenced by migraine, especially migraine without aura, more than by other factors, increases with increasing frequency of attacks, and seems to be reduced by migraine preventive medications, namely beta-blockers. ANN NEUROL 2023;94:585-595.","container-title":"Annals of Neurology","DOI":"10.1002/ana.26717","ISSN":"1531-8249","issue":"3","journalAbbreviation":"Ann Neurol","language":"eng","page":"585-595","PMID":"37272282","source":"PubMed","title":"Risk Profile of Patients with Spontaneous Cervical Artery Dissection","volume":"94","author":[{"family":"Del Zotto","given":"Elisabetta"},{"family":"Grassi","given":"Mario"},{"family":"Zedde","given":"Marialuisa"},{"family":"Zini","given":"Andrea"},{"family":"Bersano","given":"Anna"},{"family":"Gandolfo","given":"Carlo"},{"family":"Silvestrelli","given":"Giorgio"},{"family":"Baracchini","given":"Claudio"},{"family":"Cerrato","given":"Paolo"},{"family":"Lodigiani","given":"Corrado"},{"family":"Marcheselli","given":"Simona"},{"family":"Paciaroni","given":"Maurizio"},{"family":"Spalloni","given":"Alessandra"},{"family":"Cappellari","given":"Manuel"},{"family":"Del Sette","given":"Massimo"},{"family":"Cavallini","given":"Anna"},{"family":"Lotti","given":"Enrico Maria"},{"family":"Delodovici","given":"Maria Luisa"},{"family":"Gentile","given":"Mauro"},{"family":"Magoni","given":"Mauro"},{"family":"Padroni","given":"Marina"},{"family":"Azzini","given":"Cristiano"},{"family":"Calloni","given":"Maria Vittoria"},{"family":"Giorli","given":"Elisa"},{"family":"Braga","given":"Massimiliano"},{"family":"La Spina","given":"Paolo"},{"family":"Melis","given":"Fabio"},{"family":"Tassi","given":"Rossana"},{"family":"Terruso","given":"Valeria"},{"family":"Calabrò","given":"Rocco Salvatore"},{"family":"Piras","given":"Valeria"},{"family":"Giossi","given":"Alessia"},{"family":"Sanguigni","given":"Sandro"},{"family":"Zanferrari","given":"Carla"},{"family":"Mannino","given":"Marina"},{"family":"Colombo","given":"Irene"},{"family":"Dallocchio","given":"Carlo"},{"family":"Nencini","given":"Patrizia"},{"family":"Bignamini","given":"Valeria"},{"family":"Adami","given":"Alessandro"},{"family":"Bella","given":"Rita"},{"family":"Pascarella","given":"Rosario"},{"family":"Keser","given":"Zafer"},{"family":"Pezzini","given":"Alessandro"},{"literal":"Italian Project on Stroke in Young Adults-Cervical Artery Dissection, (IPSYS CeAD) Research Group"}],"issued":{"date-parts":[["2023",9]]}}},{"id":18119,"uris":["http://zotero.org/users/1179918/items/35UUK2EM"],"itemData":{"id":18119,"type":"article-journal","abstract":"Objectives\nThis meta-analysis was conducted to investigate the association of smoking, hypertension, diabetes mellitus and hyperlipidemia with spontaneous cervical artery dissection (sCeAD) and non-dissection ischemic stroke (IS).\nMaterials and Methods\nWe searched Medline, Embase and PubMed Central for studies that compared the four cardiovascular variables between sCeAD and non-dissection IS. Heterogeneity was quantified with χ2-based Cochran's Q-test and I2-statistic. We used fixed effects analysis when heterogeneity was low, and random effects model when high. Newcastle-Ottawa-Scale was used to assess the risk of bias and Cochrane RevMan 5.4 was used for analysis.\nResults\nEighteen studies compared 1621 patients with ischemic stroke related to sCeAD with 8048 control patients with IS of other causes. Heterogeneity was 25% for diabetes, 40% for smoking, 49% for hypercholesterolemia and 83% for hypertension. The four cardiovascular variables showed a significant association with non-dissection IS compared to sCeAD. This was more pronounced for diabetes (pooled OR = 0.45 [0.35, 0.58], P-value &lt;0.00001), hypercholesterolemia (pooled OR = 0.58 [0.48, 0.70] and smoking (pooled OR 0.63 [0.55, 0.71], P-value &lt;0.00001). Hypertension also showed significant association with non-dissection ischemic stroke compared to sCeAD (pooled OR = 0.57 [0.40, 0.81], P-value =0.002), but this association was not statistically significant after sensitivity analysis.\nConclusion\nThis meta-analysis showed that smoking diabetes and hypercholesterolemia were significantly associated with non-dissection than with dissection ischemic stroke. This association was not shown for hypertension, suggesting it is a risk factor of sCeAD as well as of ischemic stroke of other types.","container-title":"Health Sciences Review","DOI":"10.1016/j.hsr.2022.100058","ISSN":"2772-6320","journalAbbreviation":"Health Sciences Review","language":"en","page":"100058","source":"ScienceDirect","title":"Meta-analysis of cardiovascular risk profile of stroke secondary to spontaneous cervical artery dissection compared to ischemic stroke of other causes","URL":"https://www.sciencedirect.com/science/article/pii/S2772632022000472","volume":"5","author":[{"family":"Abdelnour","given":"Loay H"},{"family":"Abdalla","given":"Mohamed Eltahir"},{"family":"Elhassan","given":"Samah"},{"family":"Kheirelseid","given":"Elrasheid A. H."}],"accessed":{"date-parts":[["2023",3,11]]},"issued":{"date-parts":[["2022",12,1]]}}},{"id":20278,"uris":["http://zotero.org/users/1179918/items/ZBDUTTUP"],"itemData":{"id":20278,"type":"article-journal","abstract":"OBJECTIVE: To examine the import of prior cervical trauma (PCT) in patients with cervical artery dissection (CeAD).\nMETHODS: In this observational study, the presence of and the type of PCT were systematically ascertained in CeAD patients using 2 different populations for comparisons: 1) age- and sex-matched patients with ischemic stroke attributable to a cause other than CeAD (non-CeAD-IS), and 2) healthy subjects participating in the Cervical Artery Dissection and Ischemic Stroke Patients Study. The presence of PCT within 1 month was assessed using a standardized questionnaire. Crude odds ratios (ORs) with 95% confidence intervals (CIs) and ORs adjusted for age, sex, and center were calculated.\nRESULTS: We analyzed 1,897 participants (n = 966 with CeAD, n = 651 with non-CeAD-IS, n = 280 healthy subjects). CeAD patients had PCT in 40.5% (38.2%-44.5%) of cases, with 88% (344 of 392) classified as mild. PCT was more common in CeAD patients than in non-CeAD-IS patients (ORcrude 5.6 [95% CI 4.20-7.37], p &lt; 0.001; ORadjusted 7.6 [95% CI 5.60-10.20], p &lt; 0.001) or healthy subjects (ORcrude 2.8 [95% CI 2.03-3.68], p &lt; 0.001; ORadjusted 3.7 [95% CI 2.40-5.56], p &lt; 0.001). CeAD patients with PCT were younger and presented more often with neck pain and less often with stroke than CeAD patients without PCT. PCT was not associated with functional 3-month outcome after adjustment for age, sex, and stroke severity.\nCONCLUSION: PCT seems to be an important environmental determinant of CeAD, but was not an independent outcome predictor. Because of the characteristics of most PCTs, the term mechanical trigger event rather than trauma may be more appropriate.","container-title":"Neurology","DOI":"10.1212/WNL.0b013e318293e2eb","ISSN":"1526-632X","issue":"21","journalAbbreviation":"Neurology","language":"eng","page":"1950-1957","PMID":"23635964","source":"PubMed","title":"Cervical artery dissection: trauma and other potential mechanical trigger events","title-short":"Cervical artery dissection","volume":"80","author":[{"family":"Engelter","given":"Stefan T."},{"family":"Grond-Ginsbach","given":"Caspar"},{"family":"Metso","given":"Tiina M."},{"family":"Metso","given":"Antti J."},{"family":"Kloss","given":"Manja"},{"family":"Debette","given":"Stephanie"},{"family":"Leys","given":"Didier"},{"family":"Grau","given":"Armin"},{"family":"Dallongeville","given":"Jean"},{"family":"Bodenant","given":"Marie"},{"family":"Samson","given":"Yves"},{"family":"Caso","given":"Valeria"},{"family":"Pezzini","given":"Alessandro"},{"family":"Bonati","given":"Leo H."},{"family":"Thijs","given":"Vincent"},{"family":"Gensicke","given":"Henrik"},{"family":"Martin","given":"Juan J."},{"family":"Bersano","given":"Anna"},{"family":"Touzé","given":"Emmanuel"},{"family":"Tatlisumak","given":"Turgut"},{"family":"Lyrer","given":"Philippe A."},{"family":"Brandt","given":"Tobias"},{"literal":"Cervical Artery Dissection and Ischemic Stroke Patients Study Group"}],"issued":{"date-parts":[["2013",5,21]]}}}],"schema":"https://github.com/citation-style-language/schema/raw/master/csl-citation.json"}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[12–14]</w:t>
            </w:r>
            <w:r w:rsidRPr="002E5C2D">
              <w:rPr>
                <w:rFonts w:cstheme="minorHAnsi"/>
                <w:color w:val="202124"/>
                <w:szCs w:val="18"/>
                <w:shd w:val="clear" w:color="auto" w:fill="FFFFFF"/>
              </w:rPr>
              <w:fldChar w:fldCharType="end"/>
            </w:r>
          </w:p>
        </w:tc>
      </w:tr>
      <w:tr w:rsidR="004D3EB4" w:rsidRPr="002E5C2D" w14:paraId="610B4266" w14:textId="77777777" w:rsidTr="00160F73">
        <w:trPr>
          <w:gridAfter w:val="1"/>
          <w:wAfter w:w="12" w:type="dxa"/>
          <w:trHeight w:val="222"/>
        </w:trPr>
        <w:tc>
          <w:tcPr>
            <w:tcW w:w="1600" w:type="dxa"/>
          </w:tcPr>
          <w:p w14:paraId="791771DD"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R42</w:t>
            </w:r>
          </w:p>
        </w:tc>
        <w:tc>
          <w:tcPr>
            <w:tcW w:w="5206" w:type="dxa"/>
          </w:tcPr>
          <w:p w14:paraId="1378122A"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szCs w:val="18"/>
              </w:rPr>
              <w:t>Dizziness</w:t>
            </w:r>
          </w:p>
        </w:tc>
        <w:tc>
          <w:tcPr>
            <w:tcW w:w="1074" w:type="dxa"/>
          </w:tcPr>
          <w:p w14:paraId="005D97E0"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21980BD9" w14:textId="4B573985"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szCs w:val="18"/>
              </w:rPr>
              <w:fldChar w:fldCharType="begin"/>
            </w:r>
            <w:r w:rsidR="003E6EF5">
              <w:rPr>
                <w:rFonts w:cstheme="minorHAnsi"/>
                <w:szCs w:val="18"/>
              </w:rPr>
              <w:instrText xml:space="preserve"> ADDIN ZOTERO_ITEM CSL_CITATION {"citationID":"byvYLc3Q","properties":{"formattedCitation":"[2]","plainCitation":"[2]","noteIndex":0},"citationItems":[{"id":28419,"uris":["http://zotero.org/users/1179918/items/WH5SHVBH"],"itemData":{"id":28419,"type":"article-journal","abstract":"Background and ObjectivesCervical artery dissection (CeAD) is a common cause of acute ischemic stroke (AIS), especially in patients younger than 55 years, but data regarding trends and subsequent AIS risk after CeAD remain scarce. We aimed to determine national trends in CeAD admissions and examine post-CeAD risk of ischemic stroke.MethodsWe used the National Inpatient Sample (2005–2019), National Readmission Database (2015–2019), and State Inpatient Database for New York (2011–2017) and Florida (2011–2019). Adult patients with spontaneous CeAD were identified using International Classification of Diseases, Ninth Revision, Clinical Modification and International Classification of Diseases, Tenth Revision, Clinical Modification codes. Survey-weighted annual CeAD cases were combined with US census data to estimate annual incidence. National estimates were verified with state-level data, which allows for the removal of duplicate admissions for a single patient through a unique patient identifier. Joinpoint regression was used to quantify the average annual percent change (AAPC) of CeAD incidence. AIS readmission risk after CeAD without concurrent AIS was assessed with death as a competing risk using Fine and Gray competing risk methodology.ResultsFrom 2005 to 2019, we identified 125,102 patients (46.09% female, mean age 51.4 years) with spontaneous CeAD. CeAD incidence increased from 10.7 cases per million population in 2005 to 45.6 cases per million population in 2019, revealing an AAPC of 10.21% (95% CI 9.67%–10.76%). This substantial increase in CeAD admissions was particularly high in the older, Black, and Hispanic populations. Statewide data corroborated this upward trend with an AAPC of 8.47% (95% CI 7.97%–9.48%). Among patients with CeAD without AIS, vertebral artery dissection was the sole major predictor of subsequent ischemic stroke risk within 90 days (adjusted subdistributed hazard ratio 1.77, 95% CI 1.18–2.64, p = 0.006). Interaction and subgroup analyses were performed and demonstrated similar results.DiscussionThere was an almost 5-fold increase in CeAD hospitalizations and an upward incidence trend from 2005 to 2019, particularly in racial minorities, which may be attributed to increased imaging and awareness of CeAD. Our study also revealed a small but significant risk of AIS in patients with vertebral artery dissection without concurrent ischemic stroke. These findings underscore the importance of studying acute treatment and secondary prevention strategies in patients with CeAD.","container-title":"Neurology","DOI":"10.1212/WNL.0000000000213548","issue":"9","page":"e213548","publisher":"Wolters Kluwer","source":"neurology.org (Atypon)","title":"Incidence Trends and Risk of Recurrent Stroke of Cervical Artery Dissections in the United States Between 2005 and 2019","URL":"https://www.neurology.org/doi/10.1212/WNL.0000000000213548","volume":"104","author":[{"family":"Shu","given":"Liqi"},{"family":"Strelecky","given":"Lukas"},{"family":"Havenon","given":"Adam","non-dropping-particle":"de"},{"family":"Nguyen","given":"Thanh N."},{"family":"Henninger","given":"Nils"},{"family":"Keser","given":"Zafer"},{"family":"Khan","given":"Muhib"},{"family":"Siegler","given":"James Ernest"},{"family":"Penckofer","given":"Mary"},{"family":"Omran","given":"Setareh Salehi"},{"family":"Field","given":"Thalia S."},{"family":"Zhou","given":"Lily"},{"family":"Xiao","given":"Han"},{"family":"Jacobson","given":"Austin"},{"family":"Goldstein","given":"Eric D."},{"family":"Stretz","given":"Christoph"},{"family":"Khan","given":"Farhan"},{"family":"Perelstein","given":"Elizabeth"},{"family":"Furie","given":"Karen"},{"family":"Yaghi","given":"Shadi"}],"accessed":{"date-parts":[["2025",5,21]]},"issued":{"date-parts":[["2025",5,13]]}}}],"schema":"https://github.com/citation-style-language/schema/raw/master/csl-citation.json"} </w:instrText>
            </w:r>
            <w:r w:rsidRPr="002E5C2D">
              <w:rPr>
                <w:rFonts w:cstheme="minorHAnsi"/>
                <w:szCs w:val="18"/>
              </w:rPr>
              <w:fldChar w:fldCharType="separate"/>
            </w:r>
            <w:r w:rsidR="006E0AEA" w:rsidRPr="006E0AEA">
              <w:rPr>
                <w:rFonts w:ascii="Calibri" w:hAnsi="Calibri" w:cs="Calibri"/>
              </w:rPr>
              <w:t>[2]</w:t>
            </w:r>
            <w:r w:rsidRPr="002E5C2D">
              <w:rPr>
                <w:rFonts w:cstheme="minorHAnsi"/>
                <w:szCs w:val="18"/>
              </w:rPr>
              <w:fldChar w:fldCharType="end"/>
            </w:r>
          </w:p>
        </w:tc>
      </w:tr>
      <w:tr w:rsidR="004D3EB4" w:rsidRPr="002E5C2D" w14:paraId="6BCE6224" w14:textId="77777777" w:rsidTr="00160F73">
        <w:trPr>
          <w:gridAfter w:val="1"/>
          <w:wAfter w:w="12" w:type="dxa"/>
          <w:trHeight w:val="222"/>
        </w:trPr>
        <w:tc>
          <w:tcPr>
            <w:tcW w:w="1600" w:type="dxa"/>
          </w:tcPr>
          <w:p w14:paraId="07FF1E9F"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I70-I79</w:t>
            </w:r>
          </w:p>
        </w:tc>
        <w:tc>
          <w:tcPr>
            <w:tcW w:w="5206" w:type="dxa"/>
          </w:tcPr>
          <w:p w14:paraId="61466BE3"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szCs w:val="18"/>
              </w:rPr>
              <w:t>Diseases of arteries, arterioles, and capillaries (includes aneurysms, arterial embolism, arteritis, and arterial fibromuscular dysplasia)</w:t>
            </w:r>
          </w:p>
        </w:tc>
        <w:tc>
          <w:tcPr>
            <w:tcW w:w="1074" w:type="dxa"/>
          </w:tcPr>
          <w:p w14:paraId="65A5D128"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2555E8BD" w14:textId="65050197"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{"citationID":"ZXsSOlNi","properties":{"formattedCitation":"[8,9]","plainCitation":"[8,9]","noteIndex":0},"citationItems":[{"id":6787,"uris":["http://zotero.org/users/1179918/items/WXMASCUC"],"itemData":{"id":6787,"type":"article-journal","abstract":"Purpose of review \n        Cervical artery dissection (CeAD) is a major cause of ischemic stroke in young and middle-aged adults, although relatively uncommon in the community. Recent large collaborative projects have provided new insights into mechanisms and risk factors of CeAD.\n        Recent findings \n        Pathologic changes observed at the media–adventitia border in temporal arteries of CeAD patients suggest a predisposing arterial wall weakness. In large multicenter series of CeAD patients, compared to age-matched healthy controls and patients with an ischemic stroke of another cause, hypertension and migraine, especially without aura, were confirmed as risk factors for CeAD, in addition to cervical trauma and recent infection. Hypercholesterolemia and being overweight were shown to be inversely associated with CeAD. Differences in risk factor profile and structural features between carotid and vertebral dissection suggest that their pathophysiology may partly differ. An association of CeAD with fibromuscular dysplasia and reversible cerebral vasoconstriction syndrome was described. Genetic risk factors of CeAD are still poorly understood.\n        Summary \n        Large cohorts of CeAD patients have refined our understanding of the pathophysiology and risk factors of CeAD, but the molecular mechanisms are still poorly understood. Ongoing high-throughput genetic projects will hopefully provide novel insight into the biological substrate of CeAD.","container-title":"Current Opinion in Neurology","DOI":"10.1097/WCO.0000000000000056","ISSN":"1350-7540","issue":"1","language":"en-US","page":"20–28","source":"journals.lww.com","title":"Pathophysiology and risk factors of cervical artery dissection: what have we learnt from large hospital-based cohorts?","title-short":"Pathophysiology and risk factors of cervical artery dissection","URL":"https://journals.lww.com/co-neurology/fulltext/2014/02000/Pathophysiology_and_risk_factors_of_cervical.5.aspx?casa_token=vpkiaEpGIcwAAAAA:tN1zfQozuB7FhDuk-3QSAoHKR2ymR0Swn8FGkrBVfH0RI77hcA4X8A18d1FM1tA-OaRfihmNR3gXRkAAtVdgZlBl","volume":"27","author":[{"family":"Debette","given":"Stéphanie"}],"accessed":{"date-parts":[["2021",6,11]]},"issued":{"date-parts":[["2014",2]]}}},{"id":18398,"uris":["http://zotero.org/users/1179918/items/KPS4KBNG"],"itemData":{"id":18398,"type":"article-journal","container-title":"Circulation","DOI":"10.1161/CIRCULATIONAHA.121.055274","issue":"10","page":"840-842","publisher":"American Heart Association","source":"ahajournals.org (Atypon)","title":"Association Between Cervical Artery Dissection and Aortic Dissection","URL":"https://www.ahajournals.org/doi/full/10.1161/CIRCULATIONAHA.121.055274","volume":"144","author":[{"family":"Witsch","given":"Jens"},{"family":"Mir","given":"Saad A."},{"family":"Parikh","given":"Neal S."},{"family":"Murthy","given":"Santosh B."},{"family":"Kamel","given":"Hooman"},{"family":"Navi","given":"Babak B."},{"family":"Segal","given":"Alan Z."},{"family":"Fink","given":"Matthew E."},{"family":"Rutrick","given":"Stephanie B."},{"family":"Safford","given":"Monika M."},{"family":"Narula","given":"Nupoor"},{"family":"Goyal","given":"Parag"},{"family":"Gaudino","given":"Mario"},{"family":"Girardi","given":"Leonard N."},{"family":"Devereux","given":"Richard B."},{"family":"Roman","given":"Mary J."},{"family":"Zhang","given":"Cenai"},{"family":"Merkler","given":"Alexander E."}],"accessed":{"date-parts":[["2023",4,28]]},"issued":{"date-parts":[["2021",9,7]]}}}],"schema":"https://github.com/citation-style-language/schema/raw/master/csl-citation.json"}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[8,9]</w:t>
            </w:r>
            <w:r w:rsidRPr="002E5C2D">
              <w:rPr>
                <w:rFonts w:cstheme="minorHAnsi"/>
                <w:color w:val="202124"/>
                <w:szCs w:val="18"/>
                <w:shd w:val="clear" w:color="auto" w:fill="FFFFFF"/>
              </w:rPr>
              <w:fldChar w:fldCharType="end"/>
            </w:r>
          </w:p>
        </w:tc>
      </w:tr>
      <w:tr w:rsidR="004D3EB4" w:rsidRPr="002E5C2D" w14:paraId="317A17A1" w14:textId="77777777" w:rsidTr="00160F73">
        <w:trPr>
          <w:gridAfter w:val="1"/>
          <w:wAfter w:w="12" w:type="dxa"/>
          <w:trHeight w:val="222"/>
        </w:trPr>
        <w:tc>
          <w:tcPr>
            <w:tcW w:w="1600" w:type="dxa"/>
          </w:tcPr>
          <w:p w14:paraId="6797E3DB"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Q79.6</w:t>
            </w:r>
          </w:p>
        </w:tc>
        <w:tc>
          <w:tcPr>
            <w:tcW w:w="5206" w:type="dxa"/>
          </w:tcPr>
          <w:p w14:paraId="490D2E3C"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szCs w:val="18"/>
              </w:rPr>
              <w:t>Ehlers-Danlos syndromes</w:t>
            </w:r>
          </w:p>
        </w:tc>
        <w:tc>
          <w:tcPr>
            <w:tcW w:w="1074" w:type="dxa"/>
          </w:tcPr>
          <w:p w14:paraId="19B3A04C"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1B1937B0" w14:textId="07867BBE"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{"citationID":"8EfxHuNF","properties":{"formattedCitation":"[9]","plainCitation":"[9]","noteIndex":0},"citationItems":[{"id":6787,"uris":["http://zotero.org/users/1179918/items/WXMASCUC"],"itemData":{"id":6787,"type":"article-journal","abstract":"Purpose of review \n        Cervical artery dissection (CeAD) is a major cause of ischemic stroke in young and middle-aged adults, although relatively uncommon in the community. Recent large collaborative projects have provided new insights into mechanisms and risk factors of CeAD.\n        Recent findings \n        Pathologic changes observed at the media–adventitia border in temporal arteries of CeAD patients suggest a predisposing arterial wall weakness. In large multicenter series of CeAD patients, compared to age-matched healthy controls and patients with an ischemic stroke of another cause, hypertension and migraine, especially without aura, were confirmed as risk factors for CeAD, in addition to cervical trauma and recent infection. Hypercholesterolemia and being overweight were shown to be inversely associated with CeAD. Differences in risk factor profile and structural features between carotid and vertebral dissection suggest that their pathophysiology may partly differ. An association of CeAD with fibromuscular dysplasia and reversible cerebral vasoconstriction syndrome was described. Genetic risk factors of CeAD are still poorly understood.\n        Summary \n        Large cohorts of CeAD patients have refined our understanding of the pathophysiology and risk factors of CeAD, but the molecular mechanisms are still poorly understood. Ongoing high-throughput genetic projects will hopefully provide novel insight into the biological substrate of CeAD.","container-title":"Current Opinion in Neurology","DOI":"10.1097/WCO.0000000000000056","ISSN":"1350-7540","issue":"1","language":"en-US","page":"20–28","source":"journals.lww.com","title":"Pathophysiology and risk factors of cervical artery dissection: what have we learnt from large hospital-based cohorts?","title-short":"Pathophysiology and risk factors of cervical artery dissection","URL":"https://journals.lww.com/co-neurology/fulltext/2014/02000/Pathophysiology_and_risk_factors_of_cervical.5.aspx?casa_token=vpkiaEpGIcwAAAAA:tN1zfQozuB7FhDuk-3QSAoHKR2ymR0Swn8FGkrBVfH0RI77hcA4X8A18d1FM1tA-OaRfihmNR3gXRkAAtVdgZlBl","volume":"27","author":[{"family":"Debette","given":"Stéphanie"}],"accessed":{"date-parts":[["2021",6,11]]},"issued":{"date-parts":[["2014",2]]}}}],"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[9]</w:t>
            </w:r>
            <w:r w:rsidRPr="002E5C2D">
              <w:rPr>
                <w:rFonts w:cstheme="minorHAnsi"/>
                <w:color w:val="202124"/>
                <w:szCs w:val="18"/>
                <w:shd w:val="clear" w:color="auto" w:fill="FFFFFF"/>
              </w:rPr>
              <w:fldChar w:fldCharType="end"/>
            </w:r>
          </w:p>
        </w:tc>
      </w:tr>
      <w:tr w:rsidR="004D3EB4" w:rsidRPr="002E5C2D" w14:paraId="4D1F4AA1" w14:textId="77777777" w:rsidTr="00160F73">
        <w:trPr>
          <w:gridAfter w:val="1"/>
          <w:wAfter w:w="12" w:type="dxa"/>
          <w:trHeight w:val="222"/>
        </w:trPr>
        <w:tc>
          <w:tcPr>
            <w:tcW w:w="1600" w:type="dxa"/>
          </w:tcPr>
          <w:p w14:paraId="33E95A46"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Z82.4</w:t>
            </w:r>
          </w:p>
        </w:tc>
        <w:tc>
          <w:tcPr>
            <w:tcW w:w="5206" w:type="dxa"/>
          </w:tcPr>
          <w:p w14:paraId="1A3900A8"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szCs w:val="18"/>
              </w:rPr>
              <w:t>Family history of ischemic heart disease and other diseases of the circulatory system</w:t>
            </w:r>
          </w:p>
        </w:tc>
        <w:tc>
          <w:tcPr>
            <w:tcW w:w="1074" w:type="dxa"/>
          </w:tcPr>
          <w:p w14:paraId="17DADC9D"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424E33A0" w14:textId="7585AB57"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szCs w:val="18"/>
              </w:rPr>
              <w:fldChar w:fldCharType="begin"/>
            </w:r>
            <w:r w:rsidR="003E6EF5">
              <w:rPr>
                <w:rFonts w:cstheme="minorHAnsi"/>
                <w:szCs w:val="18"/>
              </w:rPr>
              <w:instrText xml:space="preserve"> ADDIN ZOTERO_ITEM CSL_CITATION {"citationID":"pCHNzjh9","properties":{"formattedCitation":"[13]","plainCitation":"[13]","noteIndex":0},"citationItems":[{"id":28510,"uris":["http://zotero.org/users/1179918/items/RLXA6589"],"itemData":{"id":28510,"type":"article-journal","abstract":"OBJECTIVE: Epidemiological data to characterize the individual risk profile of patients with spontaneous cervical artery dissection (sCeAD) are rather inconsistent.\nMETHODS AND RESULTS: In the setting of the Italian Project on Stroke in Young Adults Cervical Artery Dissection (IPSYS CeAD), we compared the characteristics of 1,468 patients with sCeAD (mean age = 47.3 ± 11.3 years, men = 56.7%) prospectively recruited at 39 Italian centers with those of 2 control groups, composed of (1) patients whose ischemic stroke was caused by mechanisms other than dissection (non-CeAD IS) selected from the prospective IPSYS registry and Brescia Stroke Registry and (2) stroke-free individuals selected from the staff members of participating hospitals, matched 1:1:1 by sex, age, and race. Compared to stroke-free subjects, patients with sCeAD were more likely to be hypertensive (odds ratio [OR] = 1.65, 95% confidence interval [CI] = 1.37-1.98), to have personal history of migraine with aura (OR = 2.45, 95% CI = 1.74-3.34), without aura (OR = 2.67, 95% CI = 2.15-3.32), and family history of vascular disease in first-degree relatives (OR = 1.69, 95% CI = 1.39-2.05), and less likely to be diabetic (OR = 0.65, 95% CI = 0.47-0.91), hypercholesterolemic (OR = 0.75, 95% CI = 0.62-0.91), and obese (OR = 0.41, 95% CI = 0.31-0.54). Migraine without aura was also associated with sCeAD (OR = 1.81, 95% CI = 1.47-2.22) in comparison with patients with non-CeAD IS. In the subgroup of patients with migraine, patients with sCeAD had higher frequency of migraine attacks and were less likely to take anti-migraine preventive medications, especially beta-blockers, compared with the other groups.\nINTERPRETATION: The risk of sCeAD is influenced by migraine, especially migraine without aura, more than by other factors, increases with increasing frequency of attacks, and seems to be reduced by migraine preventive medications, namely beta-blockers. ANN NEUROL 2023;94:585-595.","container-title":"Annals of Neurology","DOI":"10.1002/ana.26717","ISSN":"1531-8249","issue":"3","journalAbbreviation":"Ann Neurol","language":"eng","page":"585-595","PMID":"37272282","source":"PubMed","title":"Risk Profile of Patients with Spontaneous Cervical Artery Dissection","volume":"94","author":[{"family":"Del Zotto","given":"Elisabetta"},{"family":"Grassi","given":"Mario"},{"family":"Zedde","given":"Marialuisa"},{"family":"Zini","given":"Andrea"},{"family":"Bersano","given":"Anna"},{"family":"Gandolfo","given":"Carlo"},{"family":"Silvestrelli","given":"Giorgio"},{"family":"Baracchini","given":"Claudio"},{"family":"Cerrato","given":"Paolo"},{"family":"Lodigiani","given":"Corrado"},{"family":"Marcheselli","given":"Simona"},{"family":"Paciaroni","given":"Maurizio"},{"family":"Spalloni","given":"Alessandra"},{"family":"Cappellari","given":"Manuel"},{"family":"Del Sette","given":"Massimo"},{"family":"Cavallini","given":"Anna"},{"family":"Lotti","given":"Enrico Maria"},{"family":"Delodovici","given":"Maria Luisa"},{"family":"Gentile","given":"Mauro"},{"family":"Magoni","given":"Mauro"},{"family":"Padroni","given":"Marina"},{"family":"Azzini","given":"Cristiano"},{"family":"Calloni","given":"Maria Vittoria"},{"family":"Giorli","given":"Elisa"},{"family":"Braga","given":"Massimiliano"},{"family":"La Spina","given":"Paolo"},{"family":"Melis","given":"Fabio"},{"family":"Tassi","given":"Rossana"},{"family":"Terruso","given":"Valeria"},{"family":"Calabrò","given":"Rocco Salvatore"},{"family":"Piras","given":"Valeria"},{"family":"Giossi","given":"Alessia"},{"family":"Sanguigni","given":"Sandro"},{"family":"Zanferrari","given":"Carla"},{"family":"Mannino","given":"Marina"},{"family":"Colombo","given":"Irene"},{"family":"Dallocchio","given":"Carlo"},{"family":"Nencini","given":"Patrizia"},{"family":"Bignamini","given":"Valeria"},{"family":"Adami","given":"Alessandro"},{"family":"Bella","given":"Rita"},{"family":"Pascarella","given":"Rosario"},{"family":"Keser","given":"Zafer"},{"family":"Pezzini","given":"Alessandro"},{"literal":"Italian Project on Stroke in Young Adults-Cervical Artery Dissection, (IPSYS CeAD) Research Group"}],"issued":{"date-parts":[["2023",9]]}}}],"schema":"https://github.com/citation-style-language/schema/raw/master/csl-citation.json"} </w:instrText>
            </w:r>
            <w:r w:rsidRPr="002E5C2D">
              <w:rPr>
                <w:rFonts w:cstheme="minorHAnsi"/>
                <w:szCs w:val="18"/>
              </w:rPr>
              <w:fldChar w:fldCharType="separate"/>
            </w:r>
            <w:r w:rsidR="006E0AEA" w:rsidRPr="006E0AEA">
              <w:rPr>
                <w:rFonts w:cs="Arial"/>
              </w:rPr>
              <w:t>[13]</w:t>
            </w:r>
            <w:r w:rsidRPr="002E5C2D">
              <w:rPr>
                <w:rFonts w:cstheme="minorHAnsi"/>
                <w:szCs w:val="18"/>
              </w:rPr>
              <w:fldChar w:fldCharType="end"/>
            </w:r>
          </w:p>
        </w:tc>
      </w:tr>
      <w:tr w:rsidR="004D3EB4" w:rsidRPr="002E5C2D" w14:paraId="2DFD9612" w14:textId="77777777" w:rsidTr="00160F73">
        <w:trPr>
          <w:gridAfter w:val="1"/>
          <w:wAfter w:w="12" w:type="dxa"/>
          <w:trHeight w:val="222"/>
        </w:trPr>
        <w:tc>
          <w:tcPr>
            <w:tcW w:w="1600" w:type="dxa"/>
          </w:tcPr>
          <w:p w14:paraId="447EE398" w14:textId="77777777" w:rsidR="004D3EB4" w:rsidRPr="004E6AAC" w:rsidRDefault="004D3EB4" w:rsidP="00160F73">
            <w:pPr>
              <w:keepNext/>
              <w:keepLines/>
              <w:spacing w:after="100" w:afterAutospacing="1" w:line="20" w:lineRule="atLeast"/>
              <w:ind w:firstLine="70"/>
              <w:rPr>
                <w:rFonts w:cstheme="minorHAnsi"/>
                <w:szCs w:val="18"/>
              </w:rPr>
            </w:pPr>
            <w:r w:rsidRPr="004E6AAC">
              <w:rPr>
                <w:rFonts w:cstheme="minorHAnsi"/>
                <w:szCs w:val="18"/>
              </w:rPr>
              <w:t>E72.11</w:t>
            </w:r>
          </w:p>
        </w:tc>
        <w:tc>
          <w:tcPr>
            <w:tcW w:w="5206" w:type="dxa"/>
          </w:tcPr>
          <w:p w14:paraId="52EE27A4" w14:textId="77777777" w:rsidR="004D3EB4" w:rsidRPr="004E6AAC" w:rsidRDefault="004D3EB4" w:rsidP="00160F73">
            <w:pPr>
              <w:keepNext/>
              <w:keepLines/>
              <w:spacing w:after="100" w:afterAutospacing="1" w:line="20" w:lineRule="atLeast"/>
              <w:rPr>
                <w:rFonts w:cstheme="minorHAnsi"/>
                <w:szCs w:val="18"/>
              </w:rPr>
            </w:pPr>
            <w:r w:rsidRPr="004E6AAC">
              <w:rPr>
                <w:rFonts w:cstheme="minorHAnsi"/>
                <w:bCs/>
                <w:szCs w:val="18"/>
              </w:rPr>
              <w:t>Hyperhomocysteinemia</w:t>
            </w:r>
          </w:p>
        </w:tc>
        <w:tc>
          <w:tcPr>
            <w:tcW w:w="1074" w:type="dxa"/>
          </w:tcPr>
          <w:p w14:paraId="1573AE39" w14:textId="77777777" w:rsidR="004D3EB4" w:rsidRPr="004E6AAC" w:rsidRDefault="004D3EB4" w:rsidP="00160F73">
            <w:pPr>
              <w:keepNext/>
              <w:keepLines/>
              <w:spacing w:after="100" w:afterAutospacing="1" w:line="20" w:lineRule="atLeast"/>
              <w:rPr>
                <w:rFonts w:cstheme="minorHAnsi"/>
                <w:b/>
                <w:bCs/>
                <w:szCs w:val="18"/>
              </w:rPr>
            </w:pPr>
            <w:r w:rsidRPr="004E6AAC">
              <w:rPr>
                <w:rFonts w:ascii="Cambria Math" w:hAnsi="Cambria Math" w:cs="Cambria Math"/>
                <w:b/>
                <w:bCs/>
                <w:szCs w:val="18"/>
              </w:rPr>
              <w:t>⬆</w:t>
            </w:r>
          </w:p>
        </w:tc>
        <w:tc>
          <w:tcPr>
            <w:tcW w:w="1341" w:type="dxa"/>
          </w:tcPr>
          <w:p w14:paraId="11EF8CEA" w14:textId="45ACFDEF" w:rsidR="004D3EB4" w:rsidRPr="004E6AAC" w:rsidRDefault="004D3EB4" w:rsidP="00160F73">
            <w:pPr>
              <w:keepNext/>
              <w:keepLines/>
              <w:spacing w:after="100" w:afterAutospacing="1" w:line="20" w:lineRule="atLeast"/>
              <w:rPr>
                <w:rFonts w:cstheme="minorHAnsi"/>
                <w:szCs w:val="18"/>
              </w:rPr>
            </w:pPr>
            <w:r w:rsidRPr="004E6AAC">
              <w:rPr>
                <w:rFonts w:cstheme="minorHAnsi"/>
                <w:color w:val="202124"/>
                <w:szCs w:val="18"/>
              </w:rPr>
              <w:fldChar w:fldCharType="begin"/>
            </w:r>
            <w:r w:rsidR="003E6EF5">
              <w:rPr>
                <w:rFonts w:cstheme="minorHAnsi"/>
                <w:color w:val="202124"/>
                <w:szCs w:val="18"/>
              </w:rPr>
              <w:instrText xml:space="preserve"> ADDIN ZOTERO_ITEM CSL_CITATION {"citationID":"YWDWDrQH","properties":{"formattedCitation":"[15]","plainCitation":"[15]","noteIndex":0},"citationItems":[{"id":27028,"uris":["http://zotero.org/users/1179918/items/2PWHF4UY"],"itemData":{"id":27028,"type":"article-journal","abstract":"Background and Purpose—The pathogenesis of cervical artery dissection (CAD) remains unknown in most cases. Hyperhomocyst(e)inemia [hyperH(e)], an independent risk factor for cerebrovascular disease, induces damage in endothelial cells in animal cell culture. Consecutive patients with CAD and age-matched control subjects have been studied by serum levels of homocyst(e)ine and the genotype of 5,10-methylenetetrahydrofolate reductase (MTHFR).Methods—Twenty-six patients with CAD, admitted to our Stroke Unit (15 men and 11 women; 16 vertebral arteries, 10 internal carotid arteries), were compared with age-matched control subjects. All patients underwent duplex ultrasound, MR angiography, and/or conventional angiography.Results—Mean plasma homocyst(e)ine level was 17.88 μmol/L (range 5.95 to 40.0 μmol/L) for patients with CAD and 6.0±0.99 μmol/L for controls (P&lt;0.001). The genetic analysis for the thermolabile form of MTHFR in CAD patients showed heterozygosity in 54% and homozygosity in 27%; comparable figures for controls were 40% (P=0.4) and 10% (P=0.1), respectively.Conclusions—Mild hyperH(e) might represent a risk factor for cervical artery dissection. The MTHFR mutation is not significantly associated with CAD. An interaction between different genetic and environmental factors probably takes place in the cascade of pathogenetic events leading to arterial wall damage.","container-title":"Stroke","DOI":"10.1161/01.STR.32.3.714","issue":"3","page":"714-718","publisher":"American Heart Association","source":"ahajournals.org (Atypon)","title":"Mild Hyperhomocyst(e)inemia","URL":"https://www.ahajournals.org/doi/full/10.1161/01.str.32.3.714","volume":"32","author":[{"family":"Gallai","given":"Virgilio"},{"family":"Caso","given":"Valeria"},{"family":"Paciaroni","given":"Maurizio"},{"family":"Cardaioli","given":"Gabriela"},{"family":"Arning","given":"Erland"},{"family":"Bottiglieri","given":"Teodoro"},{"family":"Parnetti","given":"Lucilla"}],"accessed":{"date-parts":[["2024",7,15]]},"issued":{"date-parts":[["2001",3]]}}}],"schema":"https://github.com/citation-style-language/schema/raw/master/csl-citation.json"} </w:instrText>
            </w:r>
            <w:r w:rsidRPr="004E6AAC">
              <w:rPr>
                <w:rFonts w:cstheme="minorHAnsi"/>
                <w:color w:val="202124"/>
                <w:szCs w:val="18"/>
              </w:rPr>
              <w:fldChar w:fldCharType="separate"/>
            </w:r>
            <w:r w:rsidR="006E0AEA" w:rsidRPr="006E0AEA">
              <w:rPr>
                <w:rFonts w:ascii="Calibri" w:hAnsi="Calibri" w:cs="Calibri"/>
              </w:rPr>
              <w:t>[15]</w:t>
            </w:r>
            <w:r w:rsidRPr="004E6AAC">
              <w:rPr>
                <w:rFonts w:cstheme="minorHAnsi"/>
                <w:color w:val="202124"/>
                <w:szCs w:val="18"/>
              </w:rPr>
              <w:fldChar w:fldCharType="end"/>
            </w:r>
          </w:p>
        </w:tc>
      </w:tr>
      <w:tr w:rsidR="004D3EB4" w:rsidRPr="002E5C2D" w14:paraId="5055F775" w14:textId="77777777" w:rsidTr="00160F73">
        <w:trPr>
          <w:gridAfter w:val="1"/>
          <w:wAfter w:w="12" w:type="dxa"/>
          <w:trHeight w:val="222"/>
        </w:trPr>
        <w:tc>
          <w:tcPr>
            <w:tcW w:w="1600" w:type="dxa"/>
          </w:tcPr>
          <w:p w14:paraId="7472F8B1"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E78.5</w:t>
            </w:r>
          </w:p>
        </w:tc>
        <w:tc>
          <w:tcPr>
            <w:tcW w:w="5206" w:type="dxa"/>
          </w:tcPr>
          <w:p w14:paraId="79BB9B6E"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bCs/>
                <w:szCs w:val="18"/>
              </w:rPr>
              <w:t>Hyperlipidemia, unspecified</w:t>
            </w:r>
          </w:p>
        </w:tc>
        <w:tc>
          <w:tcPr>
            <w:tcW w:w="1074" w:type="dxa"/>
          </w:tcPr>
          <w:p w14:paraId="2D46B1FD"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0C270776" w14:textId="4FDDA313" w:rsidR="004D3EB4" w:rsidRPr="002E5C2D" w:rsidRDefault="004D3EB4" w:rsidP="00160F73">
            <w:pPr>
              <w:keepNext/>
              <w:keepLines/>
              <w:spacing w:after="100" w:afterAutospacing="1" w:line="20" w:lineRule="atLeast"/>
              <w:rPr>
                <w:rFonts w:cstheme="minorHAnsi"/>
                <w:szCs w:val="18"/>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{"citationID":"UjS6O0pk","properties":{"formattedCitation":"[12,13,16]","plainCitation":"[12,13,16]","noteIndex":0},"citationItems":[{"id":18117,"uris":["http://zotero.org/users/1179918/items/RP6V3CRB"],"itemData":{"id":18117,"type":"article-journal","abstract":"Background: Spontaneous cervical artery dissection (sCeAD) is an important cause of ischemic stroke in the young population and has a different cardiovascular risk profile from other causes of ischemic stroke. No study provided a comprehensive evidence for cardiovascular risk factors of sCeAD.Methods: We searched PubMed, MEDLINE, and Embase without date or language restrictions for relevant studies. Bibliographies of included studies were also searched. We included case-control studies where patients with sCeAD were on one arm, and controls were on the other arm. The investigated risk factors were diabetes, hypertension, smoking, and hyperlipidemia. Data extraction and quality assessment were performed independently by two reviewers.Results: Seventeen qualifying case-control studies were identified, comparing 2185 patients with sCeAD and 3185 healthy control subjects. Heterogeneity was low for diabetes, moderate for hypertension and hyperlipidemia, and high for smoking. The meta-analysis showed a significant association between hypertension and sCeAD [pooled odds ratio (OR) = 1.70, 95% confidence interval (CI): 1.40-2.07, P &lt; 0.001]. There was no association between sCeAD and diabetes (pooled OR = 0.71, 95% CI: 0.50-1.01, P = 0.060) or smoking (pooled OR = 0.90, 95% CI: 0.68-1.20, P = 0.480). Hyperlipidemia was negatively-associated with sCeAD (OR = 0.65, 95% CI: 0.48-0.89, P = 0.007), but with sensitivity analysis, there was no association (OR = 0.72, 95% CI: 0.44-1.19, P = 0.200).Conclusion: The meta-analysis reveals that sCeAD has a significant association with hypertension and no association with smoking, diabetes, or hyperlipidemia. These results should direct future research towards exploring biological mechanism of hypertension-induced arterial dissection.","container-title":"Current Journal of Neurology","DOI":"10.18502/cjn.v21i3.11112","ISSN":"2717-011X","issue":"3","page":"183-193","publisher":"Tehran University of Medical Sciences","source":"cjn.tums.ac.ir","title":"Diabetes, hypertension, smoking, and hyperlipidemia as risk factors for spontaneous cervical artery dissection: Meta-analysis of case-control studies","title-short":"Diabetes, hypertension, smoking, and hyperlipidemia as risk factors for spontaneous cervical artery dissection","URL":"http://cjn.tums.ac.ir/article_40033.html","volume":"21","author":[{"family":"Abdelnour","given":"Loay Hassan"},{"family":"Abdalla","given":"Mohamed Eltahir"},{"family":"Elhassan","given":"Samah"},{"family":"Kheirelseid","given":"Elrasheid Ahmed Hassan"}],"accessed":{"date-parts":[["2023",3,11]]},"issued":{"date-parts":[["2022",7,1]]}}},{"id":28510,"uris":["http://zotero.org/users/1179918/items/RLXA6589"],"itemData":{"id":28510,"type":"article-journal","abstract":"OBJECTIVE: Epidemiological data to characterize the individual risk profile of patients with spontaneous cervical artery dissection (sCeAD) are rather inconsistent.\nMETHODS AND RESULTS: In the setting of the Italian Project on Stroke in Young Adults Cervical Artery Dissection (IPSYS CeAD), we compared the characteristics of 1,468 patients with sCeAD (mean age = 47.3 ± 11.3 years, men = 56.7%) prospectively recruited at 39 Italian centers with those of 2 control groups, composed of (1) patients whose ischemic stroke was caused by mechanisms other than dissection (non-CeAD IS) selected from the prospective IPSYS registry and Brescia Stroke Registry and (2) stroke-free individuals selected from the staff members of participating hospitals, matched 1:1:1 by sex, age, and race. Compared to stroke-free subjects, patients with sCeAD were more likely to be hypertensive (odds ratio [OR] = 1.65, 95% confidence interval [CI] = 1.37-1.98), to have personal history of migraine with aura (OR = 2.45, 95% CI = 1.74-3.34), without aura (OR = 2.67, 95% CI = 2.15-3.32), and family history of vascular disease in first-degree relatives (OR = 1.69, 95% CI = 1.39-2.05), and less likely to be diabetic (OR = 0.65, 95% CI = 0.47-0.91), hypercholesterolemic (OR = 0.75, 95% CI = 0.62-0.91), and obese (OR = 0.41, 95% CI = 0.31-0.54). Migraine without aura was also associated with sCeAD (OR = 1.81, 95% CI = 1.47-2.22) in comparison with patients with non-CeAD IS. In the subgroup of patients with migraine, patients with sCeAD had higher frequency of migraine attacks and were less likely to take anti-migraine preventive medications, especially beta-blockers, compared with the other groups.\nINTERPRETATION: The risk of sCeAD is influenced by migraine, especially migraine without aura, more than by other factors, increases with increasing frequency of attacks, and seems to be reduced by migraine preventive medications, namely beta-blockers. ANN NEUROL 2023;94:585-595.","container-title":"Annals of Neurology","DOI":"10.1002/ana.26717","ISSN":"1531-8249","issue":"3","journalAbbreviation":"Ann Neurol","language":"eng","page":"585-595","PMID":"37272282","source":"PubMed","title":"Risk Profile of Patients with Spontaneous Cervical Artery Dissection","volume":"94","author":[{"family":"Del Zotto","given":"Elisabetta"},{"family":"Grassi","given":"Mario"},{"family":"Zedde","given":"Marialuisa"},{"family":"Zini","given":"Andrea"},{"family":"Bersano","given":"Anna"},{"family":"Gandolfo","given":"Carlo"},{"family":"Silvestrelli","given":"Giorgio"},{"family":"Baracchini","given":"Claudio"},{"family":"Cerrato","given":"Paolo"},{"family":"Lodigiani","given":"Corrado"},{"family":"Marcheselli","given":"Simona"},{"family":"Paciaroni","given":"Maurizio"},{"family":"Spalloni","given":"Alessandra"},{"family":"Cappellari","given":"Manuel"},{"family":"Del Sette","given":"Massimo"},{"family":"Cavallini","given":"Anna"},{"family":"Lotti","given":"Enrico Maria"},{"family":"Delodovici","given":"Maria Luisa"},{"family":"Gentile","given":"Mauro"},{"family":"Magoni","given":"Mauro"},{"family":"Padroni","given":"Marina"},{"family":"Azzini","given":"Cristiano"},{"family":"Calloni","given":"Maria Vittoria"},{"family":"Giorli","given":"Elisa"},{"family":"Braga","given":"Massimiliano"},{"family":"La Spina","given":"Paolo"},{"family":"Melis","given":"Fabio"},{"family":"Tassi","given":"Rossana"},{"family":"Terruso","given":"Valeria"},{"family":"Calabrò","given":"Rocco Salvatore"},{"family":"Piras","given":"Valeria"},{"family":"Giossi","given":"Alessia"},{"family":"Sanguigni","given":"Sandro"},{"family":"Zanferrari","given":"Carla"},{"family":"Mannino","given":"Marina"},{"family":"Colombo","given":"Irene"},{"family":"Dallocchio","given":"Carlo"},{"family":"Nencini","given":"Patrizia"},{"family":"Bignamini","given":"Valeria"},{"family":"Adami","given":"Alessandro"},{"family":"Bella","given":"Rita"},{"family":"Pascarella","given":"Rosario"},{"family":"Keser","given":"Zafer"},{"family":"Pezzini","given":"Alessandro"},{"literal":"Italian Project on Stroke in Young Adults-Cervical Artery Dissection, (IPSYS CeAD) Research Group"}],"issued":{"date-parts":[["2023",9]]}}},{"id":18119,"uris":["http://zotero.org/users/1179918/items/35UUK2EM"],"itemData":{"id":18119,"type":"article-journal","abstract":"Objectives\nThis meta-analysis was conducted to investigate the association of smoking, hypertension, diabetes mellitus and hyperlipidemia with spontaneous cervical artery dissection (sCeAD) and non-dissection ischemic stroke (IS).\nMaterials and Methods\nWe searched Medline, Embase and PubMed Central for studies that compared the four cardiovascular variables between sCeAD and non-dissection IS. Heterogeneity was quantified with χ2-based Cochran's Q-test and I2-statistic. We used fixed effects analysis when heterogeneity was low, and random effects model when high. Newcastle-Ottawa-Scale was used to assess the risk of bias and Cochrane RevMan 5.4 was used for analysis.\nResults\nEighteen studies compared 1621 patients with ischemic stroke related to sCeAD with 8048 control patients with IS of other causes. Heterogeneity was 25% for diabetes, 40% for smoking, 49% for hypercholesterolemia and 83% for hypertension. The four cardiovascular variables showed a significant association with non-dissection IS compared to sCeAD. This was more pronounced for diabetes (pooled OR = 0.45 [0.35, 0.58], P-value &lt;0.00001), hypercholesterolemia (pooled OR = 0.58 [0.48, 0.70] and smoking (pooled OR 0.63 [0.55, 0.71], P-value &lt;0.00001). Hypertension also showed significant association with non-dissection ischemic stroke compared to sCeAD (pooled OR = 0.57 [0.40, 0.81], P-value =0.002), but this association was not statistically significant after sensitivity analysis.\nConclusion\nThis meta-analysis showed that smoking diabetes and hypercholesterolemia were significantly associated with non-dissection than with dissection ischemic stroke. This association was not shown for hypertension, suggesting it is a risk factor of sCeAD as well as of ischemic stroke of other types.","container-title":"Health Sciences Review","DOI":"10.1016/j.hsr.2022.100058","ISSN":"2772-6320","journalAbbreviation":"Health Sciences Review","language":"en","page":"100058","source":"ScienceDirect","title":"Meta-analysis of cardiovascular risk profile of stroke secondary to spontaneous cervical artery dissection compared to ischemic stroke of other causes","URL":"https://www.sciencedirect.com/science/article/pii/S2772632022000472","volume":"5","author":[{"family":"Abdelnour","given":"Loay H"},{"family":"Abdalla","given":"Mohamed Eltahir"},{"family":"Elhassan","given":"Samah"},{"family":"Kheirelseid","given":"Elrasheid A. H."}],"accessed":{"date-parts":[["2023",3,11]]},"issued":{"date-parts":[["2022",12,1]]}}}],"schema":"https://github.com/citation-style-language/schema/raw/master/csl-citation.json"}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[12,13,16]</w:t>
            </w:r>
            <w:r w:rsidRPr="002E5C2D">
              <w:rPr>
                <w:rFonts w:cstheme="minorHAnsi"/>
                <w:color w:val="202124"/>
                <w:szCs w:val="18"/>
                <w:shd w:val="clear" w:color="auto" w:fill="FFFFFF"/>
              </w:rPr>
              <w:fldChar w:fldCharType="end"/>
            </w:r>
          </w:p>
        </w:tc>
      </w:tr>
      <w:tr w:rsidR="004D3EB4" w:rsidRPr="002E5C2D" w14:paraId="2EF297D8" w14:textId="77777777" w:rsidTr="00160F73">
        <w:trPr>
          <w:gridAfter w:val="1"/>
          <w:wAfter w:w="12" w:type="dxa"/>
          <w:trHeight w:val="222"/>
        </w:trPr>
        <w:tc>
          <w:tcPr>
            <w:tcW w:w="1600" w:type="dxa"/>
          </w:tcPr>
          <w:p w14:paraId="0D03292F"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I10-I1A</w:t>
            </w:r>
          </w:p>
        </w:tc>
        <w:tc>
          <w:tcPr>
            <w:tcW w:w="5206" w:type="dxa"/>
          </w:tcPr>
          <w:p w14:paraId="4D4FB635"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t>Hypertensive diseases</w:t>
            </w:r>
          </w:p>
        </w:tc>
        <w:tc>
          <w:tcPr>
            <w:tcW w:w="1074" w:type="dxa"/>
          </w:tcPr>
          <w:p w14:paraId="060DE9B2"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5ECB0E5B" w14:textId="4AC06856"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fldChar w:fldCharType="begin"/>
            </w:r>
            <w:r w:rsidR="003E6EF5">
              <w:rPr>
                <w:rFonts w:cstheme="minorHAnsi"/>
                <w:szCs w:val="18"/>
              </w:rPr>
              <w:instrText xml:space="preserve"> ADDIN ZOTERO_ITEM CSL_CITATION {"citationID":"nZqxTrdN","properties":{"formattedCitation":"[13]","plainCitation":"[13]","noteIndex":0},"citationItems":[{"id":28510,"uris":["http://zotero.org/users/1179918/items/RLXA6589"],"itemData":{"id":28510,"type":"article-journal","abstract":"OBJECTIVE: Epidemiological data to characterize the individual risk profile of patients with spontaneous cervical artery dissection (sCeAD) are rather inconsistent.\nMETHODS AND RESULTS: In the setting of the Italian Project on Stroke in Young Adults Cervical Artery Dissection (IPSYS CeAD), we compared the characteristics of 1,468 patients with sCeAD (mean age = 47.3 ± 11.3 years, men = 56.7%) prospectively recruited at 39 Italian centers with those of 2 control groups, composed of (1) patients whose ischemic stroke was caused by mechanisms other than dissection (non-CeAD IS) selected from the prospective IPSYS registry and Brescia Stroke Registry and (2) stroke-free individuals selected from the staff members of participating hospitals, matched 1:1:1 by sex, age, and race. Compared to stroke-free subjects, patients with sCeAD were more likely to be hypertensive (odds ratio [OR] = 1.65, 95% confidence interval [CI] = 1.37-1.98), to have personal history of migraine with aura (OR = 2.45, 95% CI = 1.74-3.34), without aura (OR = 2.67, 95% CI = 2.15-3.32), and family history of vascular disease in first-degree relatives (OR = 1.69, 95% CI = 1.39-2.05), and less likely to be diabetic (OR = 0.65, 95% CI = 0.47-0.91), hypercholesterolemic (OR = 0.75, 95% CI = 0.62-0.91), and obese (OR = 0.41, 95% CI = 0.31-0.54). Migraine without aura was also associated with sCeAD (OR = 1.81, 95% CI = 1.47-2.22) in comparison with patients with non-CeAD IS. In the subgroup of patients with migraine, patients with sCeAD had higher frequency of migraine attacks and were less likely to take anti-migraine preventive medications, especially beta-blockers, compared with the other groups.\nINTERPRETATION: The risk of sCeAD is influenced by migraine, especially migraine without aura, more than by other factors, increases with increasing frequency of attacks, and seems to be reduced by migraine preventive medications, namely beta-blockers. ANN NEUROL 2023;94:585-595.","container-title":"Annals of Neurology","DOI":"10.1002/ana.26717","ISSN":"1531-8249","issue":"3","journalAbbreviation":"Ann Neurol","language":"eng","page":"585-595","PMID":"37272282","source":"PubMed","title":"Risk Profile of Patients with Spontaneous Cervical Artery Dissection","volume":"94","author":[{"family":"Del Zotto","given":"Elisabetta"},{"family":"Grassi","given":"Mario"},{"family":"Zedde","given":"Marialuisa"},{"family":"Zini","given":"Andrea"},{"family":"Bersano","given":"Anna"},{"family":"Gandolfo","given":"Carlo"},{"family":"Silvestrelli","given":"Giorgio"},{"family":"Baracchini","given":"Claudio"},{"family":"Cerrato","given":"Paolo"},{"family":"Lodigiani","given":"Corrado"},{"family":"Marcheselli","given":"Simona"},{"family":"Paciaroni","given":"Maurizio"},{"family":"Spalloni","given":"Alessandra"},{"family":"Cappellari","given":"Manuel"},{"family":"Del Sette","given":"Massimo"},{"family":"Cavallini","given":"Anna"},{"family":"Lotti","given":"Enrico Maria"},{"family":"Delodovici","given":"Maria Luisa"},{"family":"Gentile","given":"Mauro"},{"family":"Magoni","given":"Mauro"},{"family":"Padroni","given":"Marina"},{"family":"Azzini","given":"Cristiano"},{"family":"Calloni","given":"Maria Vittoria"},{"family":"Giorli","given":"Elisa"},{"family":"Braga","given":"Massimiliano"},{"family":"La Spina","given":"Paolo"},{"family":"Melis","given":"Fabio"},{"family":"Tassi","given":"Rossana"},{"family":"Terruso","given":"Valeria"},{"family":"Calabrò","given":"Rocco Salvatore"},{"family":"Piras","given":"Valeria"},{"family":"Giossi","given":"Alessia"},{"family":"Sanguigni","given":"Sandro"},{"family":"Zanferrari","given":"Carla"},{"family":"Mannino","given":"Marina"},{"family":"Colombo","given":"Irene"},{"family":"Dallocchio","given":"Carlo"},{"family":"Nencini","given":"Patrizia"},{"family":"Bignamini","given":"Valeria"},{"family":"Adami","given":"Alessandro"},{"family":"Bella","given":"Rita"},{"family":"Pascarella","given":"Rosario"},{"family":"Keser","given":"Zafer"},{"family":"Pezzini","given":"Alessandro"},{"literal":"Italian Project on Stroke in Young Adults-Cervical Artery Dissection, (IPSYS CeAD) Research Group"}],"issued":{"date-parts":[["2023",9]]}}}],"schema":"https://github.com/citation-style-language/schema/raw/master/csl-citation.json"} </w:instrText>
            </w:r>
            <w:r w:rsidRPr="002E5C2D">
              <w:rPr>
                <w:rFonts w:cstheme="minorHAnsi"/>
                <w:szCs w:val="18"/>
              </w:rPr>
              <w:fldChar w:fldCharType="separate"/>
            </w:r>
            <w:r w:rsidR="006E0AEA" w:rsidRPr="006E0AEA">
              <w:rPr>
                <w:rFonts w:cs="Arial"/>
              </w:rPr>
              <w:t>[13]</w:t>
            </w:r>
            <w:r w:rsidRPr="002E5C2D">
              <w:rPr>
                <w:rFonts w:cstheme="minorHAnsi"/>
                <w:szCs w:val="18"/>
              </w:rPr>
              <w:fldChar w:fldCharType="end"/>
            </w:r>
          </w:p>
        </w:tc>
      </w:tr>
      <w:tr w:rsidR="004D3EB4" w:rsidRPr="002E5C2D" w14:paraId="60801BD5" w14:textId="77777777" w:rsidTr="00160F73">
        <w:trPr>
          <w:gridAfter w:val="1"/>
          <w:wAfter w:w="12" w:type="dxa"/>
          <w:trHeight w:val="222"/>
        </w:trPr>
        <w:tc>
          <w:tcPr>
            <w:tcW w:w="1600" w:type="dxa"/>
          </w:tcPr>
          <w:p w14:paraId="2BB80AB1"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F10-F19</w:t>
            </w:r>
          </w:p>
        </w:tc>
        <w:tc>
          <w:tcPr>
            <w:tcW w:w="5206" w:type="dxa"/>
          </w:tcPr>
          <w:p w14:paraId="4E7EFE3E"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szCs w:val="18"/>
              </w:rPr>
              <w:t>Mental and behavioral disorders due to psychoactive substance use</w:t>
            </w:r>
          </w:p>
        </w:tc>
        <w:tc>
          <w:tcPr>
            <w:tcW w:w="1074" w:type="dxa"/>
          </w:tcPr>
          <w:p w14:paraId="78EC7779"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22B04CD4" w14:textId="45511F7C"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szCs w:val="18"/>
              </w:rPr>
              <w:fldChar w:fldCharType="begin"/>
            </w:r>
            <w:r w:rsidR="003E6EF5">
              <w:rPr>
                <w:rFonts w:cstheme="minorHAnsi"/>
                <w:szCs w:val="18"/>
              </w:rPr>
              <w:instrText xml:space="preserve"> ADDIN ZOTERO_ITEM CSL_CITATION {"citationID":"QqcucpFn","properties":{"formattedCitation":"[17,18]","plainCitation":"[17,18]","noteIndex":0},"citationItems":[{"id":27041,"uris":["http://zotero.org/users/1179918/items/I5YEBFEG"],"itemData":{"id":27041,"type":"article-journal","abstract":"Goal: Intracranial arterial dissection is a major cause of ischemic stroke and subarachnoid hemorrhage in relatively young patients. We assessed the hypothesis that the tortuosity of the vertebrobasilar artery is associated with the occurrence of vertebral artery (VA) dissection, using MR angiography (MRA). Materials and Methods: This study enrolled 43 patients with VA dissection, and 63 age- and sex-matched healthy subjects were used as the controls. MRA was employed to evaluate the presence of dominant VA and the lateral shift of vertebrobasilar junction in both groups. The VA diameters were considered different when the difference was greater than .3 mm. These anatomical variations were divided into 3 types: Type 1 (vertebrobasilar junction within 2 mm from the midline), Type 2 (&gt;2 mm-lateral shift of vertebrobasilar junction to the ipsilateral side of the dominant VA), and Type 3 (&gt;2 mm-lateral shift of vertebrobasilar junction to the contralateral side of the dominant VA). Findings: The presence of dominant VA and the lateral shift of vertebrobasilar junction were more prevalent in patients with VA dissection than in the controls (OR: 3.46, P = .013, and OR: 4.51, P = .001, respectively). The lateral shift of vertebrobasilar junction was classified into Type 1 (n = 6), Type 2 (n = 13), and Type 3 (n = 17) among patients with VA dissection, while into Type 1 (n = 20), Type 2 (n = 8), and Type 3 (n = 7) among the controls. Type 3 predominance was observed in patients with VA dissection (P = .02). Conclusions: Anatomical variations of the vertebrobasilar artery may play an important role in the occurrence of VA dissection.","container-title":"Journal of Stroke and Cerebrovascular Diseases","DOI":"10.1016/j.jstrokecerebrovasdis.2020.104636","ISSN":"1052-3057","issue":"4","journalAbbreviation":"Journal of Stroke and Cerebrovascular Diseases","page":"104636","source":"ScienceDirect","title":"Anatomical Variations of Vertebrobasilar Artery are Closely Related to the Occurrence of Vertebral Artery Dissection—An MR Angiography Study","URL":"https://www.sciencedirect.com/science/article/pii/S105230572030001X","volume":"29","author":[{"family":"Hori","given":"Satoshi"},{"family":"Hori","given":"Emiko"},{"family":"Umemura","given":"Kimiko"},{"family":"Shibata","given":"Takashi"},{"family":"Okamoto","given":"Soushi"},{"family":"Kubo","given":"Michiya"},{"family":"Horie","given":"Yukio"},{"family":"Kuroda","given":"Satoshi"}],"accessed":{"date-parts":[["2024",7,19]]},"issued":{"date-parts":[["2020",4,1]]}}},{"id":19675,"uris":["http://zotero.org/users/1179918/items/67JUFIRS"],"itemData":{"id":19675,"type":"article-journal","abstract":"Objective: To determine whether spinal manipulative therapy (SMT) is an independent risk factor for cervical artery dissection.\nMethods: Using a nested case-control design, the authors reviewed all patients under age 60 with cervical arterial dissection (n = 151) and ischemic stroke or TIA from between 1995 and 2000 at two academic stroke centers. Controls (n = 306) were selected to match cases by sex and within age strata. Cases and controls were solicited by mail, and respondents were interviewed using a structured questionnaire. The medical records of interviewed patients were reviewed by two blinded neurologists to confirm that the patient had stroke or TIA and to determine whether there was evidence of arterial dissection.\nResults: After interview and blinded chart review, 51 patients with dissection (mean age 41 ± 10 years; 59% female) and 100 control patients (44 ± 9 years; 58% female) were studied. In univariate analysis, patients with dissection were more likely to have had SMT within 30 days (14% vs 3%, p = 0.032), to have had neck or head pain preceding stroke or TIA (76% vs 40%, p &lt; 0.001), and to be current consumers of alcohol (76% vs 57%, p = 0.021). In multivariate analysis, vertebral artery dissections were independently associated with SMT within 30 days (OR 6.62, 95% CI 1.4 to 30) and pain before stroke/TIA (OR 3.76, 95% CI 1.3 to 11).\nConclusions: This case-controlled study of the influence of SMT and cervical arterial dissection shows that SMT is independently associated with vertebral arterial dissection, even after controlling for neck pain. Patients undergoing SMT should be consented for risk of stroke or vascular injury from the procedure. A significant increase in neck pain following spinal manipulative therapy warrants immediate medical evaluation.","container-title":"Neurology","DOI":"10.1212/01.WNL.0000063305.61050.E6","ISSN":"0028-3878, 1526-632X","issue":"9","language":"en","license":"© 2003","page":"1424-1428","PMID":"12743225","publisher":"Wolters Kluwer Health, Inc. on behalf of the American Academy of Neurology","section":"Articles","source":"n.neurology.org","title":"Spinal manipulative therapy is an independent risk factor for vertebral artery dissection","URL":"https://n.neurology.org/content/60/9/1424","volume":"60","author":[{"family":"Smith","given":"W. S."},{"family":"Johnston","given":"S. C."},{"family":"Skalabrin","given":"E. J."},{"family":"Weaver","given":"M."},{"family":"Azari","given":"P."},{"family":"Albers","given":"G. W."},{"family":"Gress","given":"D. R."}],"accessed":{"date-parts":[["2023",11,25]]},"issued":{"date-parts":[["2003",5,13]]}}}],"schema":"https://github.com/citation-style-language/schema/raw/master/csl-citation.json"} </w:instrText>
            </w:r>
            <w:r w:rsidRPr="002E5C2D">
              <w:rPr>
                <w:rFonts w:cstheme="minorHAnsi"/>
                <w:szCs w:val="18"/>
              </w:rPr>
              <w:fldChar w:fldCharType="separate"/>
            </w:r>
            <w:r w:rsidR="006E0AEA" w:rsidRPr="006E0AEA">
              <w:rPr>
                <w:rFonts w:ascii="Calibri" w:hAnsi="Calibri" w:cs="Calibri"/>
              </w:rPr>
              <w:t>[17,18]</w:t>
            </w:r>
            <w:r w:rsidRPr="002E5C2D">
              <w:rPr>
                <w:rFonts w:cstheme="minorHAnsi"/>
                <w:szCs w:val="18"/>
              </w:rPr>
              <w:fldChar w:fldCharType="end"/>
            </w:r>
          </w:p>
        </w:tc>
      </w:tr>
      <w:tr w:rsidR="004D3EB4" w:rsidRPr="002E5C2D" w14:paraId="65C5127B" w14:textId="77777777" w:rsidTr="00160F73">
        <w:trPr>
          <w:gridAfter w:val="1"/>
          <w:wAfter w:w="12" w:type="dxa"/>
          <w:trHeight w:val="222"/>
        </w:trPr>
        <w:tc>
          <w:tcPr>
            <w:tcW w:w="1600" w:type="dxa"/>
          </w:tcPr>
          <w:p w14:paraId="2DB8AAC6"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G43</w:t>
            </w:r>
          </w:p>
        </w:tc>
        <w:tc>
          <w:tcPr>
            <w:tcW w:w="5206" w:type="dxa"/>
          </w:tcPr>
          <w:p w14:paraId="207C3317"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szCs w:val="18"/>
              </w:rPr>
              <w:t>Migraine</w:t>
            </w:r>
          </w:p>
        </w:tc>
        <w:tc>
          <w:tcPr>
            <w:tcW w:w="1074" w:type="dxa"/>
          </w:tcPr>
          <w:p w14:paraId="57C0C5EE"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19762DBB" w14:textId="0133ACF6"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szCs w:val="18"/>
              </w:rPr>
              <w:fldChar w:fldCharType="begin"/>
            </w:r>
            <w:r w:rsidR="003E6EF5">
              <w:rPr>
                <w:rFonts w:cstheme="minorHAnsi"/>
                <w:szCs w:val="18"/>
              </w:rPr>
              <w:instrText xml:space="preserve"> ADDIN ZOTERO_ITEM CSL_CITATION {"citationID":"aHjVHrWW","properties":{"formattedCitation":"[13]","plainCitation":"[13]","noteIndex":0},"citationItems":[{"id":28510,"uris":["http://zotero.org/users/1179918/items/RLXA6589"],"itemData":{"id":28510,"type":"article-journal","abstract":"OBJECTIVE: Epidemiological data to characterize the individual risk profile of patients with spontaneous cervical artery dissection (sCeAD) are rather inconsistent.\nMETHODS AND RESULTS: In the setting of the Italian Project on Stroke in Young Adults Cervical Artery Dissection (IPSYS CeAD), we compared the characteristics of 1,468 patients with sCeAD (mean age = 47.3 ± 11.3 years, men = 56.7%) prospectively recruited at 39 Italian centers with those of 2 control groups, composed of (1) patients whose ischemic stroke was caused by mechanisms other than dissection (non-CeAD IS) selected from the prospective IPSYS registry and Brescia Stroke Registry and (2) stroke-free individuals selected from the staff members of participating hospitals, matched 1:1:1 by sex, age, and race. Compared to stroke-free subjects, patients with sCeAD were more likely to be hypertensive (odds ratio [OR] = 1.65, 95% confidence interval [CI] = 1.37-1.98), to have personal history of migraine with aura (OR = 2.45, 95% CI = 1.74-3.34), without aura (OR = 2.67, 95% CI = 2.15-3.32), and family history of vascular disease in first-degree relatives (OR = 1.69, 95% CI = 1.39-2.05), and less likely to be diabetic (OR = 0.65, 95% CI = 0.47-0.91), hypercholesterolemic (OR = 0.75, 95% CI = 0.62-0.91), and obese (OR = 0.41, 95% CI = 0.31-0.54). Migraine without aura was also associated with sCeAD (OR = 1.81, 95% CI = 1.47-2.22) in comparison with patients with non-CeAD IS. In the subgroup of patients with migraine, patients with sCeAD had higher frequency of migraine attacks and were less likely to take anti-migraine preventive medications, especially beta-blockers, compared with the other groups.\nINTERPRETATION: The risk of sCeAD is influenced by migraine, especially migraine without aura, more than by other factors, increases with increasing frequency of attacks, and seems to be reduced by migraine preventive medications, namely beta-blockers. ANN NEUROL 2023;94:585-595.","container-title":"Annals of Neurology","DOI":"10.1002/ana.26717","ISSN":"1531-8249","issue":"3","journalAbbreviation":"Ann Neurol","language":"eng","page":"585-595","PMID":"37272282","source":"PubMed","title":"Risk Profile of Patients with Spontaneous Cervical Artery Dissection","volume":"94","author":[{"family":"Del Zotto","given":"Elisabetta"},{"family":"Grassi","given":"Mario"},{"family":"Zedde","given":"Marialuisa"},{"family":"Zini","given":"Andrea"},{"family":"Bersano","given":"Anna"},{"family":"Gandolfo","given":"Carlo"},{"family":"Silvestrelli","given":"Giorgio"},{"family":"Baracchini","given":"Claudio"},{"family":"Cerrato","given":"Paolo"},{"family":"Lodigiani","given":"Corrado"},{"family":"Marcheselli","given":"Simona"},{"family":"Paciaroni","given":"Maurizio"},{"family":"Spalloni","given":"Alessandra"},{"family":"Cappellari","given":"Manuel"},{"family":"Del Sette","given":"Massimo"},{"family":"Cavallini","given":"Anna"},{"family":"Lotti","given":"Enrico Maria"},{"family":"Delodovici","given":"Maria Luisa"},{"family":"Gentile","given":"Mauro"},{"family":"Magoni","given":"Mauro"},{"family":"Padroni","given":"Marina"},{"family":"Azzini","given":"Cristiano"},{"family":"Calloni","given":"Maria Vittoria"},{"family":"Giorli","given":"Elisa"},{"family":"Braga","given":"Massimiliano"},{"family":"La Spina","given":"Paolo"},{"family":"Melis","given":"Fabio"},{"family":"Tassi","given":"Rossana"},{"family":"Terruso","given":"Valeria"},{"family":"Calabrò","given":"Rocco Salvatore"},{"family":"Piras","given":"Valeria"},{"family":"Giossi","given":"Alessia"},{"family":"Sanguigni","given":"Sandro"},{"family":"Zanferrari","given":"Carla"},{"family":"Mannino","given":"Marina"},{"family":"Colombo","given":"Irene"},{"family":"Dallocchio","given":"Carlo"},{"family":"Nencini","given":"Patrizia"},{"family":"Bignamini","given":"Valeria"},{"family":"Adami","given":"Alessandro"},{"family":"Bella","given":"Rita"},{"family":"Pascarella","given":"Rosario"},{"family":"Keser","given":"Zafer"},{"family":"Pezzini","given":"Alessandro"},{"literal":"Italian Project on Stroke in Young Adults-Cervical Artery Dissection, (IPSYS CeAD) Research Group"}],"issued":{"date-parts":[["2023",9]]}}}],"schema":"https://github.com/citation-style-language/schema/raw/master/csl-citation.json"} </w:instrText>
            </w:r>
            <w:r w:rsidRPr="002E5C2D">
              <w:rPr>
                <w:rFonts w:cstheme="minorHAnsi"/>
                <w:szCs w:val="18"/>
              </w:rPr>
              <w:fldChar w:fldCharType="separate"/>
            </w:r>
            <w:r w:rsidR="006E0AEA" w:rsidRPr="006E0AEA">
              <w:rPr>
                <w:rFonts w:cs="Arial"/>
              </w:rPr>
              <w:t>[13]</w:t>
            </w:r>
            <w:r w:rsidRPr="002E5C2D">
              <w:rPr>
                <w:rFonts w:cstheme="minorHAnsi"/>
                <w:szCs w:val="18"/>
              </w:rPr>
              <w:fldChar w:fldCharType="end"/>
            </w:r>
          </w:p>
        </w:tc>
      </w:tr>
      <w:tr w:rsidR="004D3EB4" w:rsidRPr="002E5C2D" w14:paraId="431A3EFD" w14:textId="77777777" w:rsidTr="00160F73">
        <w:trPr>
          <w:gridAfter w:val="1"/>
          <w:wAfter w:w="12" w:type="dxa"/>
          <w:trHeight w:val="222"/>
        </w:trPr>
        <w:tc>
          <w:tcPr>
            <w:tcW w:w="1600" w:type="dxa"/>
          </w:tcPr>
          <w:p w14:paraId="5462F7B0"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D68</w:t>
            </w:r>
          </w:p>
        </w:tc>
        <w:tc>
          <w:tcPr>
            <w:tcW w:w="5206" w:type="dxa"/>
          </w:tcPr>
          <w:p w14:paraId="73C4F034"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bCs/>
                <w:szCs w:val="18"/>
              </w:rPr>
              <w:t>Other coagulation defects (</w:t>
            </w:r>
            <w:proofErr w:type="gramStart"/>
            <w:r w:rsidRPr="002E5C2D">
              <w:rPr>
                <w:rFonts w:cstheme="minorHAnsi"/>
                <w:bCs/>
                <w:szCs w:val="18"/>
              </w:rPr>
              <w:t>includes</w:t>
            </w:r>
            <w:proofErr w:type="gramEnd"/>
            <w:r w:rsidRPr="002E5C2D">
              <w:rPr>
                <w:rFonts w:cstheme="minorHAnsi"/>
                <w:bCs/>
                <w:szCs w:val="18"/>
              </w:rPr>
              <w:t xml:space="preserve"> antiphospholipid syndrome, lupus anticoagulant syndrome)</w:t>
            </w:r>
          </w:p>
        </w:tc>
        <w:tc>
          <w:tcPr>
            <w:tcW w:w="1074" w:type="dxa"/>
          </w:tcPr>
          <w:p w14:paraId="653FEFDA"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60E16CDD" w14:textId="76FF1178"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{"citationID":"3WeUCkkl","properties":{"formattedCitation":"[10,19]","plainCitation":"[10,19]","noteIndex":0},"citationItems":[{"id":18384,"uris":["http://zotero.org/users/1179918/items/T4ADMX36"],"itemData":{"id":18384,"type":"article-journal","abstract":"A series of biopsies and reports showed autoimmune diseases might be involved in the process of local inflammation related to spontaneous cervicocranial arterial dissection (SCCAD) occurrence. This retrospective case-control study examined the association between SCCADs and autoimmune diseases in patients and control subjects from 2014 to 2020. SCCAD patients and age/sex-matched control subjects were recruited, and clinical data were collected. SCCAD was confirmed by digital subtraction angiography or high-resolution magnetic resonance imaging. The study included 215 SCCAD patients and 430 control subjects. Totally, 135 (62.8%) of the 215 cases were found SCCAD in the anterior circulation, 26 (12.0%) patients involved multiple vessels. Autoimmune disease occurred in 27 (12.6%) cases with SCCAD and 4 (0.9%) control subjects (p&lt;0.001). A conditional multivariable logistic regression model was used to calculate the odds ratio for SCCAD among patients with a history of autoimmune disease, adjusting for hypertension, diabetes, hyperlipidemia, and smoking. After adjustment, autoimmune diseases were associated with SCCAD (p&lt;0.001). After sub-analysis by a similar modeling strategy, significant associations were still observed in different subgroups, such as female group and male group as well as intramural hematoma (IMH) group and Non-IHM group. The association of SCCAD with autoimmune disease suggested that autoimmune mechanisms may be involved in some etiologies of SCCAD.","container-title":"Frontiers in Immunology","DOI":"10.3389/fimmu.2021.820039","ISSN":"1664-3224","page":"820039","source":"Frontiers","title":"Association Between Autoimmune Diseases and Spontaneous Cervicocranial Arterial Dissection","volume":"12","author":[{"family":"Li","given":"Hao"},{"family":"Song","given":"Pu"},{"family":"Yang","given":"Wei"},{"family":"Yang","given":"Le"},{"family":"Diao","given":"Shanshan"},{"family":"Huang","given":"Shicun"},{"family":"Wang","given":"Yiqing"},{"family":"Xu","given":"Xingshun"},{"family":"Yang","given":"Yi"}],"accessed":{"date-parts":[["2023",4,20]]},"issued":{"date-parts":[["2022"]]}}},{"id":25622,"uris":["http://zotero.org/users/1179918/items/5K5JBWPH"],"itemData":{"id":25622,"type":"article-journal","abstract":"Antiphospholipid syndrome (APS) is a multisystemic autoimmune disease which presents with thromboembolic disease, pregnancy complications and the presence of antiphospholipid antibodies. There are some reports of arterial dissections in different sites of the body associated with APS. We describe two patients with APS who developed ischaemic stroke as a result of vertebral artery dissection in the absence of acquired and genetic risk factors for arterial dissection. We also conducted a systematic review of the literature for cases of arterial dissection associated with APS. We suspect that APS may be a potential cause of vasculopathy and arterial dissection. Further research is needed to explore this possible association.","container-title":"European Journal of Case Reports in Internal Medicine","DOI":"10.12890/2021_002610","ISSN":"2284-2594","issue":"5","journalAbbreviation":"Eur J Case Rep Intern Med","page":"002610","PMID":"34123952","PMCID":"PMC8191364","source":"PubMed Central","title":"Arterial Dissection in Antiphospholipid Syndrome Patients: Two Case Reports and a Literature Review","title-short":"Arterial Dissection in Antiphospholipid Syndrome Patients","URL":"https://www.ncbi.nlm.nih.gov/pmc/articles/PMC8191364/","volume":"8","author":[{"family":"Al-banaa","given":"Kadhim"},{"family":"Alshaikhli","given":"Alfarooq"},{"family":"AL-Hareeri","given":"Asal"},{"family":"Abdelhalim","given":"Mohammed"},{"family":"Al-Hillan","given":"Alsadiq"},{"family":"Joshi","given":"Tejas"}],"accessed":{"date-parts":[["2024",5,31]]},"issued":{"date-parts":[["2021",5,24]]}}}],"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[10,19]</w:t>
            </w:r>
            <w:r w:rsidRPr="002E5C2D">
              <w:rPr>
                <w:rFonts w:cstheme="minorHAnsi"/>
                <w:color w:val="202124"/>
                <w:szCs w:val="18"/>
                <w:shd w:val="clear" w:color="auto" w:fill="FFFFFF"/>
              </w:rPr>
              <w:fldChar w:fldCharType="end"/>
            </w:r>
          </w:p>
        </w:tc>
      </w:tr>
      <w:tr w:rsidR="004D3EB4" w:rsidRPr="002E5C2D" w14:paraId="4A919C10" w14:textId="77777777" w:rsidTr="00160F73">
        <w:trPr>
          <w:gridAfter w:val="1"/>
          <w:wAfter w:w="12" w:type="dxa"/>
          <w:trHeight w:val="222"/>
        </w:trPr>
        <w:tc>
          <w:tcPr>
            <w:tcW w:w="1600" w:type="dxa"/>
          </w:tcPr>
          <w:p w14:paraId="60EF4E8B"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Q87</w:t>
            </w:r>
          </w:p>
        </w:tc>
        <w:tc>
          <w:tcPr>
            <w:tcW w:w="5206" w:type="dxa"/>
          </w:tcPr>
          <w:p w14:paraId="57A51425"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t>Other specified congenital syndromes (includes Marfan syndrome, Loeys Dietz syndrome, Alport syndrome, arterial tortuosity syndrome)</w:t>
            </w:r>
          </w:p>
        </w:tc>
        <w:tc>
          <w:tcPr>
            <w:tcW w:w="1074" w:type="dxa"/>
          </w:tcPr>
          <w:p w14:paraId="7302ADA0"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48CBB954" w14:textId="3A6E593A"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{"citationID":"t9UefIqb","properties":{"formattedCitation":"[9,20]","plainCitation":"[9,20]","noteIndex":0},"citationItems":[{"id":6787,"uris":["http://zotero.org/users/1179918/items/WXMASCUC"],"itemData":{"id":6787,"type":"article-journal","abstract":"Purpose of review \n        Cervical artery dissection (CeAD) is a major cause of ischemic stroke in young and middle-aged adults, although relatively uncommon in the community. Recent large collaborative projects have provided new insights into mechanisms and risk factors of CeAD.\n        Recent findings \n        Pathologic changes observed at the media–adventitia border in temporal arteries of CeAD patients suggest a predisposing arterial wall weakness. In large multicenter series of CeAD patients, compared to age-matched healthy controls and patients with an ischemic stroke of another cause, hypertension and migraine, especially without aura, were confirmed as risk factors for CeAD, in addition to cervical trauma and recent infection. Hypercholesterolemia and being overweight were shown to be inversely associated with CeAD. Differences in risk factor profile and structural features between carotid and vertebral dissection suggest that their pathophysiology may partly differ. An association of CeAD with fibromuscular dysplasia and reversible cerebral vasoconstriction syndrome was described. Genetic risk factors of CeAD are still poorly understood.\n        Summary \n        Large cohorts of CeAD patients have refined our understanding of the pathophysiology and risk factors of CeAD, but the molecular mechanisms are still poorly understood. Ongoing high-throughput genetic projects will hopefully provide novel insight into the biological substrate of CeAD.","container-title":"Current Opinion in Neurology","DOI":"10.1097/WCO.0000000000000056","ISSN":"1350-7540","issue":"1","language":"en-US","page":"20–28","source":"journals.lww.com","title":"Pathophysiology and risk factors of cervical artery dissection: what have we learnt from large hospital-based cohorts?","title-short":"Pathophysiology and risk factors of cervical artery dissection","URL":"https://journals.lww.com/co-neurology/fulltext/2014/02000/Pathophysiology_and_risk_factors_of_cervical.5.aspx?casa_token=vpkiaEpGIcwAAAAA:tN1zfQozuB7FhDuk-3QSAoHKR2ymR0Swn8FGkrBVfH0RI77hcA4X8A18d1FM1tA-OaRfihmNR3gXRkAAtVdgZlBl","volume":"27","author":[{"family":"Debette","given":"Stéphanie"}],"accessed":{"date-parts":[["2021",6,11]]},"issued":{"date-parts":[["2014",2]]}}},{"id":18375,"uris":["http://zotero.org/users/1179918/items/JWSBHIEM"],"itemData":{"id":18375,"type":"article-journal","abstract":"INTRODUCTION: The potential role of genetic alterations in cervical artery dissection (CeAD) pathogenesis is poorly understood. We aimed to identify pathogenic genetic variants associated with cervical artery dissection by using whole exome sequencing.\nPATIENTS AND METHODS: CeAD-patients with either a family history of cervical artery dissection (f-CeAD) or recurrent cervical artery dissection (r-CeAD) from the CeAD-databases of two experienced stroke centres were analysed by whole exome sequencing.Variants with allele frequency &lt;0.05 and classified as pathogenic by predicting algorithms (SIFT or Polyphen-2) or the ClinVar database were explored. First, we analysed a panel of 30 candidate genes associated with arterial dissection (any site) or aneurysm according to the OMIM (online Mendelian Inheritance of Men) database. Second, we performed a genome-wide search for pathogenic variants causing other vascular phenotypes possibly related to cervical artery dissection.Findings were classified as CeAD-causing (pathogenic variants in genes from the arterial dissection or aneurysm panel) or suggestive (pathogenic variants in genes associated with other vascular phenotypes and variants of unknown significance in genes from the arterial dissection or aneurysm panel). All other variants were classified as benign/uncertain.\nRESULTS: Among 43 CeAD-patients, 28 patients (17 pedigrees) had f-CeAD and 15 had r-CeAD. No CeAD-causing variants were identified in r-CeAD patients. Among f-CeAD-patients, 5/17 pedigrees carried CeAD-causing variants in COL3A1, COL4A1, COL4A3, COL4A4, COL5A1, COL5A2 and FBN1. Suggestive variants in ABCC6, COL3A1, COL5A2, MEF2A, and RNF213 were detected in three pedigrees with f-CeAD and six patients with r-CeAD.Discussion and conclusion: CeAD-causing variants were rare and exclusively found in f-CeAD-patients, suggesting differences between the genetic architectures of f-CeAD and r-CeAD. The identified variants indicate a high genetic heterogeneity of the study sample.","container-title":"European Stroke Journal","DOI":"10.1177/2396987319861869","ISSN":"2396-9881","issue":"4","journalAbbreviation":"Eur Stroke J","language":"eng","page":"355-362","PMID":"31903434","PMCID":"PMC6921947","source":"PubMed","title":"Rare genetic variants in patients with cervical artery dissection","volume":"4","author":[{"family":"Traenka","given":"Christopher"},{"family":"Kloss","given":"Manja"},{"family":"Strom","given":"Tim"},{"family":"Lyrer","given":"Philippe"},{"family":"Brandt","given":"Tobias"},{"family":"Bonati","given":"Leo H."},{"family":"Grond-Ginsbach","given":"Caspar"},{"family":"Engelter","given":"Stefan"}],"issued":{"date-parts":[["2019",12]]}}}],"schema":"https://github.com/citation-style-language/schema/raw/master/csl-citation.json"}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[9,20]</w:t>
            </w:r>
            <w:r w:rsidRPr="002E5C2D">
              <w:rPr>
                <w:rFonts w:cstheme="minorHAnsi"/>
                <w:color w:val="202124"/>
                <w:szCs w:val="18"/>
                <w:shd w:val="clear" w:color="auto" w:fill="FFFFFF"/>
              </w:rPr>
              <w:fldChar w:fldCharType="end"/>
            </w:r>
          </w:p>
        </w:tc>
      </w:tr>
      <w:tr w:rsidR="004D3EB4" w:rsidRPr="002E5C2D" w14:paraId="48F275DA" w14:textId="77777777" w:rsidTr="00160F73">
        <w:trPr>
          <w:gridAfter w:val="1"/>
          <w:wAfter w:w="12" w:type="dxa"/>
          <w:trHeight w:val="222"/>
        </w:trPr>
        <w:tc>
          <w:tcPr>
            <w:tcW w:w="1600" w:type="dxa"/>
          </w:tcPr>
          <w:p w14:paraId="4F1CF5C4"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E66</w:t>
            </w:r>
          </w:p>
        </w:tc>
        <w:tc>
          <w:tcPr>
            <w:tcW w:w="5206" w:type="dxa"/>
          </w:tcPr>
          <w:p w14:paraId="250D45E2" w14:textId="77777777" w:rsidR="004D3EB4" w:rsidRPr="002E5C2D" w:rsidRDefault="004D3EB4" w:rsidP="00160F73">
            <w:pPr>
              <w:keepNext/>
              <w:keepLines/>
              <w:spacing w:after="100" w:afterAutospacing="1" w:line="20" w:lineRule="atLeast"/>
              <w:rPr>
                <w:rFonts w:cstheme="minorHAnsi"/>
                <w:bCs/>
                <w:szCs w:val="18"/>
              </w:rPr>
            </w:pPr>
            <w:r w:rsidRPr="002E5C2D">
              <w:rPr>
                <w:rFonts w:cstheme="minorHAnsi"/>
                <w:szCs w:val="18"/>
              </w:rPr>
              <w:t>Overweight and obesity</w:t>
            </w:r>
          </w:p>
        </w:tc>
        <w:tc>
          <w:tcPr>
            <w:tcW w:w="1074" w:type="dxa"/>
          </w:tcPr>
          <w:p w14:paraId="093EB53D"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45BB993C" w14:textId="7C2AAEBE"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szCs w:val="18"/>
              </w:rPr>
              <w:fldChar w:fldCharType="begin"/>
            </w:r>
            <w:r w:rsidR="003E6EF5">
              <w:rPr>
                <w:rFonts w:cstheme="minorHAnsi"/>
                <w:szCs w:val="18"/>
              </w:rPr>
              <w:instrText xml:space="preserve"> ADDIN ZOTERO_ITEM CSL_CITATION {"citationID":"RKOg3qyi","properties":{"formattedCitation":"[13]","plainCitation":"[13]","noteIndex":0},"citationItems":[{"id":28510,"uris":["http://zotero.org/users/1179918/items/RLXA6589"],"itemData":{"id":28510,"type":"article-journal","abstract":"OBJECTIVE: Epidemiological data to characterize the individual risk profile of patients with spontaneous cervical artery dissection (sCeAD) are rather inconsistent.\nMETHODS AND RESULTS: In the setting of the Italian Project on Stroke in Young Adults Cervical Artery Dissection (IPSYS CeAD), we compared the characteristics of 1,468 patients with sCeAD (mean age = 47.3 ± 11.3 years, men = 56.7%) prospectively recruited at 39 Italian centers with those of 2 control groups, composed of (1) patients whose ischemic stroke was caused by mechanisms other than dissection (non-CeAD IS) selected from the prospective IPSYS registry and Brescia Stroke Registry and (2) stroke-free individuals selected from the staff members of participating hospitals, matched 1:1:1 by sex, age, and race. Compared to stroke-free subjects, patients with sCeAD were more likely to be hypertensive (odds ratio [OR] = 1.65, 95% confidence interval [CI] = 1.37-1.98), to have personal history of migraine with aura (OR = 2.45, 95% CI = 1.74-3.34), without aura (OR = 2.67, 95% CI = 2.15-3.32), and family history of vascular disease in first-degree relatives (OR = 1.69, 95% CI = 1.39-2.05), and less likely to be diabetic (OR = 0.65, 95% CI = 0.47-0.91), hypercholesterolemic (OR = 0.75, 95% CI = 0.62-0.91), and obese (OR = 0.41, 95% CI = 0.31-0.54). Migraine without aura was also associated with sCeAD (OR = 1.81, 95% CI = 1.47-2.22) in comparison with patients with non-CeAD IS. In the subgroup of patients with migraine, patients with sCeAD had higher frequency of migraine attacks and were less likely to take anti-migraine preventive medications, especially beta-blockers, compared with the other groups.\nINTERPRETATION: The risk of sCeAD is influenced by migraine, especially migraine without aura, more than by other factors, increases with increasing frequency of attacks, and seems to be reduced by migraine preventive medications, namely beta-blockers. ANN NEUROL 2023;94:585-595.","container-title":"Annals of Neurology","DOI":"10.1002/ana.26717","ISSN":"1531-8249","issue":"3","journalAbbreviation":"Ann Neurol","language":"eng","page":"585-595","PMID":"37272282","source":"PubMed","title":"Risk Profile of Patients with Spontaneous Cervical Artery Dissection","volume":"94","author":[{"family":"Del Zotto","given":"Elisabetta"},{"family":"Grassi","given":"Mario"},{"family":"Zedde","given":"Marialuisa"},{"family":"Zini","given":"Andrea"},{"family":"Bersano","given":"Anna"},{"family":"Gandolfo","given":"Carlo"},{"family":"Silvestrelli","given":"Giorgio"},{"family":"Baracchini","given":"Claudio"},{"family":"Cerrato","given":"Paolo"},{"family":"Lodigiani","given":"Corrado"},{"family":"Marcheselli","given":"Simona"},{"family":"Paciaroni","given":"Maurizio"},{"family":"Spalloni","given":"Alessandra"},{"family":"Cappellari","given":"Manuel"},{"family":"Del Sette","given":"Massimo"},{"family":"Cavallini","given":"Anna"},{"family":"Lotti","given":"Enrico Maria"},{"family":"Delodovici","given":"Maria Luisa"},{"family":"Gentile","given":"Mauro"},{"family":"Magoni","given":"Mauro"},{"family":"Padroni","given":"Marina"},{"family":"Azzini","given":"Cristiano"},{"family":"Calloni","given":"Maria Vittoria"},{"family":"Giorli","given":"Elisa"},{"family":"Braga","given":"Massimiliano"},{"family":"La Spina","given":"Paolo"},{"family":"Melis","given":"Fabio"},{"family":"Tassi","given":"Rossana"},{"family":"Terruso","given":"Valeria"},{"family":"Calabrò","given":"Rocco Salvatore"},{"family":"Piras","given":"Valeria"},{"family":"Giossi","given":"Alessia"},{"family":"Sanguigni","given":"Sandro"},{"family":"Zanferrari","given":"Carla"},{"family":"Mannino","given":"Marina"},{"family":"Colombo","given":"Irene"},{"family":"Dallocchio","given":"Carlo"},{"family":"Nencini","given":"Patrizia"},{"family":"Bignamini","given":"Valeria"},{"family":"Adami","given":"Alessandro"},{"family":"Bella","given":"Rita"},{"family":"Pascarella","given":"Rosario"},{"family":"Keser","given":"Zafer"},{"family":"Pezzini","given":"Alessandro"},{"literal":"Italian Project on Stroke in Young Adults-Cervical Artery Dissection, (IPSYS CeAD) Research Group"}],"issued":{"date-parts":[["2023",9]]}}}],"schema":"https://github.com/citation-style-language/schema/raw/master/csl-citation.json"} </w:instrText>
            </w:r>
            <w:r w:rsidRPr="002E5C2D">
              <w:rPr>
                <w:rFonts w:cstheme="minorHAnsi"/>
                <w:szCs w:val="18"/>
              </w:rPr>
              <w:fldChar w:fldCharType="separate"/>
            </w:r>
            <w:r w:rsidR="006E0AEA" w:rsidRPr="006E0AEA">
              <w:rPr>
                <w:rFonts w:cs="Arial"/>
              </w:rPr>
              <w:t>[13]</w:t>
            </w:r>
            <w:r w:rsidRPr="002E5C2D">
              <w:rPr>
                <w:rFonts w:cstheme="minorHAnsi"/>
                <w:szCs w:val="18"/>
              </w:rPr>
              <w:fldChar w:fldCharType="end"/>
            </w:r>
          </w:p>
        </w:tc>
      </w:tr>
      <w:tr w:rsidR="004D3EB4" w:rsidRPr="002E5C2D" w14:paraId="707E618C" w14:textId="77777777" w:rsidTr="00160F73">
        <w:trPr>
          <w:gridAfter w:val="1"/>
          <w:wAfter w:w="12" w:type="dxa"/>
          <w:trHeight w:val="222"/>
        </w:trPr>
        <w:tc>
          <w:tcPr>
            <w:tcW w:w="1600" w:type="dxa"/>
          </w:tcPr>
          <w:p w14:paraId="18A00AFB"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 xml:space="preserve">O00-O9A   </w:t>
            </w:r>
          </w:p>
        </w:tc>
        <w:tc>
          <w:tcPr>
            <w:tcW w:w="5206" w:type="dxa"/>
          </w:tcPr>
          <w:p w14:paraId="4ED21068"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t>Pregnancy, childbirth and the puerperium</w:t>
            </w:r>
          </w:p>
        </w:tc>
        <w:tc>
          <w:tcPr>
            <w:tcW w:w="1074" w:type="dxa"/>
          </w:tcPr>
          <w:p w14:paraId="6BCC3BB9"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151C0F29" w14:textId="6236C240" w:rsidR="004D3EB4" w:rsidRPr="002E5C2D" w:rsidRDefault="004D3EB4" w:rsidP="00160F73">
            <w:pPr>
              <w:keepNext/>
              <w:keepLines/>
              <w:spacing w:after="100" w:afterAutospacing="1" w:line="20" w:lineRule="atLeast"/>
              <w:rPr>
                <w:rFonts w:cstheme="minorHAnsi"/>
                <w:szCs w:val="18"/>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{"citationID":"5zTADcI6","properties":{"formattedCitation":"[21]","plainCitation":"[21]","noteIndex":0},"citationItems":[{"id":19387,"uris":["http://zotero.org/users/1179918/items/S3INJGSH"],"itemData":{"id":19387,"type":"article-journal","abstract":"Objectives\nWe hypothesized that pregnant women would have an increased risk of spontaneous cervical artery dissection (sCeAD) affecting the carotid or vertebral arteries over one-year follow-up after the first trimester ultrasound compared to matched non-pregnant controls.\nMaterials and Methods\nWe queried a United States research network (TriNetX, Inc.) of de-identified medical records of &gt;111 million patients, with data spanning 2008-2023. We included women aged ≥18 and excluded those with trauma and conditions potentially causative of sCeAD. Women were divided into cohorts based on a1 first trimester ultrasound and subsequent labor, delivery, or full-term pregnancy, or2 gynecological examination and no pregnancy. We used propensity matching to control for variables associated with sCeAD and calculated the risk ratio (RR) of sCeAD occurring over one-year follow-up from the index date of ultrasound or gynecological exam.\nResults\nAfter matching, the incidence rate of sCeAD in the pregnancy cohort was 8.0 (95% CI: 8.0-8.1) per 100,000 person-years, compared to 3.9 (95% CI: 3.9-3.9) per 100,000 person-years in the non-pregnancy cohort, yielding an RR (95% CI) of 2.06 (1.17-3.61; P= .0104). A cumulative incidence graph suggested that most cases of sCeAD in the pregnancy cohort occurred during pregnancy rather than the postpartum period.\nConclusions\nOur findings demonstrate that women have a twofold increased risk of sCeAD during pregnancy and the postpartum period compared to non-pregnant women. Further research is needed to determine whether maternal comorbidities such as preeclampsia account for these findings, and clarify when sCeAD occurs in relation to pregnancy or the postpartum period.","container-title":"Journal of Stroke and Cerebrovascular Diseases","DOI":"10.1016/j.jstrokecerebrovasdis.2023.107384","ISSN":"1052-3057","issue":"11","journalAbbreviation":"Journal of Stroke and Cerebrovascular Diseases","page":"107384","source":"ScienceDirect","title":"Pregnancy and spontaneous cervical artery dissection: A propensity-matched retrospective cohort study","title-short":"Pregnancy and spontaneous cervical artery dissection","URL":"https://www.sciencedirect.com/science/article/pii/S105230572300407X","volume":"32","author":[{"family":"Trager","given":"Robert J."},{"family":"Daniels","given":"Clinton J."},{"family":"Scott","given":"Zachary E."},{"family":"Perez","given":"Jaime A."}],"accessed":{"date-parts":[["2023",10,1]]},"issued":{"date-parts":[["2023",11,1]]}}}],"schema":"https://github.com/citation-style-language/schema/raw/master/csl-citation.json"}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[21]</w:t>
            </w:r>
            <w:r w:rsidRPr="002E5C2D">
              <w:rPr>
                <w:rFonts w:cstheme="minorHAnsi"/>
                <w:color w:val="202124"/>
                <w:szCs w:val="18"/>
                <w:shd w:val="clear" w:color="auto" w:fill="FFFFFF"/>
              </w:rPr>
              <w:fldChar w:fldCharType="end"/>
            </w:r>
          </w:p>
        </w:tc>
      </w:tr>
      <w:tr w:rsidR="004D3EB4" w:rsidRPr="002E5C2D" w14:paraId="580F3C68" w14:textId="77777777" w:rsidTr="00160F73">
        <w:trPr>
          <w:gridAfter w:val="1"/>
          <w:wAfter w:w="12" w:type="dxa"/>
          <w:trHeight w:val="222"/>
        </w:trPr>
        <w:tc>
          <w:tcPr>
            <w:tcW w:w="1600" w:type="dxa"/>
          </w:tcPr>
          <w:p w14:paraId="3B7126E7"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R55</w:t>
            </w:r>
          </w:p>
        </w:tc>
        <w:tc>
          <w:tcPr>
            <w:tcW w:w="5206" w:type="dxa"/>
          </w:tcPr>
          <w:p w14:paraId="7EEE4D3F"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t>Syncope</w:t>
            </w:r>
          </w:p>
        </w:tc>
        <w:tc>
          <w:tcPr>
            <w:tcW w:w="1074" w:type="dxa"/>
          </w:tcPr>
          <w:p w14:paraId="17166838"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51A8E969" w14:textId="18E6C3E5"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szCs w:val="18"/>
              </w:rPr>
              <w:fldChar w:fldCharType="begin"/>
            </w:r>
            <w:r w:rsidR="003E6EF5">
              <w:rPr>
                <w:rFonts w:cstheme="minorHAnsi"/>
                <w:szCs w:val="18"/>
              </w:rPr>
              <w:instrText xml:space="preserve"> ADDIN ZOTERO_ITEM CSL_CITATION {"citationID":"B2xOvK2D","properties":{"formattedCitation":"[2]","plainCitation":"[2]","noteIndex":0},"citationItems":[{"id":28419,"uris":["http://zotero.org/users/1179918/items/WH5SHVBH"],"itemData":{"id":28419,"type":"article-journal","abstract":"Background and ObjectivesCervical artery dissection (CeAD) is a common cause of acute ischemic stroke (AIS), especially in patients younger than 55 years, but data regarding trends and subsequent AIS risk after CeAD remain scarce. We aimed to determine national trends in CeAD admissions and examine post-CeAD risk of ischemic stroke.MethodsWe used the National Inpatient Sample (2005–2019), National Readmission Database (2015–2019), and State Inpatient Database for New York (2011–2017) and Florida (2011–2019). Adult patients with spontaneous CeAD were identified using International Classification of Diseases, Ninth Revision, Clinical Modification and International Classification of Diseases, Tenth Revision, Clinical Modification codes. Survey-weighted annual CeAD cases were combined with US census data to estimate annual incidence. National estimates were verified with state-level data, which allows for the removal of duplicate admissions for a single patient through a unique patient identifier. Joinpoint regression was used to quantify the average annual percent change (AAPC) of CeAD incidence. AIS readmission risk after CeAD without concurrent AIS was assessed with death as a competing risk using Fine and Gray competing risk methodology.ResultsFrom 2005 to 2019, we identified 125,102 patients (46.09% female, mean age 51.4 years) with spontaneous CeAD. CeAD incidence increased from 10.7 cases per million population in 2005 to 45.6 cases per million population in 2019, revealing an AAPC of 10.21% (95% CI 9.67%–10.76%). This substantial increase in CeAD admissions was particularly high in the older, Black, and Hispanic populations. Statewide data corroborated this upward trend with an AAPC of 8.47% (95% CI 7.97%–9.48%). Among patients with CeAD without AIS, vertebral artery dissection was the sole major predictor of subsequent ischemic stroke risk within 90 days (adjusted subdistributed hazard ratio 1.77, 95% CI 1.18–2.64, p = 0.006). Interaction and subgroup analyses were performed and demonstrated similar results.DiscussionThere was an almost 5-fold increase in CeAD hospitalizations and an upward incidence trend from 2005 to 2019, particularly in racial minorities, which may be attributed to increased imaging and awareness of CeAD. Our study also revealed a small but significant risk of AIS in patients with vertebral artery dissection without concurrent ischemic stroke. These findings underscore the importance of studying acute treatment and secondary prevention strategies in patients with CeAD.","container-title":"Neurology","DOI":"10.1212/WNL.0000000000213548","issue":"9","page":"e213548","publisher":"Wolters Kluwer","source":"neurology.org (Atypon)","title":"Incidence Trends and Risk of Recurrent Stroke of Cervical Artery Dissections in the United States Between 2005 and 2019","URL":"https://www.neurology.org/doi/10.1212/WNL.0000000000213548","volume":"104","author":[{"family":"Shu","given":"Liqi"},{"family":"Strelecky","given":"Lukas"},{"family":"Havenon","given":"Adam","non-dropping-particle":"de"},{"family":"Nguyen","given":"Thanh N."},{"family":"Henninger","given":"Nils"},{"family":"Keser","given":"Zafer"},{"family":"Khan","given":"Muhib"},{"family":"Siegler","given":"James Ernest"},{"family":"Penckofer","given":"Mary"},{"family":"Omran","given":"Setareh Salehi"},{"family":"Field","given":"Thalia S."},{"family":"Zhou","given":"Lily"},{"family":"Xiao","given":"Han"},{"family":"Jacobson","given":"Austin"},{"family":"Goldstein","given":"Eric D."},{"family":"Stretz","given":"Christoph"},{"family":"Khan","given":"Farhan"},{"family":"Perelstein","given":"Elizabeth"},{"family":"Furie","given":"Karen"},{"family":"Yaghi","given":"Shadi"}],"accessed":{"date-parts":[["2025",5,21]]},"issued":{"date-parts":[["2025",5,13]]}}}],"schema":"https://github.com/citation-style-language/schema/raw/master/csl-citation.json"} </w:instrText>
            </w:r>
            <w:r w:rsidRPr="002E5C2D">
              <w:rPr>
                <w:rFonts w:cstheme="minorHAnsi"/>
                <w:szCs w:val="18"/>
              </w:rPr>
              <w:fldChar w:fldCharType="separate"/>
            </w:r>
            <w:r w:rsidR="006E0AEA" w:rsidRPr="006E0AEA">
              <w:rPr>
                <w:rFonts w:ascii="Calibri" w:hAnsi="Calibri" w:cs="Calibri"/>
              </w:rPr>
              <w:t>[2]</w:t>
            </w:r>
            <w:r w:rsidRPr="002E5C2D">
              <w:rPr>
                <w:rFonts w:cstheme="minorHAnsi"/>
                <w:szCs w:val="18"/>
              </w:rPr>
              <w:fldChar w:fldCharType="end"/>
            </w:r>
          </w:p>
        </w:tc>
      </w:tr>
      <w:tr w:rsidR="004D3EB4" w:rsidRPr="002E5C2D" w14:paraId="05A59787" w14:textId="77777777" w:rsidTr="00160F73">
        <w:trPr>
          <w:gridAfter w:val="1"/>
          <w:wAfter w:w="12" w:type="dxa"/>
          <w:trHeight w:val="245"/>
        </w:trPr>
        <w:tc>
          <w:tcPr>
            <w:tcW w:w="1600" w:type="dxa"/>
          </w:tcPr>
          <w:p w14:paraId="5B8D44C3" w14:textId="77777777" w:rsidR="004D3EB4" w:rsidRPr="002E5C2D" w:rsidRDefault="004D3EB4" w:rsidP="00160F73">
            <w:pPr>
              <w:spacing w:after="100" w:afterAutospacing="1" w:line="20" w:lineRule="atLeast"/>
              <w:ind w:firstLine="67"/>
              <w:rPr>
                <w:rFonts w:cstheme="minorHAnsi"/>
                <w:szCs w:val="18"/>
              </w:rPr>
            </w:pPr>
            <w:r w:rsidRPr="002E5C2D">
              <w:rPr>
                <w:rFonts w:cstheme="minorHAnsi"/>
                <w:szCs w:val="18"/>
              </w:rPr>
              <w:t xml:space="preserve">M30-M36  </w:t>
            </w:r>
          </w:p>
        </w:tc>
        <w:tc>
          <w:tcPr>
            <w:tcW w:w="5206" w:type="dxa"/>
          </w:tcPr>
          <w:p w14:paraId="5593C4A8" w14:textId="77777777" w:rsidR="004D3EB4" w:rsidRPr="002E5C2D" w:rsidRDefault="004D3EB4" w:rsidP="00160F73">
            <w:pPr>
              <w:spacing w:after="100" w:afterAutospacing="1" w:line="20" w:lineRule="atLeast"/>
              <w:rPr>
                <w:rFonts w:cstheme="minorHAnsi"/>
                <w:szCs w:val="18"/>
              </w:rPr>
            </w:pPr>
            <w:r w:rsidRPr="002E5C2D">
              <w:rPr>
                <w:rFonts w:cstheme="minorHAnsi"/>
                <w:szCs w:val="18"/>
              </w:rPr>
              <w:t>Systemic connective tissue disorders (includes lupus, Sjögren’s syndrome, hypermobility syndrome)</w:t>
            </w:r>
          </w:p>
        </w:tc>
        <w:tc>
          <w:tcPr>
            <w:tcW w:w="1074" w:type="dxa"/>
          </w:tcPr>
          <w:p w14:paraId="20EC3660" w14:textId="77777777" w:rsidR="004D3EB4" w:rsidRPr="002E5C2D" w:rsidRDefault="004D3EB4" w:rsidP="00160F73">
            <w:pPr>
              <w:spacing w:after="100" w:afterAutospacing="1" w:line="20" w:lineRule="atLeast"/>
              <w:rPr>
                <w:rFonts w:cstheme="minorHAnsi"/>
                <w:b/>
                <w:bCs/>
                <w:color w:val="202124"/>
                <w:szCs w:val="18"/>
                <w:shd w:val="clear" w:color="auto" w:fill="FFFFFF"/>
              </w:rPr>
            </w:pPr>
            <w:r w:rsidRPr="002E5C2D">
              <w:rPr>
                <w:rFonts w:ascii="Cambria Math" w:hAnsi="Cambria Math" w:cs="Cambria Math"/>
                <w:b/>
                <w:bCs/>
                <w:szCs w:val="18"/>
              </w:rPr>
              <w:t>⬆</w:t>
            </w:r>
          </w:p>
        </w:tc>
        <w:tc>
          <w:tcPr>
            <w:tcW w:w="1341" w:type="dxa"/>
          </w:tcPr>
          <w:p w14:paraId="20EED672" w14:textId="0C032F88" w:rsidR="004D3EB4" w:rsidRPr="002E5C2D" w:rsidRDefault="004D3EB4" w:rsidP="00160F73">
            <w:pPr>
              <w:spacing w:after="100" w:afterAutospacing="1" w:line="20" w:lineRule="atLeast"/>
              <w:rPr>
                <w:rFonts w:cstheme="minorHAnsi"/>
                <w:szCs w:val="18"/>
              </w:rPr>
            </w:pPr>
            <w:r w:rsidRPr="002E5C2D">
              <w:rPr>
                <w:rFonts w:cstheme="minorHAnsi"/>
                <w:szCs w:val="18"/>
              </w:rPr>
              <w:fldChar w:fldCharType="begin"/>
            </w:r>
            <w:r w:rsidR="003E6EF5">
              <w:rPr>
                <w:rFonts w:cstheme="minorHAnsi"/>
                <w:szCs w:val="18"/>
              </w:rPr>
              <w:instrText xml:space="preserve"> ADDIN ZOTERO_ITEM CSL_CITATION {"citationID":"szDqoRZZ","properties":{"formattedCitation":"[22,23]","plainCitation":"[22,23]","noteIndex":0},"citationItems":[{"id":19441,"uris":["http://zotero.org/users/1179918/items/PLN86PAY"],"itemData":{"id":19441,"type":"article-journal","abstract":"Advances in imaging techniques have led to a rise in the diagnosis of spontaneous cervicocranial arterial dissection (SCCAD), which is now considered a common cause of stroke in young adults. However, our understanding of the pathophysiological mechanisms underlying SCCAD remains limited. Prior studies have proposed various factors contributing to arterial wall weakness or stress as potential causes for SCCAD. A combination of biopsies, case reports, and case–control studies suggests that inflammatory changes and autoimmunity may play roles in the cascade of events leading to SCCAD. In this review, we examine the close relationship between SCCAD, chronic inflammation, and autoimmune diseases, aiming to explore potential underlying pathophysiological mechanisms connecting these conditions. While some relevant hypotheses and studies exist, direct evidence on this topic is still relatively scarce. Further investigation of the underlying mechanisms in larger clinical cohorts is needed, and the exploration of animal models may provide novel insights.","container-title":"Journal of Clinical Medicine","DOI":"10.3390/jcm12155132","ISSN":"2077-0383","issue":"15","journalAbbreviation":"J Clin Med","page":"5132","PMID":"37568534","PMCID":"PMC10419694","source":"PubMed Central","title":"Unraveling the Links between Chronic Inflammation, Autoimmunity, and Spontaneous Cervicocranial Arterial Dissection","URL":"https://www.ncbi.nlm.nih.gov/pmc/articles/PMC10419694/","volume":"12","author":[{"family":"Li","given":"Hao"},{"family":"Xu","given":"Shiyao"},{"family":"Xu","given":"Beibei"},{"family":"Zhang","given":"Yutong"},{"family":"Yin","given":"Jun"},{"family":"Yang","given":"Yi"}],"accessed":{"date-parts":[["2023",10,11]]},"issued":{"date-parts":[["2023",8,5]]}}},{"id":28055,"uris":["http://zotero.org/users/1179918/items/6N6L4P5W"],"itemData":{"id":28055,"type":"article-journal","abstract":"Limited evidence suggests that autoimmune diseases are associated with an increased risk of cervical artery dissection (CeAD). We hypothesized individuals with systemic lupus erythematosus (SLE) would have an increased risk of CeAD following SLE diagnosis compared to matched non-lupus controls. We queried a de-identified United States electronic medical records network (TriNetX, Inc.) for individuals aged 10 and older from 2012 to 2020, for two cohorts: (1) SLE and (2) non-lupus controls, excluding those with prior CeAD. We used propensity matching to control for confounding variables and calculated the risk ratio (RR) for CeAD occurring over four years’ follow-up, secondarily exploring cumulative incidence. After matching, both cohorts contained 77,008 patients, who were mostly female (89%). The incidence and risk of CeAD was significantly greater among those with SLE compared to matched non-lupus controls [95% CI] (0.08% vs. 0.04%; RR = 2.33 [1.49;3.66]; P &lt; 0.0001). These findings support the hypothesis that SLE is a risk factor for CeAD. Additional research is needed to identify the mechanisms that may underly the SLE-CeAD association and examine the potential association between other autoimmune diseases and CeAD.","container-title":"Scientific Reports","DOI":"10.1038/s41598-025-85655-2","ISSN":"2045-2322","issue":"1","journalAbbreviation":"Sci Rep","language":"en","license":"2025 The Author(s)","page":"1194","publisher":"Nature Publishing Group","source":"www.nature.com","title":"Systemic lupus erythematosus is associated with an increased risk of cervical artery dissection","URL":"https://www.nature.com/articles/s41598-025-85655-2","volume":"15","author":[{"family":"Trager","given":"Robert J."},{"family":"Lynn","given":"Benjamin P."},{"family":"Baumann","given":"Anthony N."},{"family":"Chu","given":"Eric Chun-Pu"}],"accessed":{"date-parts":[["2025",1,7]]},"issued":{"date-parts":[["2025",1,7]]}}}],"schema":"https://github.com/citation-style-language/schema/raw/master/csl-citation.json"} </w:instrText>
            </w:r>
            <w:r w:rsidRPr="002E5C2D">
              <w:rPr>
                <w:rFonts w:cstheme="minorHAnsi"/>
                <w:szCs w:val="18"/>
              </w:rPr>
              <w:fldChar w:fldCharType="separate"/>
            </w:r>
            <w:r w:rsidR="006E0AEA" w:rsidRPr="006E0AEA">
              <w:rPr>
                <w:rFonts w:ascii="Calibri" w:hAnsi="Calibri" w:cs="Calibri"/>
              </w:rPr>
              <w:t>[22,23]</w:t>
            </w:r>
            <w:r w:rsidRPr="002E5C2D">
              <w:rPr>
                <w:rFonts w:cstheme="minorHAnsi"/>
                <w:szCs w:val="18"/>
              </w:rPr>
              <w:fldChar w:fldCharType="end"/>
            </w:r>
          </w:p>
        </w:tc>
      </w:tr>
      <w:tr w:rsidR="004D3EB4" w:rsidRPr="002E5C2D" w14:paraId="024F4B64" w14:textId="77777777" w:rsidTr="00160F73">
        <w:trPr>
          <w:gridAfter w:val="1"/>
          <w:wAfter w:w="12" w:type="dxa"/>
          <w:trHeight w:val="288"/>
        </w:trPr>
        <w:tc>
          <w:tcPr>
            <w:tcW w:w="1600" w:type="dxa"/>
          </w:tcPr>
          <w:p w14:paraId="3CB2CDCA" w14:textId="77777777" w:rsidR="004D3EB4" w:rsidRPr="002E5C2D" w:rsidRDefault="004D3EB4" w:rsidP="00160F73">
            <w:pPr>
              <w:spacing w:after="100" w:afterAutospacing="1" w:line="20" w:lineRule="atLeast"/>
              <w:ind w:firstLine="67"/>
              <w:rPr>
                <w:rFonts w:cstheme="minorHAnsi"/>
                <w:szCs w:val="18"/>
              </w:rPr>
            </w:pPr>
            <w:r w:rsidRPr="002E5C2D">
              <w:rPr>
                <w:rFonts w:cstheme="minorHAnsi"/>
                <w:szCs w:val="18"/>
              </w:rPr>
              <w:t xml:space="preserve"> V00-Y99</w:t>
            </w:r>
          </w:p>
        </w:tc>
        <w:tc>
          <w:tcPr>
            <w:tcW w:w="5206" w:type="dxa"/>
          </w:tcPr>
          <w:p w14:paraId="328D9D9E" w14:textId="77777777" w:rsidR="004D3EB4" w:rsidRPr="002E5C2D" w:rsidRDefault="004D3EB4" w:rsidP="00160F73">
            <w:pPr>
              <w:spacing w:after="100" w:afterAutospacing="1" w:line="20" w:lineRule="atLeast"/>
              <w:rPr>
                <w:rFonts w:cstheme="minorHAnsi"/>
                <w:szCs w:val="18"/>
              </w:rPr>
            </w:pPr>
            <w:r w:rsidRPr="002E5C2D">
              <w:rPr>
                <w:rFonts w:cstheme="minorHAnsi"/>
                <w:szCs w:val="18"/>
              </w:rPr>
              <w:t>External causes of morbidity (e.g., trauma)</w:t>
            </w:r>
          </w:p>
        </w:tc>
        <w:tc>
          <w:tcPr>
            <w:tcW w:w="1074" w:type="dxa"/>
          </w:tcPr>
          <w:p w14:paraId="7DE48B10" w14:textId="77777777" w:rsidR="004D3EB4" w:rsidRPr="002E5C2D" w:rsidRDefault="004D3EB4" w:rsidP="00160F73">
            <w:pPr>
              <w:spacing w:after="100" w:afterAutospacing="1" w:line="20" w:lineRule="atLeast"/>
              <w:rPr>
                <w:rFonts w:cstheme="minorHAnsi"/>
                <w:b/>
                <w:bCs/>
                <w:color w:val="202124"/>
                <w:szCs w:val="18"/>
              </w:rPr>
            </w:pPr>
            <w:r w:rsidRPr="002E5C2D">
              <w:rPr>
                <w:rFonts w:ascii="Cambria Math" w:hAnsi="Cambria Math" w:cs="Cambria Math"/>
                <w:b/>
                <w:bCs/>
                <w:szCs w:val="18"/>
              </w:rPr>
              <w:t>⬆</w:t>
            </w:r>
          </w:p>
        </w:tc>
        <w:tc>
          <w:tcPr>
            <w:tcW w:w="1341" w:type="dxa"/>
          </w:tcPr>
          <w:p w14:paraId="43B7EEC1" w14:textId="0118EFE6" w:rsidR="004D3EB4" w:rsidRPr="002E5C2D" w:rsidRDefault="004D3EB4" w:rsidP="00160F73">
            <w:pPr>
              <w:spacing w:after="100" w:afterAutospacing="1" w:line="20" w:lineRule="atLeast"/>
              <w:rPr>
                <w:rFonts w:cstheme="minorHAnsi"/>
                <w:szCs w:val="18"/>
              </w:rPr>
            </w:pPr>
            <w:r w:rsidRPr="002E5C2D">
              <w:rPr>
                <w:rFonts w:cstheme="minorHAnsi"/>
                <w:szCs w:val="18"/>
              </w:rPr>
              <w:fldChar w:fldCharType="begin"/>
            </w:r>
            <w:r w:rsidR="003E6EF5">
              <w:rPr>
                <w:rFonts w:cstheme="minorHAnsi"/>
                <w:szCs w:val="18"/>
              </w:rPr>
              <w:instrText xml:space="preserve"> ADDIN ZOTERO_ITEM CSL_CITATION {"citationID":"WRUu3yJY","properties":{"formattedCitation":"[9]","plainCitation":"[9]","noteIndex":0},"citationItems":[{"id":6787,"uris":["http://zotero.org/users/1179918/items/WXMASCUC"],"itemData":{"id":6787,"type":"article-journal","abstract":"Purpose of review \n        Cervical artery dissection (CeAD) is a major cause of ischemic stroke in young and middle-aged adults, although relatively uncommon in the community. Recent large collaborative projects have provided new insights into mechanisms and risk factors of CeAD.\n        Recent findings \n        Pathologic changes observed at the media–adventitia border in temporal arteries of CeAD patients suggest a predisposing arterial wall weakness. In large multicenter series of CeAD patients, compared to age-matched healthy controls and patients with an ischemic stroke of another cause, hypertension and migraine, especially without aura, were confirmed as risk factors for CeAD, in addition to cervical trauma and recent infection. Hypercholesterolemia and being overweight were shown to be inversely associated with CeAD. Differences in risk factor profile and structural features between carotid and vertebral dissection suggest that their pathophysiology may partly differ. An association of CeAD with fibromuscular dysplasia and reversible cerebral vasoconstriction syndrome was described. Genetic risk factors of CeAD are still poorly understood.\n        Summary \n        Large cohorts of CeAD patients have refined our understanding of the pathophysiology and risk factors of CeAD, but the molecular mechanisms are still poorly understood. Ongoing high-throughput genetic projects will hopefully provide novel insight into the biological substrate of CeAD.","container-title":"Current Opinion in Neurology","DOI":"10.1097/WCO.0000000000000056","ISSN":"1350-7540","issue":"1","language":"en-US","page":"20–28","source":"journals.lww.com","title":"Pathophysiology and risk factors of cervical artery dissection: what have we learnt from large hospital-based cohorts?","title-short":"Pathophysiology and risk factors of cervical artery dissection","URL":"https://journals.lww.com/co-neurology/fulltext/2014/02000/Pathophysiology_and_risk_factors_of_cervical.5.aspx?casa_token=vpkiaEpGIcwAAAAA:tN1zfQozuB7FhDuk-3QSAoHKR2ymR0Swn8FGkrBVfH0RI77hcA4X8A18d1FM1tA-OaRfihmNR3gXRkAAtVdgZlBl","volume":"27","author":[{"family":"Debette","given":"Stéphanie"}],"accessed":{"date-parts":[["2021",6,11]]},"issued":{"date-parts":[["2014",2]]}}}],"schema":"https://github.com/citation-style-language/schema/raw/master/csl-citation.json"} </w:instrText>
            </w:r>
            <w:r w:rsidRPr="002E5C2D">
              <w:rPr>
                <w:rFonts w:cstheme="minorHAnsi"/>
                <w:szCs w:val="18"/>
              </w:rPr>
              <w:fldChar w:fldCharType="separate"/>
            </w:r>
            <w:r w:rsidR="006E0AEA" w:rsidRPr="006E0AEA">
              <w:rPr>
                <w:rFonts w:ascii="Calibri" w:hAnsi="Calibri" w:cs="Calibri"/>
              </w:rPr>
              <w:t>[9]</w:t>
            </w:r>
            <w:r w:rsidRPr="002E5C2D">
              <w:rPr>
                <w:rFonts w:cstheme="minorHAnsi"/>
                <w:szCs w:val="18"/>
              </w:rPr>
              <w:fldChar w:fldCharType="end"/>
            </w:r>
          </w:p>
        </w:tc>
      </w:tr>
      <w:tr w:rsidR="004D3EB4" w:rsidRPr="002E5C2D" w14:paraId="6102F8EE" w14:textId="77777777" w:rsidTr="00160F73">
        <w:trPr>
          <w:gridAfter w:val="1"/>
          <w:wAfter w:w="12" w:type="dxa"/>
          <w:trHeight w:val="123"/>
        </w:trPr>
        <w:tc>
          <w:tcPr>
            <w:tcW w:w="9221" w:type="dxa"/>
            <w:gridSpan w:val="4"/>
          </w:tcPr>
          <w:p w14:paraId="370BF6AC" w14:textId="77777777" w:rsidR="004D3EB4" w:rsidRPr="002E5C2D" w:rsidRDefault="004D3EB4" w:rsidP="00160F73">
            <w:pPr>
              <w:spacing w:after="100" w:afterAutospacing="1" w:line="20" w:lineRule="atLeast"/>
              <w:rPr>
                <w:rFonts w:cstheme="minorHAnsi"/>
                <w:b/>
                <w:bCs/>
                <w:szCs w:val="18"/>
              </w:rPr>
            </w:pPr>
            <w:r w:rsidRPr="002E5C2D">
              <w:rPr>
                <w:rFonts w:cstheme="minorHAnsi"/>
                <w:b/>
                <w:bCs/>
                <w:szCs w:val="18"/>
              </w:rPr>
              <w:t>Visits and procedures</w:t>
            </w:r>
          </w:p>
        </w:tc>
      </w:tr>
      <w:tr w:rsidR="004D3EB4" w:rsidRPr="002E5C2D" w14:paraId="656FD0DC" w14:textId="77777777" w:rsidTr="00160F73">
        <w:trPr>
          <w:gridAfter w:val="1"/>
          <w:wAfter w:w="12" w:type="dxa"/>
          <w:trHeight w:val="123"/>
        </w:trPr>
        <w:tc>
          <w:tcPr>
            <w:tcW w:w="1600" w:type="dxa"/>
          </w:tcPr>
          <w:p w14:paraId="4A14A823" w14:textId="77777777" w:rsidR="004D3EB4" w:rsidRPr="002E5C2D" w:rsidRDefault="004D3EB4" w:rsidP="00160F73">
            <w:pPr>
              <w:spacing w:after="100" w:afterAutospacing="1" w:line="20" w:lineRule="atLeast"/>
              <w:ind w:firstLine="67"/>
              <w:rPr>
                <w:rFonts w:cstheme="minorHAnsi"/>
                <w:szCs w:val="18"/>
              </w:rPr>
            </w:pPr>
            <w:r w:rsidRPr="002E5C2D">
              <w:rPr>
                <w:rFonts w:cstheme="minorHAnsi"/>
                <w:szCs w:val="18"/>
              </w:rPr>
              <w:t>EMER*</w:t>
            </w:r>
          </w:p>
        </w:tc>
        <w:tc>
          <w:tcPr>
            <w:tcW w:w="5206" w:type="dxa"/>
          </w:tcPr>
          <w:p w14:paraId="15833337" w14:textId="77777777" w:rsidR="004D3EB4" w:rsidRPr="002E5C2D" w:rsidRDefault="004D3EB4" w:rsidP="00160F73">
            <w:pPr>
              <w:spacing w:after="100" w:afterAutospacing="1" w:line="20" w:lineRule="atLeast"/>
              <w:rPr>
                <w:rFonts w:cstheme="minorHAnsi"/>
                <w:szCs w:val="18"/>
              </w:rPr>
            </w:pPr>
            <w:r w:rsidRPr="002E5C2D">
              <w:rPr>
                <w:rFonts w:cstheme="minorHAnsi"/>
                <w:szCs w:val="18"/>
              </w:rPr>
              <w:t>Emergency visit</w:t>
            </w:r>
          </w:p>
        </w:tc>
        <w:tc>
          <w:tcPr>
            <w:tcW w:w="1074" w:type="dxa"/>
          </w:tcPr>
          <w:p w14:paraId="6550790E" w14:textId="77777777" w:rsidR="004D3EB4" w:rsidRPr="002E5C2D" w:rsidRDefault="004D3EB4" w:rsidP="00160F73">
            <w:pPr>
              <w:spacing w:after="100" w:afterAutospacing="1" w:line="20" w:lineRule="atLeast"/>
              <w:rPr>
                <w:rFonts w:cstheme="minorHAnsi"/>
                <w:b/>
                <w:bCs/>
                <w:szCs w:val="18"/>
              </w:rPr>
            </w:pPr>
            <w:r w:rsidRPr="002E5C2D">
              <w:rPr>
                <w:rFonts w:cstheme="minorHAnsi"/>
                <w:szCs w:val="18"/>
              </w:rPr>
              <w:t>NA</w:t>
            </w:r>
          </w:p>
        </w:tc>
        <w:tc>
          <w:tcPr>
            <w:tcW w:w="1341" w:type="dxa"/>
          </w:tcPr>
          <w:p w14:paraId="5B40F124" w14:textId="77777777" w:rsidR="004D3EB4" w:rsidRPr="002E5C2D" w:rsidRDefault="004D3EB4" w:rsidP="00160F73">
            <w:pPr>
              <w:spacing w:after="100" w:afterAutospacing="1" w:line="20" w:lineRule="atLeast"/>
              <w:rPr>
                <w:rFonts w:cstheme="minorHAnsi"/>
                <w:i/>
                <w:iCs/>
                <w:szCs w:val="18"/>
              </w:rPr>
            </w:pPr>
            <w:r w:rsidRPr="002E5C2D">
              <w:rPr>
                <w:rFonts w:cstheme="minorHAnsi"/>
                <w:szCs w:val="18"/>
              </w:rPr>
              <w:t>NA</w:t>
            </w:r>
          </w:p>
        </w:tc>
      </w:tr>
      <w:tr w:rsidR="004D3EB4" w:rsidRPr="002E5C2D" w14:paraId="4EB39163" w14:textId="77777777" w:rsidTr="00160F73">
        <w:trPr>
          <w:gridAfter w:val="1"/>
          <w:wAfter w:w="12" w:type="dxa"/>
          <w:trHeight w:val="71"/>
        </w:trPr>
        <w:tc>
          <w:tcPr>
            <w:tcW w:w="1600" w:type="dxa"/>
          </w:tcPr>
          <w:p w14:paraId="0DAC7F83" w14:textId="77777777" w:rsidR="004D3EB4" w:rsidRPr="002E5C2D" w:rsidRDefault="004D3EB4" w:rsidP="00160F73">
            <w:pPr>
              <w:spacing w:after="100" w:afterAutospacing="1" w:line="20" w:lineRule="atLeast"/>
              <w:ind w:firstLine="67"/>
              <w:rPr>
                <w:rFonts w:cstheme="minorHAnsi"/>
                <w:szCs w:val="18"/>
              </w:rPr>
            </w:pPr>
            <w:r w:rsidRPr="002E5C2D">
              <w:rPr>
                <w:rFonts w:cstheme="minorHAnsi"/>
                <w:szCs w:val="18"/>
              </w:rPr>
              <w:t>IMP*</w:t>
            </w:r>
          </w:p>
        </w:tc>
        <w:tc>
          <w:tcPr>
            <w:tcW w:w="5206" w:type="dxa"/>
          </w:tcPr>
          <w:p w14:paraId="2DA4742C" w14:textId="77777777" w:rsidR="004D3EB4" w:rsidRPr="002E5C2D" w:rsidRDefault="004D3EB4" w:rsidP="00160F73">
            <w:pPr>
              <w:spacing w:after="100" w:afterAutospacing="1" w:line="20" w:lineRule="atLeast"/>
              <w:rPr>
                <w:rFonts w:cstheme="minorHAnsi"/>
                <w:szCs w:val="18"/>
              </w:rPr>
            </w:pPr>
            <w:r w:rsidRPr="002E5C2D">
              <w:rPr>
                <w:rFonts w:cstheme="minorHAnsi"/>
                <w:szCs w:val="18"/>
              </w:rPr>
              <w:t>Inpatient visit</w:t>
            </w:r>
          </w:p>
        </w:tc>
        <w:tc>
          <w:tcPr>
            <w:tcW w:w="1074" w:type="dxa"/>
          </w:tcPr>
          <w:p w14:paraId="19097C93" w14:textId="77777777" w:rsidR="004D3EB4" w:rsidRPr="002E5C2D" w:rsidRDefault="004D3EB4" w:rsidP="00160F73">
            <w:pPr>
              <w:spacing w:after="100" w:afterAutospacing="1" w:line="20" w:lineRule="atLeast"/>
              <w:rPr>
                <w:rFonts w:cstheme="minorHAnsi"/>
                <w:b/>
                <w:bCs/>
                <w:szCs w:val="18"/>
              </w:rPr>
            </w:pPr>
            <w:r w:rsidRPr="002E5C2D">
              <w:rPr>
                <w:rFonts w:cstheme="minorHAnsi"/>
                <w:szCs w:val="18"/>
              </w:rPr>
              <w:t>NA</w:t>
            </w:r>
          </w:p>
        </w:tc>
        <w:tc>
          <w:tcPr>
            <w:tcW w:w="1341" w:type="dxa"/>
          </w:tcPr>
          <w:p w14:paraId="1BFCDCE9" w14:textId="77777777" w:rsidR="004D3EB4" w:rsidRPr="002E5C2D" w:rsidRDefault="004D3EB4" w:rsidP="00160F73">
            <w:pPr>
              <w:spacing w:after="100" w:afterAutospacing="1" w:line="20" w:lineRule="atLeast"/>
              <w:rPr>
                <w:rFonts w:cstheme="minorHAnsi"/>
                <w:i/>
                <w:iCs/>
                <w:szCs w:val="18"/>
              </w:rPr>
            </w:pPr>
            <w:r w:rsidRPr="002E5C2D">
              <w:rPr>
                <w:rFonts w:cstheme="minorHAnsi"/>
                <w:szCs w:val="18"/>
              </w:rPr>
              <w:t>NA</w:t>
            </w:r>
          </w:p>
        </w:tc>
      </w:tr>
      <w:tr w:rsidR="004D3EB4" w:rsidRPr="002E5C2D" w14:paraId="41D2F1A1" w14:textId="77777777" w:rsidTr="00160F73">
        <w:trPr>
          <w:gridAfter w:val="1"/>
          <w:wAfter w:w="12" w:type="dxa"/>
          <w:trHeight w:val="300"/>
        </w:trPr>
        <w:tc>
          <w:tcPr>
            <w:tcW w:w="1600" w:type="dxa"/>
          </w:tcPr>
          <w:p w14:paraId="59DD6C63" w14:textId="77777777" w:rsidR="004D3EB4" w:rsidRPr="002E5C2D" w:rsidRDefault="004D3EB4" w:rsidP="00160F73">
            <w:pPr>
              <w:spacing w:line="20" w:lineRule="atLeast"/>
              <w:ind w:firstLine="67"/>
              <w:rPr>
                <w:rFonts w:eastAsia="Calibri" w:cstheme="minorHAnsi"/>
                <w:szCs w:val="18"/>
              </w:rPr>
            </w:pPr>
            <w:r w:rsidRPr="002E5C2D">
              <w:rPr>
                <w:rFonts w:eastAsia="Calibri" w:cstheme="minorHAnsi"/>
                <w:szCs w:val="18"/>
              </w:rPr>
              <w:t>1012974</w:t>
            </w:r>
          </w:p>
        </w:tc>
        <w:tc>
          <w:tcPr>
            <w:tcW w:w="5206" w:type="dxa"/>
          </w:tcPr>
          <w:p w14:paraId="1E94019C" w14:textId="77777777" w:rsidR="004D3EB4" w:rsidRPr="002E5C2D" w:rsidRDefault="004D3EB4" w:rsidP="00160F73">
            <w:pPr>
              <w:spacing w:line="20" w:lineRule="atLeast"/>
              <w:rPr>
                <w:rFonts w:eastAsia="Calibri" w:cstheme="minorHAnsi"/>
                <w:szCs w:val="18"/>
              </w:rPr>
            </w:pPr>
            <w:r w:rsidRPr="002E5C2D">
              <w:rPr>
                <w:rFonts w:eastAsia="Calibri" w:cstheme="minorHAnsi"/>
                <w:szCs w:val="18"/>
              </w:rPr>
              <w:t>Cardiovascular procedures (e.g., echocardiography, electrocardiogram)</w:t>
            </w:r>
          </w:p>
        </w:tc>
        <w:tc>
          <w:tcPr>
            <w:tcW w:w="1074" w:type="dxa"/>
          </w:tcPr>
          <w:p w14:paraId="2F0E89E0" w14:textId="77777777" w:rsidR="004D3EB4" w:rsidRPr="002E5C2D" w:rsidRDefault="004D3EB4" w:rsidP="00160F73">
            <w:pPr>
              <w:spacing w:afterAutospacing="1" w:line="20" w:lineRule="atLeast"/>
              <w:rPr>
                <w:rFonts w:cstheme="minorHAnsi"/>
                <w:b/>
                <w:bCs/>
                <w:szCs w:val="18"/>
              </w:rPr>
            </w:pPr>
            <w:r w:rsidRPr="002E5C2D">
              <w:rPr>
                <w:rFonts w:cstheme="minorHAnsi"/>
                <w:szCs w:val="18"/>
              </w:rPr>
              <w:t>NA</w:t>
            </w:r>
          </w:p>
        </w:tc>
        <w:tc>
          <w:tcPr>
            <w:tcW w:w="1341" w:type="dxa"/>
          </w:tcPr>
          <w:p w14:paraId="5BCC25CC" w14:textId="77777777" w:rsidR="004D3EB4" w:rsidRPr="002E5C2D" w:rsidRDefault="004D3EB4" w:rsidP="00160F73">
            <w:pPr>
              <w:spacing w:afterAutospacing="1" w:line="20" w:lineRule="atLeast"/>
              <w:rPr>
                <w:rFonts w:cstheme="minorHAnsi"/>
                <w:i/>
                <w:iCs/>
                <w:szCs w:val="18"/>
              </w:rPr>
            </w:pPr>
            <w:r w:rsidRPr="002E5C2D">
              <w:rPr>
                <w:rFonts w:cstheme="minorHAnsi"/>
                <w:szCs w:val="18"/>
              </w:rPr>
              <w:t>NA</w:t>
            </w:r>
          </w:p>
        </w:tc>
      </w:tr>
      <w:tr w:rsidR="004D3EB4" w:rsidRPr="002E5C2D" w14:paraId="2DBA987E" w14:textId="77777777" w:rsidTr="00160F73">
        <w:trPr>
          <w:trHeight w:val="222"/>
        </w:trPr>
        <w:tc>
          <w:tcPr>
            <w:tcW w:w="9233" w:type="dxa"/>
            <w:gridSpan w:val="5"/>
          </w:tcPr>
          <w:p w14:paraId="548C8441" w14:textId="77777777" w:rsidR="004D3EB4" w:rsidRPr="002E5C2D" w:rsidRDefault="004D3EB4" w:rsidP="00160F73">
            <w:pPr>
              <w:keepNext/>
              <w:keepLines/>
              <w:spacing w:after="100" w:afterAutospacing="1" w:line="20" w:lineRule="atLeast"/>
              <w:rPr>
                <w:rFonts w:cstheme="minorHAnsi"/>
                <w:b/>
                <w:bCs/>
                <w:color w:val="202124"/>
                <w:szCs w:val="18"/>
                <w:shd w:val="clear" w:color="auto" w:fill="FFFFFF"/>
              </w:rPr>
            </w:pPr>
            <w:r w:rsidRPr="002E5C2D">
              <w:rPr>
                <w:rFonts w:cstheme="minorHAnsi"/>
                <w:b/>
                <w:bCs/>
                <w:color w:val="202124"/>
                <w:szCs w:val="18"/>
                <w:shd w:val="clear" w:color="auto" w:fill="FFFFFF"/>
              </w:rPr>
              <w:t>Treatments</w:t>
            </w:r>
          </w:p>
        </w:tc>
      </w:tr>
      <w:tr w:rsidR="004D3EB4" w:rsidRPr="002E5C2D" w14:paraId="23D1B91E" w14:textId="77777777" w:rsidTr="00160F73">
        <w:trPr>
          <w:gridAfter w:val="1"/>
          <w:wAfter w:w="12" w:type="dxa"/>
          <w:trHeight w:val="222"/>
        </w:trPr>
        <w:tc>
          <w:tcPr>
            <w:tcW w:w="1600" w:type="dxa"/>
          </w:tcPr>
          <w:p w14:paraId="6A78DC4F"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CN105 (VA)</w:t>
            </w:r>
          </w:p>
        </w:tc>
        <w:tc>
          <w:tcPr>
            <w:tcW w:w="5206" w:type="dxa"/>
          </w:tcPr>
          <w:p w14:paraId="39A8A7EE"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t>Antimigraine agents (</w:t>
            </w:r>
            <w:proofErr w:type="gramStart"/>
            <w:r w:rsidRPr="002E5C2D">
              <w:rPr>
                <w:rFonts w:cstheme="minorHAnsi"/>
                <w:szCs w:val="18"/>
              </w:rPr>
              <w:t>includes</w:t>
            </w:r>
            <w:proofErr w:type="gramEnd"/>
            <w:r w:rsidRPr="002E5C2D">
              <w:rPr>
                <w:rFonts w:cstheme="minorHAnsi"/>
                <w:szCs w:val="18"/>
              </w:rPr>
              <w:t xml:space="preserve"> triptans)</w:t>
            </w:r>
          </w:p>
        </w:tc>
        <w:tc>
          <w:tcPr>
            <w:tcW w:w="1074" w:type="dxa"/>
          </w:tcPr>
          <w:p w14:paraId="163F1826"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0D8E369C" w14:textId="2078737B"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{"citationID":"8wFy8EK0","properties":{"formattedCitation":"[24]","plainCitation":"[24]","noteIndex":0},"citationItems":[{"id":26131,"uris":["http://zotero.org/users/1179918/items/DF2LZJSU"],"itemData":{"id":26131,"type":"article-journal","abstract":"AimThe aim of this article is to investigate the vascular safety profile of triptans through an analysis of the United States Food and Drug Administration Adverse Event Reporting System (FDA_AERS) database with a special focus on serious and unexpected adverse events.MethodsA case/non-case analysis was performed on the reports entered in the FDA_AERS from 2004 to 2010: Cases were reports with at least one event included in the MedDRA system organ classes ?Cardiac disorder? or ?Vascular disorders?, whereas non-cases were all the remaining reports. Co-reported cardiovascular drugs were used as a proxy of cardiovascular risk and the adjusted reporting odds ratio (adj.ROR) with 95% confidence intervals (95% CI) was calculated. Disproportionality signals were defined as adj.ROR value &gt;1. Adverse events were considered unexpected if not mentioned on the relevant label.ResultsAmong 2,131,688 reports, 7808 concerned triptans. Cases were 2593 among triptans and 665,940 for all other drugs. Unexpected disproportionality signals were found in the following high-level terms of the MedDRA hierarchy: ?Cerebrovascular and spinal necrosis and vascular insufficiency? (103 triptan cases), ?Aneurysms and dissections non-site specific? (15), ?Pregnancy-associated hypertension? (10), ?Reproductive system necrosis and vascular insufficiency? (3).DiscussionOur analysis revealed three main groups of unexpected associations between triptans and serious vascular events: ischaemic cerebrovascular events, aneurysms and artery dissections, and pregnancy-related vascular events. A case-by-case assessment is needed to confirm or disprove their plausibility and large-scale analytical studies should be planned for risk rate estimation. In the meantime, clinicians should pay special attention to migraine diagnosis and vascular risk assessment before prescribing a triptan, also promptly reporting any unexpected event to pharmacovigilance systems.","container-title":"Cephalalgia","DOI":"10.1177/0333102413499649","ISSN":"0333-1024","issue":"1","journalAbbreviation":"Cephalalgia","page":"5-13","publisher":"SAGE Publications Ltd STM","source":"SAGE Journals","title":"Triptans and serious adverse vascular events: Data mining of the FDA Adverse Event Reporting System database","title-short":"Triptans and serious adverse vascular events","URL":"https://doi.org/10.1177/0333102413499649","volume":"34","author":[{"family":"Roberto","given":"Giuseppe"},{"family":"Piccinni","given":"Carlo"},{"family":"D’Alessandro","given":"Roberto"},{"family":"Poluzzi","given":"Elisabetta"}],"accessed":{"date-parts":[["2024",6,2]]},"issued":{"date-parts":[["2014",1,1]]}}}],"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[24]</w:t>
            </w:r>
            <w:r w:rsidRPr="002E5C2D">
              <w:rPr>
                <w:rFonts w:cstheme="minorHAnsi"/>
                <w:color w:val="202124"/>
                <w:szCs w:val="18"/>
                <w:shd w:val="clear" w:color="auto" w:fill="FFFFFF"/>
              </w:rPr>
              <w:fldChar w:fldCharType="end"/>
            </w:r>
          </w:p>
        </w:tc>
      </w:tr>
      <w:tr w:rsidR="004D3EB4" w:rsidRPr="002E5C2D" w14:paraId="0E4EF85B" w14:textId="77777777" w:rsidTr="00160F73">
        <w:trPr>
          <w:gridAfter w:val="1"/>
          <w:wAfter w:w="12" w:type="dxa"/>
          <w:trHeight w:val="222"/>
        </w:trPr>
        <w:tc>
          <w:tcPr>
            <w:tcW w:w="1600" w:type="dxa"/>
            <w:vAlign w:val="center"/>
          </w:tcPr>
          <w:p w14:paraId="3FB78173" w14:textId="77777777" w:rsidR="004D3EB4" w:rsidRPr="00176937" w:rsidRDefault="004D3EB4" w:rsidP="00160F73">
            <w:pPr>
              <w:keepNext/>
              <w:keepLines/>
              <w:spacing w:after="100" w:afterAutospacing="1" w:line="20" w:lineRule="atLeast"/>
              <w:ind w:firstLine="70"/>
              <w:rPr>
                <w:rFonts w:cstheme="minorHAnsi"/>
                <w:szCs w:val="18"/>
              </w:rPr>
            </w:pPr>
            <w:r w:rsidRPr="009B3E01">
              <w:rPr>
                <w:szCs w:val="18"/>
              </w:rPr>
              <w:t>CV000 (VA)</w:t>
            </w:r>
          </w:p>
        </w:tc>
        <w:tc>
          <w:tcPr>
            <w:tcW w:w="5206" w:type="dxa"/>
            <w:vAlign w:val="center"/>
          </w:tcPr>
          <w:p w14:paraId="7DEDF28A" w14:textId="77777777" w:rsidR="004D3EB4" w:rsidRPr="00176937" w:rsidRDefault="004D3EB4" w:rsidP="00160F73">
            <w:pPr>
              <w:keepNext/>
              <w:keepLines/>
              <w:spacing w:after="100" w:afterAutospacing="1" w:line="20" w:lineRule="atLeast"/>
              <w:rPr>
                <w:rFonts w:cstheme="minorHAnsi"/>
                <w:szCs w:val="18"/>
              </w:rPr>
            </w:pPr>
            <w:r w:rsidRPr="009B3E01">
              <w:rPr>
                <w:szCs w:val="18"/>
              </w:rPr>
              <w:t>Cardiovascular medications (e.g., beta blockers, calcium channel blockers, anti-arrhythmics, antilipemic agents, antihypertensives, diuretics, angiotensin-converting enzyme inhibitors inhibitors, angiotension II inhibitors)</w:t>
            </w:r>
          </w:p>
        </w:tc>
        <w:tc>
          <w:tcPr>
            <w:tcW w:w="1074" w:type="dxa"/>
            <w:vAlign w:val="center"/>
          </w:tcPr>
          <w:p w14:paraId="2C7E8933" w14:textId="77777777" w:rsidR="004D3EB4" w:rsidRPr="00176937" w:rsidRDefault="004D3EB4" w:rsidP="00160F73">
            <w:pPr>
              <w:keepNext/>
              <w:keepLines/>
              <w:spacing w:after="100" w:afterAutospacing="1" w:line="20" w:lineRule="atLeast"/>
              <w:rPr>
                <w:rFonts w:ascii="Cambria Math" w:hAnsi="Cambria Math" w:cs="Cambria Math"/>
                <w:b/>
                <w:bCs/>
                <w:szCs w:val="18"/>
              </w:rPr>
            </w:pPr>
            <w:r w:rsidRPr="002E5C2D">
              <w:rPr>
                <w:rFonts w:ascii="Cambria Math" w:hAnsi="Cambria Math" w:cs="Cambria Math"/>
                <w:b/>
                <w:bCs/>
                <w:szCs w:val="18"/>
              </w:rPr>
              <w:t>⬇</w:t>
            </w:r>
          </w:p>
        </w:tc>
        <w:tc>
          <w:tcPr>
            <w:tcW w:w="1341" w:type="dxa"/>
            <w:vAlign w:val="center"/>
          </w:tcPr>
          <w:p w14:paraId="0D62471E" w14:textId="02E5B0C1" w:rsidR="004D3EB4" w:rsidRPr="00176937" w:rsidRDefault="004D3EB4" w:rsidP="00160F73">
            <w:pPr>
              <w:keepNext/>
              <w:keepLines/>
              <w:spacing w:after="100" w:afterAutospacing="1" w:line="20" w:lineRule="atLeast"/>
              <w:rPr>
                <w:rFonts w:cstheme="minorHAnsi"/>
                <w:b/>
                <w:bCs/>
                <w:szCs w:val="18"/>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{"citationID":"9tXnc2ZS","properties":{"formattedCitation":"[13,16]","plainCitation":"[13,16]","noteIndex":0},"citationItems":[{"id":18117,"uris":["http://zotero.org/users/1179918/items/RP6V3CRB"],"itemData":{"id":18117,"type":"article-journal","abstract":"Background: Spontaneous cervical artery dissection (sCeAD) is an important cause of ischemic stroke in the young population and has a different cardiovascular risk profile from other causes of ischemic stroke. No study provided a comprehensive evidence for cardiovascular risk factors of sCeAD.Methods: We searched PubMed, MEDLINE, and Embase without date or language restrictions for relevant studies. Bibliographies of included studies were also searched. We included case-control studies where patients with sCeAD were on one arm, and controls were on the other arm. The investigated risk factors were diabetes, hypertension, smoking, and hyperlipidemia. Data extraction and quality assessment were performed independently by two reviewers.Results: Seventeen qualifying case-control studies were identified, comparing 2185 patients with sCeAD and 3185 healthy control subjects. Heterogeneity was low for diabetes, moderate for hypertension and hyperlipidemia, and high for smoking. The meta-analysis showed a significant association between hypertension and sCeAD [pooled odds ratio (OR) = 1.70, 95% confidence interval (CI): 1.40-2.07, P &lt; 0.001]. There was no association between sCeAD and diabetes (pooled OR = 0.71, 95% CI: 0.50-1.01, P = 0.060) or smoking (pooled OR = 0.90, 95% CI: 0.68-1.20, P = 0.480). Hyperlipidemia was negatively-associated with sCeAD (OR = 0.65, 95% CI: 0.48-0.89, P = 0.007), but with sensitivity analysis, there was no association (OR = 0.72, 95% CI: 0.44-1.19, P = 0.200).Conclusion: The meta-analysis reveals that sCeAD has a significant association with hypertension and no association with smoking, diabetes, or hyperlipidemia. These results should direct future research towards exploring biological mechanism of hypertension-induced arterial dissection.","container-title":"Current Journal of Neurology","DOI":"10.18502/cjn.v21i3.11112","ISSN":"2717-011X","issue":"3","page":"183-193","publisher":"Tehran University of Medical Sciences","source":"cjn.tums.ac.ir","title":"Diabetes, hypertension, smoking, and hyperlipidemia as risk factors for spontaneous cervical artery dissection: Meta-analysis of case-control studies","title-short":"Diabetes, hypertension, smoking, and hyperlipidemia as risk factors for spontaneous cervical artery dissection","URL":"http://cjn.tums.ac.ir/article_40033.html","volume":"21","author":[{"family":"Abdelnour","given":"Loay Hassan"},{"family":"Abdalla","given":"Mohamed Eltahir"},{"family":"Elhassan","given":"Samah"},{"family":"Kheirelseid","given":"Elrasheid Ahmed Hassan"}],"accessed":{"date-parts":[["2023",3,11]]},"issued":{"date-parts":[["2022",7,1]]}}},{"id":28510,"uris":["http://zotero.org/users/1179918/items/RLXA6589"],"itemData":{"id":28510,"type":"article-journal","abstract":"OBJECTIVE: Epidemiological data to characterize the individual risk profile of patients with spontaneous cervical artery dissection (sCeAD) are rather inconsistent.\nMETHODS AND RESULTS: In the setting of the Italian Project on Stroke in Young Adults Cervical Artery Dissection (IPSYS CeAD), we compared the characteristics of 1,468 patients with sCeAD (mean age = 47.3 ± 11.3 years, men = 56.7%) prospectively recruited at 39 Italian centers with those of 2 control groups, composed of (1) patients whose ischemic stroke was caused by mechanisms other than dissection (non-CeAD IS) selected from the prospective IPSYS registry and Brescia Stroke Registry and (2) stroke-free individuals selected from the staff members of participating hospitals, matched 1:1:1 by sex, age, and race. Compared to stroke-free subjects, patients with sCeAD were more likely to be hypertensive (odds ratio [OR] = 1.65, 95% confidence interval [CI] = 1.37-1.98), to have personal history of migraine with aura (OR = 2.45, 95% CI = 1.74-3.34), without aura (OR = 2.67, 95% CI = 2.15-3.32), and family history of vascular disease in first-degree relatives (OR = 1.69, 95% CI = 1.39-2.05), and less likely to be diabetic (OR = 0.65, 95% CI = 0.47-0.91), hypercholesterolemic (OR = 0.75, 95% CI = 0.62-0.91), and obese (OR = 0.41, 95% CI = 0.31-0.54). Migraine without aura was also associated with sCeAD (OR = 1.81, 95% CI = 1.47-2.22) in comparison with patients with non-CeAD IS. In the subgroup of patients with migraine, patients with sCeAD had higher frequency of migraine attacks and were less likely to take anti-migraine preventive medications, especially beta-blockers, compared with the other groups.\nINTERPRETATION: The risk of sCeAD is influenced by migraine, especially migraine without aura, more than by other factors, increases with increasing frequency of attacks, and seems to be reduced by migraine preventive medications, namely beta-blockers. ANN NEUROL 2023;94:585-595.","container-title":"Annals of Neurology","DOI":"10.1002/ana.26717","ISSN":"1531-8249","issue":"3","journalAbbreviation":"Ann Neurol","language":"eng","page":"585-595","PMID":"37272282","source":"PubMed","title":"Risk Profile of Patients with Spontaneous Cervical Artery Dissection","volume":"94","author":[{"family":"Del Zotto","given":"Elisabetta"},{"family":"Grassi","given":"Mario"},{"family":"Zedde","given":"Marialuisa"},{"family":"Zini","given":"Andrea"},{"family":"Bersano","given":"Anna"},{"family":"Gandolfo","given":"Carlo"},{"family":"Silvestrelli","given":"Giorgio"},{"family":"Baracchini","given":"Claudio"},{"family":"Cerrato","given":"Paolo"},{"family":"Lodigiani","given":"Corrado"},{"family":"Marcheselli","given":"Simona"},{"family":"Paciaroni","given":"Maurizio"},{"family":"Spalloni","given":"Alessandra"},{"family":"Cappellari","given":"Manuel"},{"family":"Del Sette","given":"Massimo"},{"family":"Cavallini","given":"Anna"},{"family":"Lotti","given":"Enrico Maria"},{"family":"Delodovici","given":"Maria Luisa"},{"family":"Gentile","given":"Mauro"},{"family":"Magoni","given":"Mauro"},{"family":"Padroni","given":"Marina"},{"family":"Azzini","given":"Cristiano"},{"family":"Calloni","given":"Maria Vittoria"},{"family":"Giorli","given":"Elisa"},{"family":"Braga","given":"Massimiliano"},{"family":"La Spina","given":"Paolo"},{"family":"Melis","given":"Fabio"},{"family":"Tassi","given":"Rossana"},{"family":"Terruso","given":"Valeria"},{"family":"Calabrò","given":"Rocco Salvatore"},{"family":"Piras","given":"Valeria"},{"family":"Giossi","given":"Alessia"},{"family":"Sanguigni","given":"Sandro"},{"family":"Zanferrari","given":"Carla"},{"family":"Mannino","given":"Marina"},{"family":"Colombo","given":"Irene"},{"family":"Dallocchio","given":"Carlo"},{"family":"Nencini","given":"Patrizia"},{"family":"Bignamini","given":"Valeria"},{"family":"Adami","given":"Alessandro"},{"family":"Bella","given":"Rita"},{"family":"Pascarella","given":"Rosario"},{"family":"Keser","given":"Zafer"},{"family":"Pezzini","given":"Alessandro"},{"literal":"Italian Project on Stroke in Young Adults-Cervical Artery Dissection, (IPSYS CeAD) Research Group"}],"issued":{"date-parts":[["2023",9]]}}}],"schema":"https://github.com/citation-style-language/schema/raw/master/csl-citation.json"}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[13,16]</w:t>
            </w:r>
            <w:r w:rsidRPr="002E5C2D">
              <w:rPr>
                <w:rFonts w:cstheme="minorHAnsi"/>
                <w:color w:val="202124"/>
                <w:szCs w:val="18"/>
                <w:shd w:val="clear" w:color="auto" w:fill="FFFFFF"/>
              </w:rPr>
              <w:fldChar w:fldCharType="end"/>
            </w:r>
          </w:p>
        </w:tc>
      </w:tr>
      <w:tr w:rsidR="004D3EB4" w:rsidRPr="002E5C2D" w14:paraId="430E6405" w14:textId="77777777" w:rsidTr="00160F73">
        <w:trPr>
          <w:gridAfter w:val="1"/>
          <w:wAfter w:w="12" w:type="dxa"/>
          <w:trHeight w:val="222"/>
        </w:trPr>
        <w:tc>
          <w:tcPr>
            <w:tcW w:w="1600" w:type="dxa"/>
          </w:tcPr>
          <w:p w14:paraId="069A8637"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HS200 (VA)</w:t>
            </w:r>
          </w:p>
        </w:tc>
        <w:tc>
          <w:tcPr>
            <w:tcW w:w="5206" w:type="dxa"/>
          </w:tcPr>
          <w:p w14:paraId="711BA692"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t>Contraceptives, systemic</w:t>
            </w:r>
          </w:p>
        </w:tc>
        <w:tc>
          <w:tcPr>
            <w:tcW w:w="1074" w:type="dxa"/>
          </w:tcPr>
          <w:p w14:paraId="4CD230E4"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36AA6C6D" w14:textId="60ED16DF" w:rsidR="004D3EB4" w:rsidRPr="002E5C2D" w:rsidRDefault="004D3EB4" w:rsidP="00160F73">
            <w:pPr>
              <w:keepNext/>
              <w:keepLines/>
              <w:spacing w:after="100" w:afterAutospacing="1" w:line="20" w:lineRule="atLeast"/>
              <w:rPr>
                <w:rFonts w:cstheme="minorHAnsi"/>
                <w:b/>
                <w:bCs/>
                <w:szCs w:val="18"/>
              </w:rPr>
            </w:pPr>
            <w:r w:rsidRPr="002E5C2D">
              <w:rPr>
                <w:rFonts w:cstheme="minorHAnsi"/>
                <w:szCs w:val="18"/>
              </w:rPr>
              <w:fldChar w:fldCharType="begin"/>
            </w:r>
            <w:r w:rsidR="003E6EF5">
              <w:rPr>
                <w:rFonts w:cstheme="minorHAnsi"/>
                <w:szCs w:val="18"/>
              </w:rPr>
              <w:instrText xml:space="preserve"> ADDIN ZOTERO_ITEM CSL_CITATION {"citationID":"ApdX87VD","properties":{"formattedCitation":"[25,26]","plainCitation":"[25,26]","noteIndex":0},"citationItems":[{"id":26798,"uris":["http://zotero.org/users/1179918/items/JHS6GLTJ"],"itemData":{"id":26798,"type":"article-journal","abstract":"SYNOPSIS A case control study technique was employed to test for an association between non-traumatic cervical artery dissection and several possible risk factors. A significant positive association was shown with migraine, independent of type and treatment regimen. No such relationship was found with smoking history, hypertension or past oral contraceptive use. There was, however a significant and independent association with current oral contraceptive use.","container-title":"Headache: The Journal of Head and Face Pain","DOI":"10.1111/j.1526-4610.1989.hed2909560.x","ISSN":"1526-4610","issue":"9","language":"en","note":"_eprint: https://onlinelibrary.wiley.com/doi/pdf/10.1111/j.1526-4610.1989.hed2909560.x","page":"560-561","source":"Wiley Online Library","title":"Migraine - A Risk Factor for Dissection of Cervical Arteries","URL":"https://onlinelibrary.wiley.com/doi/abs/10.1111/j.1526-4610.1989.hed2909560.x","volume":"29","author":[{"family":"D'Anglejan-Chatillon","given":"J."},{"family":"Ribeiro","given":"V."},{"family":"Mas","given":"J.l."},{"family":"Youl","given":"B.d."},{"family":"Bousser","given":"M.g."}],"accessed":{"date-parts":[["2024",6,15]]},"issued":{"date-parts":[["1989"]]}}},{"id":28194,"uris":["http://zotero.org/users/1179918/items/8EU2KFYJ"],"itemData":{"id":28194,"type":"article-journal","abstract":"BACKGROUND: To date, research has identified positive associations between combined oral contraceptives (COCs) and adverse vascular events, however, evidence regarding the possible association with cervical artery dissection (CeAD) remains limited. We tested the hypothesis of a positive association between COCs and CeAD within one year following COC initiation compared to matched controls initiating intrauterine devices (IUDs), as measured by risk ratio (RR).\nMETHODS: We queried de-identified United States health records data (TriNetX, Inc.) from 2014 to 2024 for females aged 15-50 years without previous cerebrovascular disease or CeAD, creating mutually exclusive cohorts initiating either COCs or IUDs. We used propensity matching to control for variables associated with CeAD. Our primary outcome included the RR for CeAD within one year follow-up. We secondarily explored cumulative CeAD incidence and RR of stroke, also examining outcomes for females with ≥2 COC prescriptions (COC2).\nRESULTS: After matching there were 214,020 patients per cohort (mean age 31 years). The incidence and risk of CeAD was greater among those prescribed COCs compared to matched controls with IUDs [95 % CI] (COCs: 0.016 %, IUDs: 0.008 %; RR 1.94 [1.10,3.43]; P = 0.0195). A similar association was observed for stroke (COCs: 0.106 %, IUDs: 0.057 %; RR = 1.86 [1.49,2.32]; P &lt; 0.0001). The secondary COC2 analysis revealed similar findings.\nCONCLUSIONS: The present findings suggest that females prescribed COCs have an increased risk of CeAD and stroke compared to matched controls using IUDs. These observations should be viewed as preliminary, require corroboration by other studies, and in isolation do not replace the broader clinical and shared decision-making regarding contraceptive use.","container-title":"Thrombosis Research","DOI":"10.1016/j.thromres.2025.109279","ISSN":"1879-2472","journalAbbreviation":"Thromb Res","language":"eng","page":"109279","PMID":"39923282","source":"PubMed","title":"Association between combined oral contraceptive prescription and cervical artery dissection: A retrospective cohort study","title-short":"Association between combined oral contraceptive prescription and cervical artery dissection","volume":"247","author":[{"family":"Trager","given":"Robert J."},{"family":"Haering","given":"Catherine P."},{"family":"Baumann","given":"Anthony N."},{"family":"Wright","given":"Debbie S."}],"issued":{"date-parts":[["2025",2,7]]}}}],"schema":"https://github.com/citation-style-language/schema/raw/master/csl-citation.json"} </w:instrText>
            </w:r>
            <w:r w:rsidRPr="002E5C2D">
              <w:rPr>
                <w:rFonts w:cstheme="minorHAnsi"/>
                <w:szCs w:val="18"/>
              </w:rPr>
              <w:fldChar w:fldCharType="separate"/>
            </w:r>
            <w:r w:rsidR="006E0AEA" w:rsidRPr="006E0AEA">
              <w:rPr>
                <w:rFonts w:ascii="Calibri" w:hAnsi="Calibri" w:cs="Calibri"/>
              </w:rPr>
              <w:t>[25,26]</w:t>
            </w:r>
            <w:r w:rsidRPr="002E5C2D">
              <w:rPr>
                <w:rFonts w:cstheme="minorHAnsi"/>
                <w:szCs w:val="18"/>
              </w:rPr>
              <w:fldChar w:fldCharType="end"/>
            </w:r>
          </w:p>
        </w:tc>
      </w:tr>
      <w:tr w:rsidR="004D3EB4" w:rsidRPr="002E5C2D" w14:paraId="7F2FCBF3" w14:textId="77777777" w:rsidTr="00160F73">
        <w:trPr>
          <w:gridAfter w:val="1"/>
          <w:wAfter w:w="12" w:type="dxa"/>
          <w:trHeight w:val="300"/>
        </w:trPr>
        <w:tc>
          <w:tcPr>
            <w:tcW w:w="1600" w:type="dxa"/>
          </w:tcPr>
          <w:p w14:paraId="1A1FE62A" w14:textId="77777777" w:rsidR="004D3EB4" w:rsidRPr="002E5C2D" w:rsidRDefault="004D3EB4" w:rsidP="00160F73">
            <w:pPr>
              <w:keepNext/>
              <w:keepLines/>
              <w:spacing w:after="100" w:afterAutospacing="1" w:line="20" w:lineRule="atLeast"/>
              <w:ind w:firstLine="70"/>
              <w:rPr>
                <w:rFonts w:cstheme="minorHAnsi"/>
                <w:szCs w:val="18"/>
              </w:rPr>
            </w:pPr>
            <w:r w:rsidRPr="002E5C2D">
              <w:rPr>
                <w:rFonts w:cstheme="minorHAnsi"/>
                <w:szCs w:val="18"/>
              </w:rPr>
              <w:t>AM400 (VA)</w:t>
            </w:r>
          </w:p>
        </w:tc>
        <w:tc>
          <w:tcPr>
            <w:tcW w:w="5206" w:type="dxa"/>
          </w:tcPr>
          <w:p w14:paraId="54CDA4A2" w14:textId="77777777" w:rsidR="004D3EB4" w:rsidRPr="002E5C2D" w:rsidRDefault="004D3EB4" w:rsidP="00160F73">
            <w:pPr>
              <w:keepNext/>
              <w:keepLines/>
              <w:spacing w:after="100" w:afterAutospacing="1" w:line="20" w:lineRule="atLeast"/>
              <w:rPr>
                <w:rFonts w:cstheme="minorHAnsi"/>
                <w:szCs w:val="18"/>
              </w:rPr>
            </w:pPr>
            <w:r w:rsidRPr="002E5C2D">
              <w:rPr>
                <w:rFonts w:cstheme="minorHAnsi"/>
                <w:szCs w:val="18"/>
              </w:rPr>
              <w:t>Quinolones (includes fluoroquinolones)</w:t>
            </w:r>
          </w:p>
        </w:tc>
        <w:tc>
          <w:tcPr>
            <w:tcW w:w="1074" w:type="dxa"/>
          </w:tcPr>
          <w:p w14:paraId="7031D0B6" w14:textId="77777777" w:rsidR="004D3EB4" w:rsidRPr="002E5C2D" w:rsidRDefault="004D3EB4" w:rsidP="00160F73">
            <w:pPr>
              <w:keepNext/>
              <w:keepLines/>
              <w:spacing w:after="100" w:afterAutospacing="1" w:line="20" w:lineRule="atLeast"/>
              <w:rPr>
                <w:rFonts w:cstheme="minorHAnsi"/>
                <w:b/>
                <w:bCs/>
                <w:szCs w:val="18"/>
              </w:rPr>
            </w:pPr>
            <w:r w:rsidRPr="002E5C2D">
              <w:rPr>
                <w:rFonts w:ascii="Cambria Math" w:hAnsi="Cambria Math" w:cs="Cambria Math"/>
                <w:b/>
                <w:bCs/>
                <w:szCs w:val="18"/>
              </w:rPr>
              <w:t>⬆</w:t>
            </w:r>
          </w:p>
        </w:tc>
        <w:tc>
          <w:tcPr>
            <w:tcW w:w="1341" w:type="dxa"/>
          </w:tcPr>
          <w:p w14:paraId="4220CB9B" w14:textId="3029C2D0" w:rsidR="004D3EB4" w:rsidRPr="002E5C2D" w:rsidRDefault="004D3EB4" w:rsidP="00160F73">
            <w:pPr>
              <w:keepNext/>
              <w:keepLines/>
              <w:spacing w:after="100" w:afterAutospacing="1" w:line="20" w:lineRule="atLeast"/>
              <w:rPr>
                <w:rFonts w:cstheme="minorHAnsi"/>
                <w:color w:val="202124"/>
                <w:szCs w:val="18"/>
                <w:shd w:val="clear" w:color="auto" w:fill="FFFFFF"/>
              </w:rPr>
            </w:pPr>
            <w:r w:rsidRPr="002E5C2D">
              <w:rPr>
                <w:rFonts w:cstheme="minorHAnsi"/>
                <w:color w:val="202124"/>
                <w:szCs w:val="18"/>
                <w:shd w:val="clear" w:color="auto" w:fill="FFFFFF"/>
              </w:rPr>
              <w:fldChar w:fldCharType="begin"/>
            </w:r>
            <w:r w:rsidR="003E6EF5">
              <w:rPr>
                <w:rFonts w:cstheme="minorHAnsi"/>
                <w:color w:val="202124"/>
                <w:szCs w:val="18"/>
                <w:shd w:val="clear" w:color="auto" w:fill="FFFFFF"/>
              </w:rPr>
              <w:instrText xml:space="preserve"> ADDIN ZOTERO_ITEM CSL_CITATION {"citationID":"rSQOI8Q8","properties":{"formattedCitation":"[27]","plainCitation":"[27]","noteIndex":0},"citationItems":[{"id":112,"uris":["http://zotero.org/users/1179918/items/YWUPXPF8"],"itemData":{"id":112,"type":"article-journal","abstract":"Background and purpose Because of their potential to alter the integrity of collagen and other components of the extracellular matrix, fluoroquinolone antibiotics might be involved in the pathogenesis of spontaneous cervical artery dissection (sCeAD). Methods In the setting of a single-centre case–control study, whether fluoroquinolone use in the 30-day period before the index event is associated with sCeAD (cases) in comparison with a group of age- and sex-matched patients who suffered a first-ever acute cerebral infarction from a cause other than CeAD (non-CeAD IS, controls) was assessed. Results Overall, 284 cases (mean age 43.2 ± 10.4 years; 58.5% men) and 568 controls qualified for the analysis. Thirty (10.6%) patients in the sCeAD group and 16 (2.8%) in the non-CeAD IS group were fluoroquinolone users (P ≤ 0.001). The use of these antibiotics was associated with a more than two-fold increased risk of sCeAD [odds ratio (OR) 2.31; 95% confidence interval (CI) 1.00–5.30] after adjusting for confounders. The risk was more substantial in the subgroup of patients with dissection involving the carotid artery (OR 2.78; 95% CI 1.14–6.78), in females (OR 4.58; 95% CI 1.04–20.1) and compared to that conferred by other antibiotics (OR 2.42; 95% CI 1.02–5.75). Conclusions Fluoroquinolones may represent a novel contributing factor involved in the pathogenesis of sCeAD.","container-title":"European Journal of Neurology","DOI":"https://doi.org/10.1111/ene.13917","ISSN":"1468-1331","issue":"7","journalAbbreviation":"Eur. J. Neurol.","language":"en","license":"© 2019 EAN","note":"_eprint: https://onlinelibrary.wiley.com/doi/pdf/10.1111/ene.13917","page":"1028-1031","source":"Wiley Online Library","title":"Use of fluoroquinolones and the risk of spontaneous cervical artery dissection","URL":"https://onlinelibrary.wiley.com/doi/abs/10.1111/ene.13917","volume":"26","author":[{"family":"Zotto","given":"E. Del"},{"family":"Pezzini","given":"A."}],"accessed":{"date-parts":[["2021",4,28]]},"issued":{"date-parts":[["2019"]]}}}],"schema":"https://github.com/citation-style-language/schema/raw/master/csl-citation.json"} </w:instrText>
            </w:r>
            <w:r w:rsidRPr="002E5C2D">
              <w:rPr>
                <w:rFonts w:cstheme="minorHAnsi"/>
                <w:color w:val="202124"/>
                <w:szCs w:val="18"/>
                <w:shd w:val="clear" w:color="auto" w:fill="FFFFFF"/>
              </w:rPr>
              <w:fldChar w:fldCharType="separate"/>
            </w:r>
            <w:r w:rsidR="006E0AEA" w:rsidRPr="006E0AEA">
              <w:rPr>
                <w:rFonts w:ascii="Calibri" w:hAnsi="Calibri" w:cs="Calibri"/>
              </w:rPr>
              <w:t>[27]</w:t>
            </w:r>
            <w:r w:rsidRPr="002E5C2D">
              <w:rPr>
                <w:rFonts w:cstheme="minorHAnsi"/>
                <w:color w:val="202124"/>
                <w:szCs w:val="18"/>
                <w:shd w:val="clear" w:color="auto" w:fill="FFFFFF"/>
              </w:rPr>
              <w:fldChar w:fldCharType="end"/>
            </w:r>
          </w:p>
        </w:tc>
      </w:tr>
    </w:tbl>
    <w:p w14:paraId="113BC1F6" w14:textId="77777777" w:rsidR="004D3EB4" w:rsidRDefault="004D3EB4" w:rsidP="00472A53"/>
    <w:p w14:paraId="06444889" w14:textId="3A913C54" w:rsidR="00F80531" w:rsidRDefault="00AA3EE8" w:rsidP="00F80531">
      <w:pPr>
        <w:keepNext/>
        <w:jc w:val="center"/>
      </w:pPr>
      <w:r>
        <w:rPr>
          <w:noProof/>
        </w:rPr>
        <w:lastRenderedPageBreak/>
        <w:drawing>
          <wp:inline distT="0" distB="0" distL="0" distR="0" wp14:anchorId="010FAC85" wp14:editId="3D09AE87">
            <wp:extent cx="5461951" cy="4097547"/>
            <wp:effectExtent l="0" t="0" r="5715" b="0"/>
            <wp:docPr id="252378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1642" cy="4104817"/>
                    </a:xfrm>
                    <a:prstGeom prst="rect">
                      <a:avLst/>
                    </a:prstGeom>
                    <a:noFill/>
                    <a:ln>
                      <a:noFill/>
                    </a:ln>
                  </pic:spPr>
                </pic:pic>
              </a:graphicData>
            </a:graphic>
          </wp:inline>
        </w:drawing>
      </w:r>
    </w:p>
    <w:p w14:paraId="049F5AA2" w14:textId="4514F9A6" w:rsidR="00F80531" w:rsidRDefault="00F80531" w:rsidP="00F80531">
      <w:pPr>
        <w:pStyle w:val="Heading1"/>
      </w:pPr>
      <w:bookmarkStart w:id="4" w:name="_Toc236836423"/>
      <w:r>
        <w:t>Figure S</w:t>
      </w:r>
      <w:r w:rsidR="00BF0BD4">
        <w:t>2</w:t>
      </w:r>
      <w:r>
        <w:t>:</w:t>
      </w:r>
      <w:r w:rsidRPr="00CD0894">
        <w:t xml:space="preserve"> </w:t>
      </w:r>
      <w:r>
        <w:t>Directed acyclic graph</w:t>
      </w:r>
      <w:bookmarkEnd w:id="4"/>
    </w:p>
    <w:p w14:paraId="3B3EB301" w14:textId="17ADEB9B" w:rsidR="000C101B" w:rsidRPr="000C101B" w:rsidRDefault="000C101B" w:rsidP="000C101B">
      <w:pPr>
        <w:rPr>
          <w:i/>
        </w:rPr>
      </w:pPr>
      <w:r w:rsidRPr="000C101B">
        <w:rPr>
          <w:i/>
        </w:rPr>
        <w:t xml:space="preserve">This graph maps potential causal relationships between exposures of spinal manipulative therapy (SMT) or ibuprofen (square □), other confounders (circles ○), and cervical artery dissection (CeAD, triangle </w:t>
      </w:r>
      <w:r w:rsidRPr="000C101B">
        <w:rPr>
          <w:rFonts w:ascii="Cambria Math" w:hAnsi="Cambria Math" w:cs="Cambria Math"/>
          <w:i/>
        </w:rPr>
        <w:t>△</w:t>
      </w:r>
      <w:r w:rsidRPr="000C101B">
        <w:rPr>
          <w:i/>
        </w:rPr>
        <w:t xml:space="preserve">). Circles represent confounders that are controlled for via matching (i.e., medications, comorbidities, migraine, socioeconomic status [SES], age, and sex). Some confounders also influence selection bias due to having an association with likelihood of using SMT </w:t>
      </w:r>
      <w:r w:rsidRPr="000C101B">
        <w:rPr>
          <w:i/>
        </w:rPr>
        <w:fldChar w:fldCharType="begin"/>
      </w:r>
      <w:r w:rsidR="009A2DC2">
        <w:rPr>
          <w:i/>
        </w:rPr>
        <w:instrText xml:space="preserve"> ADDIN ZOTERO_ITEM CSL_CITATION {"citationID":"idJ7wIAr","properties":{"formattedCitation":"[28,29]","plainCitation":"[28,29]","noteIndex":0},"citationItems":[{"id":28267,"uris":["http://zotero.org/users/1179918/items/MLQ2F3AJ","http://zotero.org/users/1179918/items/39DMAERK"],"itemData":{"id":28267,"type":"article-journal","abstract":"STUDY DESIGN: Secondary analysis of longitudinal population-based survey data.\nOBJECTIVES: To investigate factors associated with care seeking for physician-referred physical therapy (MD/PT), as compared to physician-only (MD) or chiropractic-only (DC) care for spinal pain.\nBACKGROUND: Although a large proportion of ambulatory physical therapy visits are related to spinal pain, physical therapists are not the most commonly seen provider. The majority of visits are to physicians, followed by chiropractors. We attempted to understand more about this disparity by examining social and demographic factors that differentiate between persons who see these providers.\nMETHODS: Episodes of care were constructed from participants in 2 panels from the Medical Expenditure Panel Survey who had spinal pain. The provider of care was identified for each episode, and logistic regression was used to determine factors associated with MD/PT use compared to MD use, and MD/PT use compared to DC use.\nRESULTS: The majority of patients (61%) received MD care for spinal pain, followed by those who received DC (28%) and MD/PT (11%) care. Female sex, higher levels of education, and higher income were significantly associated with MD/PT care over MD care. Increased age, female sex, lower self-health rating, and presence of at least 1 disability day were all significantly associated with MD/PT care over DC care.\nCONCLUSION: Sociodemographic and clinical factors are associated with those who get MD/PT care as compared to MD or DC care. We found evidence of an access disparity for physical therapy and identified population characteristics that both increase and reduce the likelihood of physical therapy service use.","container-title":"The Journal of Orthopaedic and Sports Physical Therapy","DOI":"10.2519/jospt.2011.3637","ISSN":"1938-1344","issue":"7","journalAbbreviation":"J Orthop Sports Phys Ther","language":"eng","page":"467-476","PMID":"21654096","source":"PubMed","title":"Factors associated with care seeking from physicians, physical therapists, or chiropractors by persons with spinal pain: a population-based study","title-short":"Factors associated with care seeking from physicians, physical therapists, or chiropractors by persons with spinal pain","volume":"41","author":[{"family":"Chevan","given":"Julia"},{"family":"Riddle","given":"Daniel L."}],"issued":{"date-parts":[["2011",7]]}}},{"id":17123,"uris":["http://zotero.org/users/1179918/items/DDTMSG7K"],"itemData":{"id":17123,"type":"article-journal","abstract":"Study Design. \n        Secondary analysis of a national survey.\n        Objective. \n        The aim of this study was to investigate the prevalence, patterns, and predictors of chiropractic utilization in the US general population.\n        Summary of Background Data. \n        Chiropractic is one of the largest manual therapy professions in the United States and internationally. Very few details have been reported about the use of chiropractic care in the United States in recent years.\n        Methods. \n        Cross-sectional data from the 2012 National Health Interview Survey (n = 34,525) were analyzed to examine the lifetime and 12-month prevalence and utilization patterns of chiropractic use, profile of chiropractic users, and health-related predictors of chiropractic consultations.\n        Results. \n        Lifetime and 12-month prevalence of chiropractic use were 24.0% and 8.4%, respectively. There is a growing trend of chiropractic use among US adults from 2002 to 2012. Back pain (63.0%) and neck pain (30.2%) were the most prevalent health problems for chiropractic consultations and the majority of users reported chiropractic helping a great deal with their health problem and improving overall health or well-being. A substantial number of chiropractic users had received prescription (23.0%) and/or over-the-counter medications (35.0%) for the same health problem for which chiropractic was sought and 63.8% reported chiropractic care combined with medical treatment as helpful. Both adults older than 30 years (compared to younger adults), and those diagnosed with spinal pain (compared to those without spinal pain) were more likely to have consulted a chiropractor in the past 12 months.\n        Conclusion. \n        A substantial proportion of US adults utilized chiropractic services during the past 12 months and reported associated positive outcomes for overall well-being and/or specific health problems for which concurrent conventional care was common. Studies on the current patient integration of chiropractic and conventional health services are warranted.\n        Level of Evidence: 3","container-title":"Spine","DOI":"10.1097/BRS.0000000000002218","ISSN":"0362-2436","issue":"23","language":"en-US","page":"1810–1816","source":"journals.lww.com","title":"The Prevalence, Patterns, and Predictors of Chiropractic Use Among US Adults: Results From the 2012 National Health Interview Survey","title-short":"The Prevalence, Patterns, and Predictors of Chiropractic Use Among US Adults","URL":"https://journals.lww.com/spinejournal/fulltext/2017/12010/The_Prevalence,_Patterns,_and_Predictors_of.17.aspx?casa_token=oMHfwmmwhr4AAAAA:Um4fchW_AzLh1aZzQ2GI3nljXLf6qWENRcuAknv1iHpAHELXziQ3yrrxLYVx30EY0JA9wCJ0ZSj7YLRwDW16MJ-H","volume":"42","author":[{"family":"Adams","given":"Jon"},{"family":"Peng","given":"Wenbo"},{"family":"Cramer","given":"Holger"},{"family":"Sundberg","given":"Tobias"},{"family":"Moore","given":"Craig"},{"family":"Amorin-Woods","given":"Lyndon"},{"family":"Sibbritt","given":"David"},{"family":"Lauche","given":"Romy"}],"accessed":{"date-parts":[["2022",9,15]]},"issued":{"date-parts":[["2017",12,1]]}}}],"schema":"https://github.com/citation-style-language/schema/raw/master/csl-citation.json"} </w:instrText>
      </w:r>
      <w:r w:rsidRPr="000C101B">
        <w:rPr>
          <w:i/>
        </w:rPr>
        <w:fldChar w:fldCharType="separate"/>
      </w:r>
      <w:r w:rsidR="009A2DC2" w:rsidRPr="009A2DC2">
        <w:rPr>
          <w:rFonts w:cs="Arial"/>
        </w:rPr>
        <w:t>[28,29]</w:t>
      </w:r>
      <w:r w:rsidRPr="000C101B">
        <w:rPr>
          <w:i/>
        </w:rPr>
        <w:fldChar w:fldCharType="end"/>
      </w:r>
      <w:r w:rsidRPr="000C101B">
        <w:rPr>
          <w:i/>
        </w:rPr>
        <w:t xml:space="preserve">. Arrows indicate causal directions. Graph created using dagitty and ggdag in R </w:t>
      </w:r>
      <w:r w:rsidRPr="000C101B">
        <w:rPr>
          <w:i/>
        </w:rPr>
        <w:fldChar w:fldCharType="begin"/>
      </w:r>
      <w:r w:rsidR="009A2DC2">
        <w:rPr>
          <w:i/>
        </w:rPr>
        <w:instrText xml:space="preserve"> ADDIN ZOTERO_ITEM CSL_CITATION {"citationID":"fSXYgzAZ","properties":{"formattedCitation":"[30,31]","plainCitation":"[30,31]","noteIndex":0},"citationItems":[{"id":28240,"uris":["http://zotero.org/users/1179918/items/F5BWWVHL"],"itemData":{"id":28240,"type":"article-journal","abstract":"Directed acyclic graphs (DAGs), which offer systematic representations of causal relationships, have become an established framework for the analysis of causal inference in epidemiology, often being used to determine covariate adjustment sets for minimizing confounding bias. DAGitty is a popular web application for drawing and analysing DAGs. Here we introduce the R package 'dagitty', which provides access to all of the capabilities of the DAGitty web application within the R platform for statistical computing, and also offers several new functions. We describe how the R package 'dagitty' can be used to: evaluate whether a DAG is consistent with the dataset it is intended to represent; enumerate 'statistically equivalent' but causally different DAGs; and identify exposure-outcome adjustment sets that are valid for causally different but statistically equivalent DAGs. This functionality enables epidemiologists to detect causal misspecifications in DAGs and make robust inferences that remain valid for a range of different DAGs. The R package 'dagitty' is available through the comprehensive R archive network (CRAN) at [https://cran.r-project.org/web/packages/dagitty/]. The source code is available on github at [https://github.com/jtextor/dagitty]. The web application 'DAGitty' is free software, licensed under the GNU general public licence (GPL) version 2 and is available at [http://dagitty.net/].","container-title":"International Journal of Epidemiology","DOI":"10.1093/ije/dyw341","ISSN":"1464-3685","issue":"6","journalAbbreviation":"Int J Epidemiol","language":"eng","page":"1887-1894","PMID":"28089956","source":"PubMed","title":"Robust causal inference using directed acyclic graphs: the R package 'dagitty'","title-short":"Robust causal inference using directed acyclic graphs","volume":"45","author":[{"family":"Textor","given":"Johannes"},{"family":"Zander","given":"Benito","non-dropping-particle":"van der"},{"family":"Gilthorpe","given":"Mark S."},{"family":"Liskiewicz","given":"Maciej"},{"family":"Ellison","given":"George Th"}],"issued":{"date-parts":[["2016",12,1]]}}},{"id":28243,"uris":["http://zotero.org/users/1179918/items/MQJYFZFZ"],"itemData":{"id":28243,"type":"book","title":"ggdag: Analyze and Create Elegant Directed Acyclic Graphs","URL":"https://github.com/r-causal/ggdag","author":[{"family":"Barrett","given":"Malcolm"}],"issued":{"date-parts":[["2024"]]}}}],"schema":"https://github.com/citation-style-language/schema/raw/master/csl-citation.json"} </w:instrText>
      </w:r>
      <w:r w:rsidRPr="000C101B">
        <w:rPr>
          <w:i/>
        </w:rPr>
        <w:fldChar w:fldCharType="separate"/>
      </w:r>
      <w:r w:rsidR="009A2DC2" w:rsidRPr="009A2DC2">
        <w:rPr>
          <w:rFonts w:cs="Arial"/>
        </w:rPr>
        <w:t>[30,31]</w:t>
      </w:r>
      <w:r w:rsidRPr="000C101B">
        <w:rPr>
          <w:i/>
        </w:rPr>
        <w:fldChar w:fldCharType="end"/>
      </w:r>
      <w:r w:rsidRPr="000C101B">
        <w:rPr>
          <w:i/>
        </w:rPr>
        <w:t>.</w:t>
      </w:r>
    </w:p>
    <w:p w14:paraId="61C60F42" w14:textId="77777777" w:rsidR="00F80531" w:rsidRDefault="00F80531" w:rsidP="00472A53"/>
    <w:p w14:paraId="511A88C4" w14:textId="56A987D6" w:rsidR="00030B1D" w:rsidRDefault="00030B1D" w:rsidP="00030B1D">
      <w:pPr>
        <w:pStyle w:val="Heading1"/>
      </w:pPr>
      <w:bookmarkStart w:id="5" w:name="_Toc236836424"/>
      <w:r>
        <w:t>Table S</w:t>
      </w:r>
      <w:r w:rsidR="009B6CB3">
        <w:t>4</w:t>
      </w:r>
      <w:r>
        <w:t>: Secondary outcomes</w:t>
      </w:r>
      <w:bookmarkEnd w:id="5"/>
    </w:p>
    <w:p w14:paraId="6B06E3D4" w14:textId="6971E2E6" w:rsidR="00030B1D" w:rsidRDefault="00030B1D" w:rsidP="00030B1D">
      <w:pPr>
        <w:pStyle w:val="NoSpacing"/>
      </w:pPr>
      <w:r>
        <w:t xml:space="preserve">Abbreviations: </w:t>
      </w:r>
      <w:r w:rsidRPr="00FF7F04">
        <w:t>International Classification of Diseases, 10th Revision (ICD-10),</w:t>
      </w:r>
      <w:r>
        <w:t xml:space="preserve"> ICD-10 Procedure Coding System (ICD-10-PCS); Current Procedural Terminology (CPT); </w:t>
      </w:r>
      <w:r w:rsidRPr="00581107">
        <w:t>Systematized Nomenclature of Medicine</w:t>
      </w:r>
      <w:r>
        <w:t xml:space="preserve"> (SNOMED); </w:t>
      </w:r>
      <w:r w:rsidRPr="00581107">
        <w:t>normalized names for clinical drugs</w:t>
      </w:r>
      <w:r>
        <w:t xml:space="preserve"> (RxNorm)</w:t>
      </w:r>
    </w:p>
    <w:tbl>
      <w:tblPr>
        <w:tblStyle w:val="TableGridLight"/>
        <w:tblW w:w="0" w:type="auto"/>
        <w:tblLook w:val="04A0" w:firstRow="1" w:lastRow="0" w:firstColumn="1" w:lastColumn="0" w:noHBand="0" w:noVBand="1"/>
      </w:tblPr>
      <w:tblGrid>
        <w:gridCol w:w="2556"/>
        <w:gridCol w:w="5629"/>
      </w:tblGrid>
      <w:tr w:rsidR="00030B1D" w:rsidRPr="00CF0313" w14:paraId="06929A10" w14:textId="77777777" w:rsidTr="007E7CC9">
        <w:trPr>
          <w:trHeight w:val="185"/>
        </w:trPr>
        <w:tc>
          <w:tcPr>
            <w:tcW w:w="2556" w:type="dxa"/>
          </w:tcPr>
          <w:p w14:paraId="025F212C" w14:textId="77777777" w:rsidR="00030B1D" w:rsidRPr="00CF0313" w:rsidRDefault="00030B1D" w:rsidP="00657272">
            <w:pPr>
              <w:keepNext/>
              <w:keepLines/>
              <w:spacing w:after="0"/>
              <w:rPr>
                <w:rFonts w:cs="Arial"/>
                <w:b/>
                <w:bCs/>
                <w:szCs w:val="18"/>
              </w:rPr>
            </w:pPr>
            <w:r w:rsidRPr="00CF0313">
              <w:rPr>
                <w:rFonts w:cs="Arial"/>
                <w:b/>
                <w:bCs/>
                <w:szCs w:val="18"/>
              </w:rPr>
              <w:t>Variable</w:t>
            </w:r>
          </w:p>
        </w:tc>
        <w:tc>
          <w:tcPr>
            <w:tcW w:w="5629" w:type="dxa"/>
          </w:tcPr>
          <w:p w14:paraId="168850DB" w14:textId="77777777" w:rsidR="00030B1D" w:rsidRPr="00CF0313" w:rsidRDefault="00030B1D" w:rsidP="00657272">
            <w:pPr>
              <w:keepNext/>
              <w:keepLines/>
              <w:spacing w:after="0"/>
              <w:rPr>
                <w:rFonts w:cs="Arial"/>
                <w:b/>
                <w:bCs/>
                <w:szCs w:val="18"/>
              </w:rPr>
            </w:pPr>
            <w:r w:rsidRPr="00CF0313">
              <w:rPr>
                <w:rFonts w:cs="Arial"/>
                <w:b/>
                <w:bCs/>
                <w:szCs w:val="18"/>
              </w:rPr>
              <w:t>Description</w:t>
            </w:r>
          </w:p>
        </w:tc>
      </w:tr>
      <w:tr w:rsidR="00030B1D" w:rsidRPr="00CF0313" w14:paraId="758A64E9" w14:textId="77777777" w:rsidTr="007E7CC9">
        <w:trPr>
          <w:trHeight w:val="185"/>
        </w:trPr>
        <w:tc>
          <w:tcPr>
            <w:tcW w:w="8185" w:type="dxa"/>
            <w:gridSpan w:val="2"/>
          </w:tcPr>
          <w:p w14:paraId="412CFA48" w14:textId="77777777" w:rsidR="00030B1D" w:rsidRPr="00CF0313" w:rsidRDefault="00030B1D" w:rsidP="00657272">
            <w:pPr>
              <w:keepNext/>
              <w:keepLines/>
              <w:spacing w:after="0"/>
              <w:rPr>
                <w:rFonts w:cs="Arial"/>
                <w:b/>
                <w:bCs/>
                <w:szCs w:val="18"/>
              </w:rPr>
            </w:pPr>
            <w:r w:rsidRPr="00CF0313">
              <w:rPr>
                <w:rFonts w:cs="Arial"/>
                <w:b/>
                <w:bCs/>
                <w:szCs w:val="18"/>
              </w:rPr>
              <w:t>Cervical artery dissection subtypes</w:t>
            </w:r>
          </w:p>
        </w:tc>
      </w:tr>
      <w:tr w:rsidR="00030B1D" w:rsidRPr="00CF0313" w14:paraId="134C1318" w14:textId="77777777" w:rsidTr="007E7CC9">
        <w:trPr>
          <w:trHeight w:val="185"/>
        </w:trPr>
        <w:tc>
          <w:tcPr>
            <w:tcW w:w="2556" w:type="dxa"/>
          </w:tcPr>
          <w:p w14:paraId="594E26CB" w14:textId="77777777" w:rsidR="00030B1D" w:rsidRPr="00CF0313" w:rsidRDefault="00030B1D" w:rsidP="00657272">
            <w:pPr>
              <w:keepNext/>
              <w:keepLines/>
              <w:spacing w:after="0"/>
              <w:ind w:left="69"/>
              <w:rPr>
                <w:rFonts w:cs="Arial"/>
                <w:b/>
                <w:bCs/>
                <w:szCs w:val="18"/>
              </w:rPr>
            </w:pPr>
            <w:r w:rsidRPr="00CF0313">
              <w:rPr>
                <w:rFonts w:eastAsia="Times New Roman" w:cs="Arial"/>
                <w:color w:val="000000"/>
                <w:szCs w:val="18"/>
              </w:rPr>
              <w:t>I77.71 (ICD-10)</w:t>
            </w:r>
          </w:p>
        </w:tc>
        <w:tc>
          <w:tcPr>
            <w:tcW w:w="5629" w:type="dxa"/>
          </w:tcPr>
          <w:p w14:paraId="2633262B" w14:textId="77777777" w:rsidR="00030B1D" w:rsidRPr="00CF0313" w:rsidRDefault="00030B1D" w:rsidP="00657272">
            <w:pPr>
              <w:keepNext/>
              <w:keepLines/>
              <w:spacing w:after="0"/>
              <w:rPr>
                <w:rFonts w:cs="Arial"/>
                <w:b/>
                <w:bCs/>
                <w:szCs w:val="18"/>
              </w:rPr>
            </w:pPr>
            <w:r w:rsidRPr="00CF0313">
              <w:rPr>
                <w:rFonts w:eastAsia="Times New Roman" w:cs="Arial"/>
                <w:color w:val="000000"/>
                <w:szCs w:val="18"/>
              </w:rPr>
              <w:t xml:space="preserve">Dissection of carotid </w:t>
            </w:r>
            <w:r w:rsidRPr="00CF0313">
              <w:rPr>
                <w:rFonts w:cs="Arial"/>
                <w:szCs w:val="18"/>
              </w:rPr>
              <w:t>artery</w:t>
            </w:r>
          </w:p>
        </w:tc>
      </w:tr>
      <w:tr w:rsidR="00030B1D" w:rsidRPr="00CF0313" w14:paraId="167949AC" w14:textId="77777777" w:rsidTr="007E7CC9">
        <w:trPr>
          <w:trHeight w:val="185"/>
        </w:trPr>
        <w:tc>
          <w:tcPr>
            <w:tcW w:w="2556" w:type="dxa"/>
          </w:tcPr>
          <w:p w14:paraId="68854088" w14:textId="77777777" w:rsidR="00030B1D" w:rsidRPr="00CF0313" w:rsidRDefault="00030B1D" w:rsidP="00657272">
            <w:pPr>
              <w:keepNext/>
              <w:keepLines/>
              <w:spacing w:after="0"/>
              <w:ind w:left="69"/>
              <w:rPr>
                <w:rFonts w:eastAsia="Times New Roman" w:cs="Arial"/>
                <w:color w:val="000000"/>
                <w:szCs w:val="18"/>
              </w:rPr>
            </w:pPr>
            <w:r w:rsidRPr="00CF0313">
              <w:rPr>
                <w:rFonts w:eastAsia="Times New Roman" w:cs="Arial"/>
                <w:color w:val="000000"/>
                <w:szCs w:val="18"/>
              </w:rPr>
              <w:t>I77.74 (ICD-10)</w:t>
            </w:r>
          </w:p>
        </w:tc>
        <w:tc>
          <w:tcPr>
            <w:tcW w:w="5629" w:type="dxa"/>
          </w:tcPr>
          <w:p w14:paraId="5B097FD1" w14:textId="77777777" w:rsidR="00030B1D" w:rsidRPr="00CF0313" w:rsidRDefault="00030B1D" w:rsidP="00657272">
            <w:pPr>
              <w:keepNext/>
              <w:keepLines/>
              <w:spacing w:after="0"/>
              <w:rPr>
                <w:rFonts w:eastAsia="Times New Roman" w:cs="Arial"/>
                <w:color w:val="000000"/>
                <w:szCs w:val="18"/>
              </w:rPr>
            </w:pPr>
            <w:r w:rsidRPr="00CF0313">
              <w:rPr>
                <w:rFonts w:eastAsia="Times New Roman" w:cs="Arial"/>
                <w:color w:val="000000"/>
                <w:szCs w:val="18"/>
              </w:rPr>
              <w:t>Dissection of vertebral artery</w:t>
            </w:r>
          </w:p>
        </w:tc>
      </w:tr>
      <w:tr w:rsidR="00030B1D" w:rsidRPr="00CF0313" w14:paraId="57C1F833" w14:textId="77777777" w:rsidTr="007E7CC9">
        <w:trPr>
          <w:trHeight w:val="185"/>
        </w:trPr>
        <w:tc>
          <w:tcPr>
            <w:tcW w:w="8185" w:type="dxa"/>
            <w:gridSpan w:val="2"/>
          </w:tcPr>
          <w:p w14:paraId="460C0FAB" w14:textId="77777777" w:rsidR="00030B1D" w:rsidRPr="00CF0313" w:rsidRDefault="00030B1D" w:rsidP="00657272">
            <w:pPr>
              <w:keepNext/>
              <w:keepLines/>
              <w:spacing w:after="0"/>
              <w:rPr>
                <w:rFonts w:cs="Arial"/>
                <w:b/>
                <w:bCs/>
                <w:szCs w:val="18"/>
              </w:rPr>
            </w:pPr>
            <w:r w:rsidRPr="00CF0313">
              <w:rPr>
                <w:rFonts w:cs="Arial"/>
                <w:b/>
                <w:bCs/>
                <w:szCs w:val="18"/>
              </w:rPr>
              <w:t>Negative control outcomes</w:t>
            </w:r>
          </w:p>
        </w:tc>
      </w:tr>
      <w:tr w:rsidR="00030B1D" w:rsidRPr="00CF0313" w14:paraId="53900AD2" w14:textId="77777777" w:rsidTr="007E7CC9">
        <w:trPr>
          <w:trHeight w:val="185"/>
        </w:trPr>
        <w:tc>
          <w:tcPr>
            <w:tcW w:w="2556" w:type="dxa"/>
          </w:tcPr>
          <w:p w14:paraId="475B97A4" w14:textId="77777777" w:rsidR="00030B1D" w:rsidRPr="00CF0313" w:rsidRDefault="00030B1D" w:rsidP="00657272">
            <w:pPr>
              <w:keepNext/>
              <w:keepLines/>
              <w:spacing w:after="0"/>
              <w:ind w:left="69"/>
              <w:rPr>
                <w:rFonts w:cs="Arial"/>
                <w:szCs w:val="18"/>
              </w:rPr>
            </w:pPr>
            <w:r w:rsidRPr="00CF0313">
              <w:rPr>
                <w:rFonts w:cs="Arial"/>
                <w:szCs w:val="18"/>
              </w:rPr>
              <w:t>1022231 (CPT)</w:t>
            </w:r>
          </w:p>
        </w:tc>
        <w:tc>
          <w:tcPr>
            <w:tcW w:w="5629" w:type="dxa"/>
          </w:tcPr>
          <w:p w14:paraId="1FD543A0" w14:textId="77777777" w:rsidR="00030B1D" w:rsidRPr="00CF0313" w:rsidRDefault="00030B1D" w:rsidP="00657272">
            <w:pPr>
              <w:keepNext/>
              <w:keepLines/>
              <w:spacing w:after="0"/>
              <w:rPr>
                <w:rFonts w:cs="Arial"/>
                <w:szCs w:val="18"/>
              </w:rPr>
            </w:pPr>
            <w:r w:rsidRPr="00CF0313">
              <w:rPr>
                <w:rFonts w:cs="Arial"/>
                <w:szCs w:val="18"/>
              </w:rPr>
              <w:t>Colonoscopy, flexible</w:t>
            </w:r>
          </w:p>
        </w:tc>
      </w:tr>
      <w:tr w:rsidR="00030B1D" w:rsidRPr="00CF0313" w14:paraId="1041A371" w14:textId="77777777" w:rsidTr="007E7CC9">
        <w:trPr>
          <w:trHeight w:val="370"/>
        </w:trPr>
        <w:tc>
          <w:tcPr>
            <w:tcW w:w="2556" w:type="dxa"/>
          </w:tcPr>
          <w:p w14:paraId="57FBEEE2" w14:textId="77777777" w:rsidR="00030B1D" w:rsidRPr="00CF0313" w:rsidRDefault="00030B1D" w:rsidP="00657272">
            <w:pPr>
              <w:keepNext/>
              <w:keepLines/>
              <w:spacing w:after="0"/>
              <w:ind w:left="69"/>
              <w:rPr>
                <w:rFonts w:cs="Arial"/>
                <w:szCs w:val="18"/>
              </w:rPr>
            </w:pPr>
            <w:r w:rsidRPr="00CF0313">
              <w:rPr>
                <w:rFonts w:cs="Arial"/>
                <w:szCs w:val="18"/>
              </w:rPr>
              <w:t>44970, 1014622 (CPT); 0DTJ (ICD-10-PCS)</w:t>
            </w:r>
          </w:p>
        </w:tc>
        <w:tc>
          <w:tcPr>
            <w:tcW w:w="5629" w:type="dxa"/>
          </w:tcPr>
          <w:p w14:paraId="770830B6" w14:textId="77777777" w:rsidR="00030B1D" w:rsidRPr="00CF0313" w:rsidRDefault="00030B1D" w:rsidP="00657272">
            <w:pPr>
              <w:keepNext/>
              <w:keepLines/>
              <w:spacing w:after="0"/>
              <w:rPr>
                <w:rFonts w:cs="Arial"/>
                <w:szCs w:val="18"/>
              </w:rPr>
            </w:pPr>
            <w:r w:rsidRPr="00CF0313">
              <w:rPr>
                <w:rFonts w:cs="Arial"/>
                <w:szCs w:val="18"/>
              </w:rPr>
              <w:t>Appendectomy</w:t>
            </w:r>
          </w:p>
        </w:tc>
      </w:tr>
      <w:tr w:rsidR="00030B1D" w:rsidRPr="00CF0313" w14:paraId="4AA351FF" w14:textId="77777777" w:rsidTr="007E7CC9">
        <w:trPr>
          <w:trHeight w:val="47"/>
        </w:trPr>
        <w:tc>
          <w:tcPr>
            <w:tcW w:w="2556" w:type="dxa"/>
          </w:tcPr>
          <w:p w14:paraId="4127DA20" w14:textId="77777777" w:rsidR="00030B1D" w:rsidRPr="00CF0313" w:rsidRDefault="00030B1D" w:rsidP="00657272">
            <w:pPr>
              <w:keepNext/>
              <w:keepLines/>
              <w:spacing w:after="0"/>
              <w:ind w:left="69"/>
              <w:rPr>
                <w:rFonts w:cs="Arial"/>
                <w:szCs w:val="18"/>
              </w:rPr>
            </w:pPr>
            <w:r w:rsidRPr="00CF0313">
              <w:rPr>
                <w:rFonts w:cs="Arial"/>
                <w:szCs w:val="18"/>
              </w:rPr>
              <w:t>10120 (CPT)</w:t>
            </w:r>
          </w:p>
        </w:tc>
        <w:tc>
          <w:tcPr>
            <w:tcW w:w="5629" w:type="dxa"/>
          </w:tcPr>
          <w:p w14:paraId="30E7E0AE" w14:textId="77777777" w:rsidR="00030B1D" w:rsidRPr="00CF0313" w:rsidRDefault="00030B1D" w:rsidP="00657272">
            <w:pPr>
              <w:keepNext/>
              <w:keepLines/>
              <w:spacing w:after="0"/>
              <w:rPr>
                <w:rFonts w:cs="Arial"/>
                <w:szCs w:val="18"/>
              </w:rPr>
            </w:pPr>
            <w:r w:rsidRPr="00CF0313">
              <w:rPr>
                <w:rFonts w:cs="Arial"/>
                <w:szCs w:val="18"/>
              </w:rPr>
              <w:t>Incision and removal of foreign body, subcutaneous tissues; simple</w:t>
            </w:r>
          </w:p>
        </w:tc>
      </w:tr>
      <w:tr w:rsidR="00030B1D" w:rsidRPr="00CF0313" w14:paraId="56F3924F" w14:textId="77777777" w:rsidTr="007E7CC9">
        <w:trPr>
          <w:trHeight w:val="318"/>
        </w:trPr>
        <w:tc>
          <w:tcPr>
            <w:tcW w:w="2556" w:type="dxa"/>
          </w:tcPr>
          <w:p w14:paraId="768D74DB" w14:textId="77777777" w:rsidR="00030B1D" w:rsidRPr="00CF0313" w:rsidRDefault="00030B1D" w:rsidP="00657272">
            <w:pPr>
              <w:keepNext/>
              <w:keepLines/>
              <w:spacing w:after="0"/>
              <w:ind w:left="69"/>
              <w:rPr>
                <w:rFonts w:cs="Arial"/>
                <w:szCs w:val="18"/>
              </w:rPr>
            </w:pPr>
            <w:r w:rsidRPr="00CF0313">
              <w:rPr>
                <w:rFonts w:cs="Arial"/>
                <w:szCs w:val="18"/>
              </w:rPr>
              <w:t>73721 (CPT)</w:t>
            </w:r>
          </w:p>
        </w:tc>
        <w:tc>
          <w:tcPr>
            <w:tcW w:w="5629" w:type="dxa"/>
          </w:tcPr>
          <w:p w14:paraId="2BC8F1DE" w14:textId="77777777" w:rsidR="00030B1D" w:rsidRPr="00CF0313" w:rsidRDefault="00030B1D" w:rsidP="00657272">
            <w:pPr>
              <w:keepNext/>
              <w:keepLines/>
              <w:spacing w:after="0"/>
              <w:rPr>
                <w:rFonts w:cs="Arial"/>
                <w:szCs w:val="18"/>
              </w:rPr>
            </w:pPr>
            <w:r w:rsidRPr="00CF0313">
              <w:rPr>
                <w:rFonts w:cs="Arial"/>
                <w:szCs w:val="18"/>
              </w:rPr>
              <w:t>Magnetic resonance (eg, proton) imaging, any joint of lower extremity; without contrast material</w:t>
            </w:r>
          </w:p>
        </w:tc>
      </w:tr>
      <w:tr w:rsidR="00030B1D" w:rsidRPr="00CF0313" w14:paraId="27997FC2" w14:textId="77777777" w:rsidTr="007E7CC9">
        <w:trPr>
          <w:trHeight w:val="185"/>
        </w:trPr>
        <w:tc>
          <w:tcPr>
            <w:tcW w:w="8185" w:type="dxa"/>
            <w:gridSpan w:val="2"/>
          </w:tcPr>
          <w:p w14:paraId="5940D789" w14:textId="77777777" w:rsidR="00030B1D" w:rsidRPr="00CF0313" w:rsidRDefault="00030B1D" w:rsidP="00657272">
            <w:pPr>
              <w:keepNext/>
              <w:keepLines/>
              <w:spacing w:after="0"/>
              <w:rPr>
                <w:rFonts w:eastAsia="Times New Roman" w:cs="Arial"/>
                <w:b/>
                <w:bCs/>
                <w:color w:val="000000"/>
                <w:szCs w:val="18"/>
              </w:rPr>
            </w:pPr>
            <w:r w:rsidRPr="00CF0313">
              <w:rPr>
                <w:rFonts w:eastAsia="Times New Roman" w:cs="Arial"/>
                <w:b/>
                <w:bCs/>
                <w:color w:val="000000"/>
                <w:szCs w:val="18"/>
              </w:rPr>
              <w:t xml:space="preserve">Follow-up care </w:t>
            </w:r>
          </w:p>
        </w:tc>
      </w:tr>
      <w:tr w:rsidR="00030B1D" w:rsidRPr="00CF0313" w14:paraId="149FB32B" w14:textId="77777777" w:rsidTr="007E7CC9">
        <w:trPr>
          <w:trHeight w:val="370"/>
        </w:trPr>
        <w:tc>
          <w:tcPr>
            <w:tcW w:w="2556" w:type="dxa"/>
          </w:tcPr>
          <w:p w14:paraId="46C6F8E9" w14:textId="77777777" w:rsidR="00030B1D" w:rsidRPr="00CF0313" w:rsidRDefault="00030B1D" w:rsidP="00657272">
            <w:pPr>
              <w:keepNext/>
              <w:keepLines/>
              <w:spacing w:after="0"/>
              <w:ind w:left="69"/>
              <w:rPr>
                <w:rFonts w:eastAsia="Times New Roman" w:cs="Arial"/>
                <w:color w:val="000000"/>
                <w:szCs w:val="18"/>
              </w:rPr>
            </w:pPr>
            <w:r w:rsidRPr="00CF0313">
              <w:rPr>
                <w:rFonts w:eastAsia="Times New Roman" w:cs="Arial"/>
                <w:color w:val="000000"/>
                <w:szCs w:val="18"/>
              </w:rPr>
              <w:t>98940, 98941, 98942 (CPT)</w:t>
            </w:r>
          </w:p>
        </w:tc>
        <w:tc>
          <w:tcPr>
            <w:tcW w:w="5629" w:type="dxa"/>
          </w:tcPr>
          <w:p w14:paraId="5A47EEC4" w14:textId="77777777" w:rsidR="00030B1D" w:rsidRPr="00CF0313" w:rsidRDefault="00030B1D" w:rsidP="00657272">
            <w:pPr>
              <w:keepNext/>
              <w:keepLines/>
              <w:spacing w:after="0"/>
              <w:rPr>
                <w:rFonts w:eastAsia="Times New Roman" w:cs="Arial"/>
                <w:color w:val="000000"/>
                <w:szCs w:val="18"/>
              </w:rPr>
            </w:pPr>
            <w:proofErr w:type="gramStart"/>
            <w:r w:rsidRPr="00CF0313">
              <w:rPr>
                <w:rFonts w:eastAsia="Times New Roman" w:cs="Arial"/>
                <w:color w:val="000000"/>
                <w:szCs w:val="18"/>
              </w:rPr>
              <w:t>Chiropractic manipulative</w:t>
            </w:r>
            <w:proofErr w:type="gramEnd"/>
            <w:r w:rsidRPr="00CF0313">
              <w:rPr>
                <w:rFonts w:eastAsia="Times New Roman" w:cs="Arial"/>
                <w:color w:val="000000"/>
                <w:szCs w:val="18"/>
              </w:rPr>
              <w:t xml:space="preserve"> </w:t>
            </w:r>
            <w:proofErr w:type="gramStart"/>
            <w:r w:rsidRPr="00CF0313">
              <w:rPr>
                <w:rFonts w:eastAsia="Times New Roman" w:cs="Arial"/>
                <w:color w:val="000000"/>
                <w:szCs w:val="18"/>
              </w:rPr>
              <w:t>treatment</w:t>
            </w:r>
            <w:proofErr w:type="gramEnd"/>
            <w:r w:rsidRPr="00CF0313">
              <w:rPr>
                <w:rFonts w:eastAsia="Times New Roman" w:cs="Arial"/>
                <w:color w:val="000000"/>
                <w:szCs w:val="18"/>
              </w:rPr>
              <w:t xml:space="preserve"> (CMT); spinal, 1-2 regions, 3-4 regions, or 5 regions</w:t>
            </w:r>
          </w:p>
        </w:tc>
      </w:tr>
      <w:tr w:rsidR="00030B1D" w:rsidRPr="00CF0313" w14:paraId="7D8279F7" w14:textId="77777777" w:rsidTr="007E7CC9">
        <w:trPr>
          <w:trHeight w:val="188"/>
        </w:trPr>
        <w:tc>
          <w:tcPr>
            <w:tcW w:w="2556" w:type="dxa"/>
          </w:tcPr>
          <w:p w14:paraId="4DA9238E" w14:textId="77777777" w:rsidR="00030B1D" w:rsidRPr="00CF0313" w:rsidRDefault="00030B1D" w:rsidP="00657272">
            <w:pPr>
              <w:keepNext/>
              <w:keepLines/>
              <w:spacing w:after="0"/>
              <w:ind w:left="69"/>
              <w:rPr>
                <w:rFonts w:eastAsia="Times New Roman" w:cs="Arial"/>
                <w:color w:val="000000"/>
                <w:szCs w:val="18"/>
              </w:rPr>
            </w:pPr>
            <w:r w:rsidRPr="00CF0313">
              <w:rPr>
                <w:rFonts w:eastAsia="Times New Roman" w:cs="Arial"/>
                <w:color w:val="000000"/>
                <w:szCs w:val="18"/>
              </w:rPr>
              <w:t>5640 (RxNorm)</w:t>
            </w:r>
          </w:p>
        </w:tc>
        <w:tc>
          <w:tcPr>
            <w:tcW w:w="5629" w:type="dxa"/>
          </w:tcPr>
          <w:p w14:paraId="6CC5DB7F" w14:textId="77777777" w:rsidR="00030B1D" w:rsidRPr="00CF0313" w:rsidRDefault="00030B1D" w:rsidP="00657272">
            <w:pPr>
              <w:keepNext/>
              <w:keepLines/>
              <w:spacing w:after="0"/>
              <w:rPr>
                <w:rFonts w:eastAsia="Times New Roman" w:cs="Arial"/>
                <w:color w:val="000000"/>
                <w:szCs w:val="18"/>
              </w:rPr>
            </w:pPr>
            <w:r w:rsidRPr="00CF0313">
              <w:rPr>
                <w:rFonts w:eastAsia="Times New Roman" w:cs="Arial"/>
                <w:color w:val="000000"/>
                <w:szCs w:val="18"/>
              </w:rPr>
              <w:t>Ibuprofen prescription</w:t>
            </w:r>
          </w:p>
        </w:tc>
      </w:tr>
      <w:tr w:rsidR="00030B1D" w:rsidRPr="00CF0313" w14:paraId="0219A295" w14:textId="77777777" w:rsidTr="007E7CC9">
        <w:trPr>
          <w:trHeight w:val="185"/>
        </w:trPr>
        <w:tc>
          <w:tcPr>
            <w:tcW w:w="2556" w:type="dxa"/>
          </w:tcPr>
          <w:p w14:paraId="118DE90D" w14:textId="77777777" w:rsidR="00030B1D" w:rsidRPr="00CF0313" w:rsidRDefault="00030B1D" w:rsidP="00657272">
            <w:pPr>
              <w:keepNext/>
              <w:keepLines/>
              <w:spacing w:after="0"/>
              <w:ind w:left="69"/>
              <w:rPr>
                <w:rFonts w:eastAsia="Times New Roman" w:cs="Arial"/>
                <w:color w:val="000000"/>
                <w:szCs w:val="18"/>
              </w:rPr>
            </w:pPr>
            <w:r w:rsidRPr="00CF0313">
              <w:rPr>
                <w:rFonts w:eastAsia="Times New Roman" w:cs="Arial"/>
                <w:color w:val="000000"/>
                <w:szCs w:val="18"/>
              </w:rPr>
              <w:t>1029677 (CPT)</w:t>
            </w:r>
          </w:p>
        </w:tc>
        <w:tc>
          <w:tcPr>
            <w:tcW w:w="5629" w:type="dxa"/>
          </w:tcPr>
          <w:p w14:paraId="0C3255FE" w14:textId="77777777" w:rsidR="00030B1D" w:rsidRPr="00CF0313" w:rsidRDefault="00030B1D" w:rsidP="00657272">
            <w:pPr>
              <w:keepNext/>
              <w:keepLines/>
              <w:spacing w:after="0"/>
              <w:rPr>
                <w:rFonts w:eastAsia="Times New Roman" w:cs="Arial"/>
                <w:color w:val="000000"/>
                <w:szCs w:val="18"/>
              </w:rPr>
            </w:pPr>
            <w:r w:rsidRPr="00CF0313">
              <w:rPr>
                <w:rFonts w:eastAsia="Times New Roman" w:cs="Arial"/>
                <w:color w:val="000000"/>
                <w:szCs w:val="18"/>
              </w:rPr>
              <w:t>Physical therapy evaluations</w:t>
            </w:r>
          </w:p>
        </w:tc>
      </w:tr>
    </w:tbl>
    <w:p w14:paraId="69E0AAD7" w14:textId="77777777" w:rsidR="00030B1D" w:rsidRDefault="00030B1D" w:rsidP="00472A53"/>
    <w:p w14:paraId="4F71602B" w14:textId="6BD06A50" w:rsidR="00D94953" w:rsidRDefault="00212592" w:rsidP="00030B1D">
      <w:pPr>
        <w:keepNext/>
        <w:jc w:val="center"/>
      </w:pPr>
      <w:r w:rsidRPr="00567F37">
        <w:rPr>
          <w:noProof/>
        </w:rPr>
        <w:lastRenderedPageBreak/>
        <w:drawing>
          <wp:inline distT="0" distB="0" distL="0" distR="0" wp14:anchorId="358B81F7" wp14:editId="4405A0CB">
            <wp:extent cx="5691022" cy="7001301"/>
            <wp:effectExtent l="0" t="0" r="5080" b="9525"/>
            <wp:docPr id="17408568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2682" r="18714"/>
                    <a:stretch>
                      <a:fillRect/>
                    </a:stretch>
                  </pic:blipFill>
                  <pic:spPr bwMode="auto">
                    <a:xfrm>
                      <a:off x="0" y="0"/>
                      <a:ext cx="5701498" cy="7014189"/>
                    </a:xfrm>
                    <a:prstGeom prst="rect">
                      <a:avLst/>
                    </a:prstGeom>
                    <a:noFill/>
                    <a:ln>
                      <a:noFill/>
                    </a:ln>
                    <a:extLst>
                      <a:ext uri="{53640926-AAD7-44D8-BBD7-CCE9431645EC}">
                        <a14:shadowObscured xmlns:a14="http://schemas.microsoft.com/office/drawing/2010/main"/>
                      </a:ext>
                    </a:extLst>
                  </pic:spPr>
                </pic:pic>
              </a:graphicData>
            </a:graphic>
          </wp:inline>
        </w:drawing>
      </w:r>
    </w:p>
    <w:p w14:paraId="455F7B2A" w14:textId="6C75EFF6" w:rsidR="007F1803" w:rsidRDefault="00D94953" w:rsidP="007F1803">
      <w:pPr>
        <w:pStyle w:val="Heading1"/>
      </w:pPr>
      <w:bookmarkStart w:id="6" w:name="_Toc236836425"/>
      <w:r w:rsidRPr="00D94953">
        <w:t>Figure S</w:t>
      </w:r>
      <w:r w:rsidR="00D62630">
        <w:t>3</w:t>
      </w:r>
      <w:r w:rsidR="004010EA">
        <w:t>:</w:t>
      </w:r>
      <w:r w:rsidRPr="00D94953">
        <w:t xml:space="preserve"> Patient selection flowchart</w:t>
      </w:r>
      <w:bookmarkEnd w:id="6"/>
    </w:p>
    <w:p w14:paraId="66945B8D" w14:textId="7C121C18" w:rsidR="00DE2487" w:rsidRDefault="003121A3" w:rsidP="006B7659">
      <w:pPr>
        <w:pStyle w:val="NoSpacing"/>
      </w:pPr>
      <w:r>
        <w:t>This diagram illustrates the cohort size derivations from the entire TriNetX Linked sample, and the impact of specific exclusionary criteria on cohort size. The spinal manipulative therapy (SMT) cohort is shown in orange, while the Ibuprofen cohort is shown in blue.</w:t>
      </w:r>
      <w:r w:rsidR="002C655A">
        <w:t xml:space="preserve"> </w:t>
      </w:r>
      <w:r w:rsidR="00212592">
        <w:t>Exclusions are indicated with an asterisk (*) on the left.</w:t>
      </w:r>
      <w:r w:rsidR="0095091D">
        <w:t xml:space="preserve"> Trimming during propensity score matching led to a 12% reduction in the SMT cohort </w:t>
      </w:r>
      <w:r w:rsidR="003275EB">
        <w:t xml:space="preserve">size </w:t>
      </w:r>
      <w:r w:rsidR="0095091D">
        <w:t xml:space="preserve">and </w:t>
      </w:r>
      <w:r w:rsidR="00596F79">
        <w:t>53% reduction in the ibuprofen cohort size</w:t>
      </w:r>
      <w:r w:rsidR="00CA795A">
        <w:t>.</w:t>
      </w:r>
    </w:p>
    <w:p w14:paraId="1613E2AC" w14:textId="77777777" w:rsidR="006B7659" w:rsidRDefault="006B7659" w:rsidP="006B7659">
      <w:pPr>
        <w:pStyle w:val="NoSpacing"/>
      </w:pPr>
    </w:p>
    <w:p w14:paraId="475105F5" w14:textId="60D83822" w:rsidR="00F23E1A" w:rsidRPr="00B41DA0" w:rsidRDefault="00C81629" w:rsidP="00B41DA0">
      <w:pPr>
        <w:spacing w:after="160" w:line="259" w:lineRule="auto"/>
        <w:rPr>
          <w:rFonts w:eastAsiaTheme="majorEastAsia" w:cstheme="majorBidi"/>
          <w:b/>
          <w:i/>
          <w:szCs w:val="40"/>
        </w:rPr>
      </w:pPr>
      <w:r>
        <w:br w:type="page"/>
      </w:r>
    </w:p>
    <w:p w14:paraId="619D2FFC" w14:textId="77777777" w:rsidR="00F23E1A" w:rsidRDefault="00F23E1A" w:rsidP="00006217">
      <w:pPr>
        <w:pStyle w:val="NoSpacing"/>
      </w:pPr>
    </w:p>
    <w:p w14:paraId="2F2DD517" w14:textId="77777777" w:rsidR="002E0498" w:rsidRDefault="002E0498" w:rsidP="00006217">
      <w:pPr>
        <w:pStyle w:val="NoSpacing"/>
      </w:pPr>
    </w:p>
    <w:p w14:paraId="23A9C25E" w14:textId="77777777" w:rsidR="002E0498" w:rsidRDefault="002E0498" w:rsidP="008E1B1B">
      <w:pPr>
        <w:pStyle w:val="NoSpacing"/>
        <w:keepNext/>
        <w:keepLines/>
        <w:jc w:val="center"/>
      </w:pPr>
      <w:r>
        <w:rPr>
          <w:noProof/>
        </w:rPr>
        <w:drawing>
          <wp:inline distT="0" distB="0" distL="0" distR="0" wp14:anchorId="345C1CB6" wp14:editId="4A024E45">
            <wp:extent cx="4082902" cy="3062177"/>
            <wp:effectExtent l="0" t="0" r="0" b="5080"/>
            <wp:docPr id="343500600" name="Picture 2" descr="A graph showing the number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500600" name="Picture 2" descr="A graph showing the number of different colored squar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4564" cy="3070924"/>
                    </a:xfrm>
                    <a:prstGeom prst="rect">
                      <a:avLst/>
                    </a:prstGeom>
                    <a:noFill/>
                    <a:ln>
                      <a:noFill/>
                    </a:ln>
                  </pic:spPr>
                </pic:pic>
              </a:graphicData>
            </a:graphic>
          </wp:inline>
        </w:drawing>
      </w:r>
    </w:p>
    <w:p w14:paraId="429255FB" w14:textId="1ECC6A80" w:rsidR="002E0498" w:rsidRDefault="002E0498" w:rsidP="008E1B1B">
      <w:pPr>
        <w:pStyle w:val="Heading1"/>
      </w:pPr>
      <w:bookmarkStart w:id="7" w:name="_Toc236836426"/>
      <w:r>
        <w:t>Figure S</w:t>
      </w:r>
      <w:r w:rsidR="00D34ADD">
        <w:t>4</w:t>
      </w:r>
      <w:r>
        <w:t>: Total incidences of carotid artery dissection</w:t>
      </w:r>
      <w:bookmarkEnd w:id="7"/>
    </w:p>
    <w:p w14:paraId="22AB60B5" w14:textId="3CECA337" w:rsidR="002E0498" w:rsidRDefault="002E0498" w:rsidP="008E1B1B">
      <w:pPr>
        <w:pStyle w:val="NoSpacing"/>
        <w:keepNext/>
        <w:keepLines/>
      </w:pPr>
      <w:r>
        <w:t xml:space="preserve">The spinal manipulative therapy (SMT) cohort is represented in </w:t>
      </w:r>
      <w:r w:rsidR="004F417D">
        <w:t>orange</w:t>
      </w:r>
      <w:r>
        <w:t xml:space="preserve"> while the ibuprofen cohort is represented in </w:t>
      </w:r>
      <w:r w:rsidR="004F417D">
        <w:t>blue</w:t>
      </w:r>
      <w:r>
        <w:t>. The error bars indicate 95% confidence intervals. Data represent findings after matching, over the 30-day follow-up window.</w:t>
      </w:r>
    </w:p>
    <w:p w14:paraId="1C4E3058" w14:textId="1611672D" w:rsidR="00900ADC" w:rsidRDefault="002E0498" w:rsidP="008E1B1B">
      <w:pPr>
        <w:pStyle w:val="NoSpacing"/>
        <w:keepNext/>
        <w:keepLines/>
        <w:jc w:val="center"/>
      </w:pPr>
      <w:r>
        <w:rPr>
          <w:noProof/>
        </w:rPr>
        <w:drawing>
          <wp:inline distT="0" distB="0" distL="0" distR="0" wp14:anchorId="34AFE883" wp14:editId="251B17DF">
            <wp:extent cx="4110651" cy="3082989"/>
            <wp:effectExtent l="0" t="0" r="4445" b="3175"/>
            <wp:docPr id="1895028819" name="Picture 3" descr="A graph showing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28819" name="Picture 3" descr="A graph showing different colored square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34562" cy="3100922"/>
                    </a:xfrm>
                    <a:prstGeom prst="rect">
                      <a:avLst/>
                    </a:prstGeom>
                    <a:noFill/>
                    <a:ln>
                      <a:noFill/>
                    </a:ln>
                  </pic:spPr>
                </pic:pic>
              </a:graphicData>
            </a:graphic>
          </wp:inline>
        </w:drawing>
      </w:r>
    </w:p>
    <w:p w14:paraId="0CA7A261" w14:textId="0252C05F" w:rsidR="009424B6" w:rsidRDefault="009424B6" w:rsidP="008E1B1B">
      <w:pPr>
        <w:pStyle w:val="Heading1"/>
      </w:pPr>
      <w:bookmarkStart w:id="8" w:name="_Toc236836427"/>
      <w:r>
        <w:t>Figure S</w:t>
      </w:r>
      <w:r w:rsidR="00D34ADD">
        <w:t>5</w:t>
      </w:r>
      <w:r>
        <w:t>: Total incidences of vertebral artery dissection</w:t>
      </w:r>
      <w:bookmarkEnd w:id="8"/>
    </w:p>
    <w:p w14:paraId="572123A0" w14:textId="408FA6E3" w:rsidR="00E022E5" w:rsidRDefault="009424B6" w:rsidP="008E1B1B">
      <w:pPr>
        <w:pStyle w:val="NoSpacing"/>
        <w:keepNext/>
        <w:keepLines/>
      </w:pPr>
      <w:r>
        <w:t xml:space="preserve">The spinal manipulative therapy (SMT) cohort is represented in </w:t>
      </w:r>
      <w:r w:rsidR="00266C23">
        <w:t>orange</w:t>
      </w:r>
      <w:r>
        <w:t xml:space="preserve"> while the ibuprofen cohort is represented in </w:t>
      </w:r>
      <w:r w:rsidR="00266C23">
        <w:t>blue</w:t>
      </w:r>
      <w:r>
        <w:t>. The error bars indicate 95% confidence intervals. Data represent findings after matching</w:t>
      </w:r>
      <w:r w:rsidR="00E022E5">
        <w:t>, over the 30-day follow-up window.</w:t>
      </w:r>
    </w:p>
    <w:p w14:paraId="160D2C72" w14:textId="2D60935C" w:rsidR="009424B6" w:rsidRDefault="009424B6" w:rsidP="009424B6">
      <w:pPr>
        <w:pStyle w:val="NoSpacing"/>
      </w:pPr>
    </w:p>
    <w:p w14:paraId="07757FFB" w14:textId="5020414D" w:rsidR="009424B6" w:rsidRDefault="001B7BFB" w:rsidP="001B7BFB">
      <w:pPr>
        <w:pStyle w:val="NoSpacing"/>
        <w:keepNext/>
        <w:keepLines/>
        <w:jc w:val="center"/>
      </w:pPr>
      <w:r>
        <w:rPr>
          <w:noProof/>
        </w:rPr>
        <w:lastRenderedPageBreak/>
        <w:drawing>
          <wp:inline distT="0" distB="0" distL="0" distR="0" wp14:anchorId="74A5ACBA" wp14:editId="3A88556E">
            <wp:extent cx="4497237" cy="3372928"/>
            <wp:effectExtent l="0" t="0" r="0" b="0"/>
            <wp:docPr id="414402801" name="Picture 1" descr="A graph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402801" name="Picture 1" descr="A graph showing different colored line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08102" cy="3381077"/>
                    </a:xfrm>
                    <a:prstGeom prst="rect">
                      <a:avLst/>
                    </a:prstGeom>
                    <a:noFill/>
                    <a:ln>
                      <a:noFill/>
                    </a:ln>
                  </pic:spPr>
                </pic:pic>
              </a:graphicData>
            </a:graphic>
          </wp:inline>
        </w:drawing>
      </w:r>
    </w:p>
    <w:p w14:paraId="6D297EEA" w14:textId="1FA9BD84" w:rsidR="001B7BFB" w:rsidRDefault="001B7BFB" w:rsidP="001B7BFB">
      <w:pPr>
        <w:pStyle w:val="Heading1"/>
      </w:pPr>
      <w:bookmarkStart w:id="9" w:name="_Toc236836428"/>
      <w:r>
        <w:t>Figure S</w:t>
      </w:r>
      <w:r w:rsidR="00D34ADD">
        <w:t>6</w:t>
      </w:r>
      <w:r>
        <w:t>: Cumulative incidences of carotid artery dissection</w:t>
      </w:r>
      <w:bookmarkEnd w:id="9"/>
    </w:p>
    <w:p w14:paraId="6BF6C4C7" w14:textId="5EE4CAB5" w:rsidR="001B7BFB" w:rsidRDefault="001B7BFB" w:rsidP="001B7BFB">
      <w:pPr>
        <w:pStyle w:val="NoSpacing"/>
        <w:keepNext/>
        <w:keepLines/>
      </w:pPr>
      <w:r>
        <w:t>The spinal manipulative therapy (SMT) cohort is represented in orange while the ibuprofen cohort is represented in blue. Shaded regions highlight 95% confidence intervals. Data represent findings after matching, over the 30-day follow-up window.</w:t>
      </w:r>
    </w:p>
    <w:p w14:paraId="0951FD73" w14:textId="77777777" w:rsidR="00B94FD5" w:rsidRDefault="00B94FD5" w:rsidP="001B7BFB">
      <w:pPr>
        <w:pStyle w:val="NoSpacing"/>
        <w:keepNext/>
        <w:keepLines/>
      </w:pPr>
    </w:p>
    <w:p w14:paraId="4F622B4A" w14:textId="4E1CBA7B" w:rsidR="009424B6" w:rsidRDefault="001E72B7" w:rsidP="001E72B7">
      <w:pPr>
        <w:keepNext/>
        <w:keepLines/>
        <w:jc w:val="center"/>
      </w:pPr>
      <w:r>
        <w:rPr>
          <w:noProof/>
        </w:rPr>
        <w:drawing>
          <wp:inline distT="0" distB="0" distL="0" distR="0" wp14:anchorId="5E58ACD7" wp14:editId="083C77BC">
            <wp:extent cx="4507989" cy="3380991"/>
            <wp:effectExtent l="0" t="0" r="6985" b="0"/>
            <wp:docPr id="2090439955" name="Picture 2"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439955" name="Picture 2" descr="A graph of different colored lines&#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3869" cy="3385401"/>
                    </a:xfrm>
                    <a:prstGeom prst="rect">
                      <a:avLst/>
                    </a:prstGeom>
                    <a:noFill/>
                    <a:ln>
                      <a:noFill/>
                    </a:ln>
                  </pic:spPr>
                </pic:pic>
              </a:graphicData>
            </a:graphic>
          </wp:inline>
        </w:drawing>
      </w:r>
    </w:p>
    <w:p w14:paraId="04239CEA" w14:textId="7A53269A" w:rsidR="009424B6" w:rsidRDefault="009424B6" w:rsidP="001E72B7">
      <w:pPr>
        <w:pStyle w:val="Heading1"/>
      </w:pPr>
      <w:bookmarkStart w:id="10" w:name="_Toc236836429"/>
      <w:r>
        <w:t>Figure S</w:t>
      </w:r>
      <w:r w:rsidR="00D34ADD">
        <w:t>7</w:t>
      </w:r>
      <w:r>
        <w:t xml:space="preserve">: </w:t>
      </w:r>
      <w:bookmarkStart w:id="11" w:name="_Hlk187911346"/>
      <w:r>
        <w:t>Cumulative incidences of vertebral artery dissection</w:t>
      </w:r>
      <w:bookmarkEnd w:id="10"/>
      <w:r>
        <w:t xml:space="preserve"> </w:t>
      </w:r>
    </w:p>
    <w:p w14:paraId="56931931" w14:textId="23BFA0F5" w:rsidR="00E022E5" w:rsidRDefault="009424B6" w:rsidP="001E72B7">
      <w:pPr>
        <w:pStyle w:val="NoSpacing"/>
        <w:keepNext/>
        <w:keepLines/>
      </w:pPr>
      <w:r>
        <w:t xml:space="preserve">The spinal manipulative therapy (SMT) cohort is represented in </w:t>
      </w:r>
      <w:r w:rsidR="001E72B7">
        <w:t>orange</w:t>
      </w:r>
      <w:r>
        <w:t xml:space="preserve"> while the ibuprofen cohort is represented in </w:t>
      </w:r>
      <w:r w:rsidR="001E72B7">
        <w:t>blue</w:t>
      </w:r>
      <w:r>
        <w:t>. Shaded regions highlight 95% confidence intervals.</w:t>
      </w:r>
      <w:bookmarkEnd w:id="11"/>
      <w:r>
        <w:t xml:space="preserve"> Data represent findings after matching</w:t>
      </w:r>
      <w:r w:rsidR="00E022E5">
        <w:t>, over the 30-day follow-up window.</w:t>
      </w:r>
    </w:p>
    <w:p w14:paraId="6547671E" w14:textId="643A400B" w:rsidR="009424B6" w:rsidRDefault="009424B6" w:rsidP="009424B6">
      <w:pPr>
        <w:pStyle w:val="NoSpacing"/>
      </w:pPr>
    </w:p>
    <w:p w14:paraId="44CA5250" w14:textId="77777777" w:rsidR="00317587" w:rsidRDefault="00317587" w:rsidP="009424B6">
      <w:pPr>
        <w:pStyle w:val="NoSpacing"/>
      </w:pPr>
    </w:p>
    <w:p w14:paraId="793DDA95" w14:textId="77777777" w:rsidR="00317587" w:rsidRDefault="00317587" w:rsidP="009424B6">
      <w:pPr>
        <w:pStyle w:val="NoSpacing"/>
      </w:pPr>
    </w:p>
    <w:p w14:paraId="7C6E31FC" w14:textId="1A468F90" w:rsidR="00006217" w:rsidRPr="00545B93" w:rsidRDefault="00BF3FCB" w:rsidP="00BF3FCB">
      <w:pPr>
        <w:pStyle w:val="NoSpacing"/>
        <w:jc w:val="center"/>
      </w:pPr>
      <w:r>
        <w:rPr>
          <w:noProof/>
        </w:rPr>
        <w:lastRenderedPageBreak/>
        <w:drawing>
          <wp:inline distT="0" distB="0" distL="0" distR="0" wp14:anchorId="7F98C90A" wp14:editId="771A1903">
            <wp:extent cx="4111255" cy="3083442"/>
            <wp:effectExtent l="0" t="0" r="3810" b="3175"/>
            <wp:docPr id="1109553071" name="Picture 4" descr="A graph showing the difference between two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53071" name="Picture 4" descr="A graph showing the difference between two different colored square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25443" cy="3094083"/>
                    </a:xfrm>
                    <a:prstGeom prst="rect">
                      <a:avLst/>
                    </a:prstGeom>
                    <a:noFill/>
                    <a:ln>
                      <a:noFill/>
                    </a:ln>
                  </pic:spPr>
                </pic:pic>
              </a:graphicData>
            </a:graphic>
          </wp:inline>
        </w:drawing>
      </w:r>
    </w:p>
    <w:p w14:paraId="6EEC6768" w14:textId="0BE7A9F2" w:rsidR="00BF3FCB" w:rsidRDefault="00BF3FCB" w:rsidP="00BF3FCB">
      <w:pPr>
        <w:pStyle w:val="Heading1"/>
      </w:pPr>
      <w:bookmarkStart w:id="12" w:name="_Toc236836430"/>
      <w:r>
        <w:t>Figure S</w:t>
      </w:r>
      <w:r w:rsidR="00E82B45">
        <w:t>8</w:t>
      </w:r>
      <w:r>
        <w:t>: Total incidence</w:t>
      </w:r>
      <w:r w:rsidR="0060396B">
        <w:t>s</w:t>
      </w:r>
      <w:r>
        <w:t xml:space="preserve"> of physical therapy evaluation</w:t>
      </w:r>
      <w:bookmarkEnd w:id="12"/>
    </w:p>
    <w:p w14:paraId="7E47E9D4" w14:textId="300FBC21" w:rsidR="00BF3FCB" w:rsidRDefault="00BF3FCB" w:rsidP="00BF3FCB">
      <w:pPr>
        <w:pStyle w:val="NoSpacing"/>
      </w:pPr>
      <w:r>
        <w:t xml:space="preserve">The spinal manipulative therapy (SMT) cohort is represented in </w:t>
      </w:r>
      <w:r w:rsidR="004F417D">
        <w:t>orange</w:t>
      </w:r>
      <w:r>
        <w:t xml:space="preserve"> while the ibuprofen cohort is represented in </w:t>
      </w:r>
      <w:r w:rsidR="004F417D">
        <w:t>blue</w:t>
      </w:r>
      <w:r>
        <w:t>. Shaded regions highlight 95% confidence intervals. Data represent findings after matching, over the 30-day follow-up window.</w:t>
      </w:r>
    </w:p>
    <w:p w14:paraId="67AB7B91" w14:textId="77777777" w:rsidR="001B13EF" w:rsidRDefault="001B13EF" w:rsidP="001B13EF"/>
    <w:p w14:paraId="54EB7A8A" w14:textId="77777777" w:rsidR="00B41DA0" w:rsidRDefault="00B41DA0" w:rsidP="00B41DA0">
      <w:r>
        <w:rPr>
          <w:noProof/>
        </w:rPr>
        <w:lastRenderedPageBreak/>
        <w:drawing>
          <wp:inline distT="0" distB="0" distL="0" distR="0" wp14:anchorId="1BFAF5F2" wp14:editId="05BA1338">
            <wp:extent cx="5943600" cy="6716395"/>
            <wp:effectExtent l="0" t="0" r="0" b="8255"/>
            <wp:docPr id="431809326" name="Picture 2" descr="A graph with a line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09326" name="Picture 2" descr="A graph with a line of tex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6716395"/>
                    </a:xfrm>
                    <a:prstGeom prst="rect">
                      <a:avLst/>
                    </a:prstGeom>
                    <a:noFill/>
                    <a:ln>
                      <a:noFill/>
                    </a:ln>
                  </pic:spPr>
                </pic:pic>
              </a:graphicData>
            </a:graphic>
          </wp:inline>
        </w:drawing>
      </w:r>
    </w:p>
    <w:p w14:paraId="68C8DBFE" w14:textId="64D71666" w:rsidR="00B41DA0" w:rsidRDefault="00B41DA0" w:rsidP="00B41DA0">
      <w:pPr>
        <w:pStyle w:val="Heading1"/>
      </w:pPr>
      <w:bookmarkStart w:id="13" w:name="_Toc236836431"/>
      <w:r>
        <w:t>Figure S</w:t>
      </w:r>
      <w:r w:rsidR="001B3B42">
        <w:t>9</w:t>
      </w:r>
      <w:r>
        <w:t>: C</w:t>
      </w:r>
      <w:r w:rsidRPr="00B02144">
        <w:t>ovariate balance plot</w:t>
      </w:r>
      <w:bookmarkEnd w:id="13"/>
    </w:p>
    <w:p w14:paraId="7CAC93A2" w14:textId="02CA410E" w:rsidR="00B41DA0" w:rsidRDefault="00B41DA0" w:rsidP="00B41DA0">
      <w:pPr>
        <w:pStyle w:val="NoSpacing"/>
      </w:pPr>
      <w:r>
        <w:t xml:space="preserve">This plot shows </w:t>
      </w:r>
      <w:r w:rsidRPr="009330DE">
        <w:t>standardized mean differences (SMDs) before and after matching</w:t>
      </w:r>
      <w:r>
        <w:t xml:space="preserve">. </w:t>
      </w:r>
      <w:r w:rsidRPr="00B02144">
        <w:t xml:space="preserve">The vertical dashed line </w:t>
      </w:r>
      <w:r>
        <w:t>coinciding at SMD=</w:t>
      </w:r>
      <w:r w:rsidRPr="00B02144">
        <w:t xml:space="preserve">0.1 indicates the threshold for optimal balance </w:t>
      </w:r>
      <w:r w:rsidRPr="00B02144">
        <w:fldChar w:fldCharType="begin"/>
      </w:r>
      <w:r w:rsidR="003E6EF5">
        <w:instrText xml:space="preserve"> ADDIN ZOTERO_ITEM CSL_CITATION {"citationID":"XQw1rjF8","properties":{"formattedCitation":"[32,33]","plainCitation":"[32,33]","noteIndex":0},"citationItems":[{"id":27447,"uris":["http://zotero.org/users/1179918/items/G3APUJSF"],"itemData":{"id":27447,"type":"article-journal","abstract":"The propensity score is a subject's probability of treatment, conditional on observed baseline covariates. Conditional on the true propensity score, treated and untreated subjects have similar distributions of observed baseline covariates. Propensity-score matching is a popular method of using the propensity score in the medical literature. Using this approach, matched sets of treated and untreated subjects with similar values of the propensity score are formed. Inferences about treatment effect made using propensity-score matching are valid only if, in the matched sample, treated and untreated subjects have similar distributions of measured baseline covariates. In this paper we discuss the following methods for assessing whether the propensity score model has been correctly specified: comparing means and prevalences of baseline characteristics using standardized differences; ratios comparing the variance of continuous covariates between treated and untreated subjects; comparison of higher order moments and interactions; five-number summaries; and graphical methods such as quantile–quantile plots, side-by-side boxplots, and non-parametric density plots for comparing the distribution of baseline covariates between treatment groups. We describe methods to determine the sampling distribution of the standardized difference when the true standardized difference is equal to zero, thereby allowing one to determine the range of standardized differences that are plausible with the propensity score model having been correctly specified. We highlight the limitations of some previously used methods for assessing the adequacy of the specification of the propensity-score model. In particular, methods based on comparing the distribution of the estimated propensity score between treated and untreated subjects are uninformative. Copyright © 2009 John Wiley &amp; Sons, Ltd.","container-title":"Statistics in Medicine","DOI":"10.1002/sim.3697","ISSN":"1097-0258","issue":"25","language":"en","license":"Copyright © 2009 John Wiley &amp; Sons, Ltd.","note":"_eprint: https://onlinelibrary.wiley.com/doi/pdf/10.1002/sim.3697","page":"3083-3107","source":"Wiley Online Library","title":"Balance diagnostics for comparing the distribution of baseline covariates between treatment groups in propensity-score matched samples","URL":"https://onlinelibrary.wiley.com/doi/abs/10.1002/sim.3697","volume":"28","author":[{"family":"Austin","given":"Peter C."}],"accessed":{"date-parts":[["2024",10,7]]},"issued":{"date-parts":[["2009"]]}}},{"id":27450,"uris":["http://zotero.org/users/1179918/items/CARD6EY5"],"itemData":{"id":27450,"type":"article-journal","abstract":"Objective\nExamining covariate balance is the prescribed method for determining the degree to which propensity score methods should be successful at reducing bias. This study assessed the performance of various balance measures, including a proposed balance measure based on the prognostic score (similar to a disease risk score), to determine which balance measures best correlate with bias in the treatment effect estimate.\nStudy Design and Setting\nThe correlations of multiple common balance measures with bias in the treatment effect estimate produced by weighting by the odds, subclassification on the propensity score, and full matching on the propensity score were calculated. Simulated data were used, based on realistic data settings. Settings included both continuous and binary covariates and continuous covariates only.\nResults\nThe absolute standardized mean difference (ASMD) in prognostic scores, the mean ASMD (in covariates), and the mean t-statistic all had high correlations with bias in the effect estimate. Overall, prognostic scores displayed the highest correlations with bias of all the balance measures considered. Prognostic score measure performance was generally not affected by model misspecification, and the prognostic score measure performed well under a variety of scenarios.\nConclusion\nResearchers should consider using prognostic score–based balance measures for assessing the performance of propensity score methods for reducing bias in nonexperimental studies.","collection-title":"Methods for Comparative Effectiveness Research/Patient-Centered Outcomes Research: From Efficacy to Effectiveness","container-title":"Journal of Clinical Epidemiology","DOI":"10.1016/j.jclinepi.2013.01.013","ISSN":"0895-4356","issue":"8, Supplement","journalAbbreviation":"Journal of Clinical Epidemiology","page":"S84-S90.e1","source":"ScienceDirect","title":"Prognostic score–based balance measures can be a useful diagnostic for propensity score methods in comparative effectiveness research","URL":"https://www.sciencedirect.com/science/article/pii/S0895435613001625","volume":"66","author":[{"family":"Stuart","given":"Elizabeth A."},{"family":"Lee","given":"Brian K."},{"family":"Leacy","given":"Finbarr P."}],"accessed":{"date-parts":[["2024",10,7]]},"issued":{"date-parts":[["2013",8,1]]}}}],"schema":"https://github.com/citation-style-language/schema/raw/master/csl-citation.json"} </w:instrText>
      </w:r>
      <w:r w:rsidRPr="00B02144">
        <w:fldChar w:fldCharType="separate"/>
      </w:r>
      <w:r w:rsidR="006E0AEA" w:rsidRPr="006E0AEA">
        <w:rPr>
          <w:rFonts w:ascii="Calibri" w:hAnsi="Calibri" w:cs="Calibri"/>
        </w:rPr>
        <w:t>[32,33]</w:t>
      </w:r>
      <w:r w:rsidRPr="00B02144">
        <w:fldChar w:fldCharType="end"/>
      </w:r>
      <w:r w:rsidRPr="00B02144">
        <w:t xml:space="preserve">. </w:t>
      </w:r>
      <w:r>
        <w:t>B</w:t>
      </w:r>
      <w:r w:rsidRPr="00B02144">
        <w:t>efore-matching SMDs</w:t>
      </w:r>
      <w:r>
        <w:t xml:space="preserve"> are shown as triangles</w:t>
      </w:r>
      <w:r w:rsidRPr="00B02144">
        <w:t xml:space="preserve">, while </w:t>
      </w:r>
      <w:r>
        <w:t xml:space="preserve">SMDs after matching are shown as </w:t>
      </w:r>
      <w:r w:rsidRPr="00B02144">
        <w:t xml:space="preserve">squares. Plot created using R and R studio (version 4.2.2, Vienna, AT </w:t>
      </w:r>
      <w:r w:rsidRPr="00B02144">
        <w:fldChar w:fldCharType="begin"/>
      </w:r>
      <w:r w:rsidR="003E6EF5">
        <w:instrText xml:space="preserve"> ADDIN ZOTERO_ITEM CSL_CITATION {"citationID":"0Mf8xCKA","properties":{"formattedCitation":"[34]","plainCitation":"[34]","noteIndex":0},"citationItems":[{"id":19248,"uris":["http://zotero.org/users/1179918/items/EG2SUY74"],"itemData":{"id":19248,"type":"book","publisher":"R Foundation for Statistical Computing","publisher-place":"Vienna, Austria","title":"R: A Language and Environment for Statistical Computing","URL":"https://www.R-project.org/","author":[{"literal":"R Core Team"}],"issued":{"date-parts":[["2022"]]}}}],"schema":"https://github.com/citation-style-language/schema/raw/master/csl-citation.json"} </w:instrText>
      </w:r>
      <w:r w:rsidRPr="00B02144">
        <w:fldChar w:fldCharType="separate"/>
      </w:r>
      <w:r w:rsidR="006E0AEA" w:rsidRPr="006E0AEA">
        <w:rPr>
          <w:rFonts w:ascii="Calibri" w:hAnsi="Calibri" w:cs="Calibri"/>
        </w:rPr>
        <w:t>[34]</w:t>
      </w:r>
      <w:r w:rsidRPr="00B02144">
        <w:fldChar w:fldCharType="end"/>
      </w:r>
      <w:r w:rsidRPr="00B02144">
        <w:t xml:space="preserve">) and ggplot2 </w:t>
      </w:r>
      <w:r w:rsidRPr="00B02144">
        <w:fldChar w:fldCharType="begin"/>
      </w:r>
      <w:r w:rsidR="006E0AEA">
        <w:instrText xml:space="preserve"> ADDIN ZOTERO_ITEM CSL_CITATION {"citationID":"RYpNJD1C","properties":{"formattedCitation":"[35]","plainCitation":"[35]","noteIndex":0},"citationItems":[{"id":19249,"uris":["http://zotero.org/users/1179918/items/5WCU62PP"],"itemData":{"id":19249,"type":"book","ISBN":"978-3-319-24277-4","publisher":"Springer-Verlag New York","title":"ggplot2: Elegant Graphics for Data Analysis","URL":"https://ggplot2.tidyverse.org","author":[{"family":"Wickham","given":"Hadley"}],"issued":{"date-parts":[["2016"]]}}}],"schema":"https://github.com/citation-style-language/schema/raw/master/csl-citation.json"} </w:instrText>
      </w:r>
      <w:r w:rsidRPr="00B02144">
        <w:fldChar w:fldCharType="separate"/>
      </w:r>
      <w:r w:rsidR="006E0AEA" w:rsidRPr="006E0AEA">
        <w:rPr>
          <w:rFonts w:ascii="Calibri" w:hAnsi="Calibri" w:cs="Calibri"/>
        </w:rPr>
        <w:t>[35]</w:t>
      </w:r>
      <w:r w:rsidRPr="00B02144">
        <w:fldChar w:fldCharType="end"/>
      </w:r>
      <w:r w:rsidRPr="00B02144">
        <w:t>.</w:t>
      </w:r>
      <w:r>
        <w:t xml:space="preserve"> </w:t>
      </w:r>
    </w:p>
    <w:p w14:paraId="03A8B16E" w14:textId="77777777" w:rsidR="00B41DA0" w:rsidRDefault="00B41DA0" w:rsidP="00B41DA0">
      <w:pPr>
        <w:pStyle w:val="NoSpacing"/>
      </w:pPr>
    </w:p>
    <w:p w14:paraId="79AB7AEF" w14:textId="2B22A846" w:rsidR="00B41DA0" w:rsidRDefault="00923DB1" w:rsidP="00B41DA0">
      <w:pPr>
        <w:pStyle w:val="NoSpacing"/>
        <w:jc w:val="center"/>
      </w:pPr>
      <w:r>
        <w:rPr>
          <w:noProof/>
        </w:rPr>
        <w:lastRenderedPageBreak/>
        <w:drawing>
          <wp:inline distT="0" distB="0" distL="0" distR="0" wp14:anchorId="46CE63DA" wp14:editId="0C674B1A">
            <wp:extent cx="4906468" cy="3561907"/>
            <wp:effectExtent l="0" t="0" r="8890" b="635"/>
            <wp:docPr id="636031117" name="Picture 2"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31117" name="Picture 2" descr="A graph of different sizes and colors&#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06468" cy="3561907"/>
                    </a:xfrm>
                    <a:prstGeom prst="rect">
                      <a:avLst/>
                    </a:prstGeom>
                    <a:noFill/>
                    <a:ln>
                      <a:noFill/>
                    </a:ln>
                  </pic:spPr>
                </pic:pic>
              </a:graphicData>
            </a:graphic>
          </wp:inline>
        </w:drawing>
      </w:r>
    </w:p>
    <w:p w14:paraId="429828F2" w14:textId="1876A396" w:rsidR="00B41DA0" w:rsidRDefault="00B41DA0" w:rsidP="00B41DA0">
      <w:pPr>
        <w:pStyle w:val="Heading1"/>
      </w:pPr>
      <w:bookmarkStart w:id="14" w:name="_Toc236836432"/>
      <w:r>
        <w:t>Figure S</w:t>
      </w:r>
      <w:r w:rsidR="00ED6B6B">
        <w:t>1</w:t>
      </w:r>
      <w:r w:rsidR="00FE79D0">
        <w:t>0</w:t>
      </w:r>
      <w:r>
        <w:t>:</w:t>
      </w:r>
      <w:r w:rsidRPr="0005627C">
        <w:t xml:space="preserve"> </w:t>
      </w:r>
      <w:r w:rsidRPr="00572116">
        <w:t>Propensity score densi</w:t>
      </w:r>
      <w:r>
        <w:t>ties</w:t>
      </w:r>
      <w:bookmarkEnd w:id="14"/>
    </w:p>
    <w:p w14:paraId="6267AB25" w14:textId="778324F7" w:rsidR="00B41DA0" w:rsidRDefault="00B41DA0" w:rsidP="00B41DA0">
      <w:pPr>
        <w:pStyle w:val="NoSpacing"/>
      </w:pPr>
      <w:r w:rsidRPr="00572116">
        <w:t>Density scores before</w:t>
      </w:r>
      <w:r>
        <w:t xml:space="preserve"> matching</w:t>
      </w:r>
      <w:r w:rsidRPr="00572116">
        <w:t xml:space="preserve"> (A) and after </w:t>
      </w:r>
      <w:r>
        <w:t xml:space="preserve">matching </w:t>
      </w:r>
      <w:r w:rsidRPr="00572116">
        <w:t xml:space="preserve">(B). </w:t>
      </w:r>
      <w:r w:rsidR="00F6782F">
        <w:t>Orange</w:t>
      </w:r>
      <w:r w:rsidRPr="00572116">
        <w:t xml:space="preserve"> bars </w:t>
      </w:r>
      <w:r>
        <w:t>represent</w:t>
      </w:r>
      <w:r w:rsidRPr="00572116">
        <w:t xml:space="preserve"> the </w:t>
      </w:r>
      <w:r w:rsidR="00F6782F">
        <w:t>spinal manipulative therapy (SMT)</w:t>
      </w:r>
      <w:r>
        <w:t xml:space="preserve"> cohort</w:t>
      </w:r>
      <w:r w:rsidRPr="00572116">
        <w:t xml:space="preserve"> while </w:t>
      </w:r>
      <w:r w:rsidR="00F6782F">
        <w:t>blue</w:t>
      </w:r>
      <w:r w:rsidRPr="00572116">
        <w:t xml:space="preserve"> bars represent the </w:t>
      </w:r>
      <w:r w:rsidR="00E526C1">
        <w:t>ibuprofen</w:t>
      </w:r>
      <w:r w:rsidRPr="00572116">
        <w:t xml:space="preserve"> cohort. </w:t>
      </w:r>
      <w:r>
        <w:t>Following</w:t>
      </w:r>
      <w:r w:rsidRPr="00572116">
        <w:t xml:space="preserve"> matching, densities </w:t>
      </w:r>
      <w:r>
        <w:t>are similar, indicating adequate balance of covariates.</w:t>
      </w:r>
    </w:p>
    <w:p w14:paraId="24CA581E" w14:textId="77777777" w:rsidR="005D22A3" w:rsidRDefault="005D22A3" w:rsidP="00B41DA0">
      <w:pPr>
        <w:pStyle w:val="NoSpacing"/>
      </w:pPr>
    </w:p>
    <w:p w14:paraId="1261F68A" w14:textId="77777777" w:rsidR="00B41DA0" w:rsidRDefault="00B41DA0" w:rsidP="00B41DA0">
      <w:pPr>
        <w:pStyle w:val="NoSpacing"/>
        <w:jc w:val="center"/>
      </w:pPr>
      <w:r>
        <w:rPr>
          <w:noProof/>
        </w:rPr>
        <w:drawing>
          <wp:inline distT="0" distB="0" distL="0" distR="0" wp14:anchorId="44015E25" wp14:editId="35D2F177">
            <wp:extent cx="5943600" cy="2703195"/>
            <wp:effectExtent l="0" t="0" r="3810" b="8890"/>
            <wp:docPr id="856494564" name="Picture 5"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494564" name="Picture 5" descr="A diagram of a graph&#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703195"/>
                    </a:xfrm>
                    <a:prstGeom prst="rect">
                      <a:avLst/>
                    </a:prstGeom>
                    <a:noFill/>
                    <a:ln>
                      <a:noFill/>
                    </a:ln>
                  </pic:spPr>
                </pic:pic>
              </a:graphicData>
            </a:graphic>
          </wp:inline>
        </w:drawing>
      </w:r>
    </w:p>
    <w:p w14:paraId="533BCEF8" w14:textId="0EFFBA35" w:rsidR="00B41DA0" w:rsidRDefault="00B41DA0" w:rsidP="00B41DA0">
      <w:pPr>
        <w:pStyle w:val="Heading1"/>
      </w:pPr>
      <w:bookmarkStart w:id="15" w:name="_Toc236836433"/>
      <w:r w:rsidRPr="00BE36CB">
        <w:t xml:space="preserve">Figure </w:t>
      </w:r>
      <w:r>
        <w:t>S</w:t>
      </w:r>
      <w:r w:rsidR="00ED6B6B">
        <w:t>1</w:t>
      </w:r>
      <w:r w:rsidR="00B13BB8">
        <w:t>1</w:t>
      </w:r>
      <w:r w:rsidRPr="00BE36CB">
        <w:t xml:space="preserve">: </w:t>
      </w:r>
      <w:r>
        <w:t>Loss to f</w:t>
      </w:r>
      <w:r w:rsidRPr="00BE36CB">
        <w:t>ollow-up</w:t>
      </w:r>
      <w:bookmarkEnd w:id="15"/>
    </w:p>
    <w:p w14:paraId="556A8945" w14:textId="7330057A" w:rsidR="00B41DA0" w:rsidRDefault="00B41DA0" w:rsidP="00B41DA0">
      <w:pPr>
        <w:pStyle w:val="Caption"/>
      </w:pPr>
      <w:r w:rsidRPr="00F23E1A">
        <w:t>Graph A</w:t>
      </w:r>
      <w:r w:rsidRPr="00F23E1A">
        <w:rPr>
          <w:rStyle w:val="SubtleEmphasis"/>
          <w:i/>
          <w:iCs/>
        </w:rPr>
        <w:t xml:space="preserve"> illustrates the proportion of patients remaining per cohort per over time, indicating the spinal manipulative therapy (SMT) cohort in orange and ibuprofen cohort in blue. Graph B shows the proportion of patients per cohort with data spanning at least the entire five-year follow-up (i.e., SMT: 97.1%; ibuprofen: 98.5%). </w:t>
      </w:r>
      <w:r w:rsidR="008A65AE">
        <w:rPr>
          <w:rStyle w:val="SubtleEmphasis"/>
          <w:i/>
          <w:iCs/>
        </w:rPr>
        <w:t>B</w:t>
      </w:r>
      <w:r w:rsidR="008A65AE" w:rsidRPr="008A65AE">
        <w:rPr>
          <w:rStyle w:val="SubtleEmphasis"/>
          <w:i/>
          <w:iCs/>
        </w:rPr>
        <w:t>oth cohorts had a median follow-up of 30 days with an interquartile range of zero</w:t>
      </w:r>
      <w:r w:rsidR="00F666B9">
        <w:rPr>
          <w:rStyle w:val="SubtleEmphasis"/>
          <w:i/>
          <w:iCs/>
        </w:rPr>
        <w:t>.</w:t>
      </w:r>
      <w:r w:rsidR="008A65AE" w:rsidRPr="008A65AE">
        <w:rPr>
          <w:rStyle w:val="SubtleEmphasis"/>
          <w:i/>
          <w:iCs/>
        </w:rPr>
        <w:t xml:space="preserve"> </w:t>
      </w:r>
      <w:r w:rsidRPr="00F23E1A">
        <w:rPr>
          <w:rStyle w:val="SubtleEmphasis"/>
          <w:i/>
          <w:iCs/>
        </w:rPr>
        <w:t xml:space="preserve">Plots generated using </w:t>
      </w:r>
      <w:r w:rsidRPr="00F23E1A">
        <w:t xml:space="preserve">R and R studio (version 4.2.2, Vienna, AT </w:t>
      </w:r>
      <w:r w:rsidRPr="00F23E1A">
        <w:fldChar w:fldCharType="begin"/>
      </w:r>
      <w:r w:rsidR="003E6EF5">
        <w:instrText xml:space="preserve"> ADDIN ZOTERO_ITEM CSL_CITATION {"citationID":"awNvOMax","properties":{"formattedCitation":"[34]","plainCitation":"[34]","noteIndex":0},"citationItems":[{"id":19248,"uris":["http://zotero.org/users/1179918/items/EG2SUY74"],"itemData":{"id":19248,"type":"book","publisher":"R Foundation for Statistical Computing","publisher-place":"Vienna, Austria","title":"R: A Language and Environment for Statistical Computing","URL":"https://www.R-project.org/","author":[{"literal":"R Core Team"}],"issued":{"date-parts":[["2022"]]}}}],"schema":"https://github.com/citation-style-language/schema/raw/master/csl-citation.json"} </w:instrText>
      </w:r>
      <w:r w:rsidRPr="00F23E1A">
        <w:fldChar w:fldCharType="separate"/>
      </w:r>
      <w:r w:rsidR="006E0AEA" w:rsidRPr="006E0AEA">
        <w:rPr>
          <w:rFonts w:ascii="Calibri" w:hAnsi="Calibri" w:cs="Calibri"/>
        </w:rPr>
        <w:t>[34]</w:t>
      </w:r>
      <w:r w:rsidRPr="00F23E1A">
        <w:fldChar w:fldCharType="end"/>
      </w:r>
      <w:r w:rsidRPr="00F23E1A">
        <w:t xml:space="preserve">) and ggplot2 </w:t>
      </w:r>
      <w:r w:rsidRPr="00F23E1A">
        <w:fldChar w:fldCharType="begin"/>
      </w:r>
      <w:r w:rsidR="006E0AEA">
        <w:instrText xml:space="preserve"> ADDIN ZOTERO_ITEM CSL_CITATION {"citationID":"a4ShCwVS","properties":{"formattedCitation":"[35]","plainCitation":"[35]","noteIndex":0},"citationItems":[{"id":19249,"uris":["http://zotero.org/users/1179918/items/5WCU62PP"],"itemData":{"id":19249,"type":"book","ISBN":"978-3-319-24277-4","publisher":"Springer-Verlag New York","title":"ggplot2: Elegant Graphics for Data Analysis","URL":"https://ggplot2.tidyverse.org","author":[{"family":"Wickham","given":"Hadley"}],"issued":{"date-parts":[["2016"]]}}}],"schema":"https://github.com/citation-style-language/schema/raw/master/csl-citation.json"} </w:instrText>
      </w:r>
      <w:r w:rsidRPr="00F23E1A">
        <w:fldChar w:fldCharType="separate"/>
      </w:r>
      <w:r w:rsidR="006E0AEA" w:rsidRPr="006E0AEA">
        <w:rPr>
          <w:rFonts w:ascii="Calibri" w:hAnsi="Calibri" w:cs="Calibri"/>
        </w:rPr>
        <w:t>[35]</w:t>
      </w:r>
      <w:r w:rsidRPr="00F23E1A">
        <w:fldChar w:fldCharType="end"/>
      </w:r>
      <w:r w:rsidRPr="00F23E1A">
        <w:t>.</w:t>
      </w:r>
    </w:p>
    <w:p w14:paraId="1CA9EC3B" w14:textId="77777777" w:rsidR="00AC0177" w:rsidRDefault="00AC0177" w:rsidP="00AC0177"/>
    <w:p w14:paraId="2F69D032" w14:textId="77777777" w:rsidR="00AC0177" w:rsidRPr="00AC0177" w:rsidRDefault="00AC0177" w:rsidP="00AC0177"/>
    <w:p w14:paraId="741FBD36" w14:textId="5558DACE" w:rsidR="00C22F24" w:rsidRDefault="00C22F24" w:rsidP="00C22F24">
      <w:r>
        <w:rPr>
          <w:noProof/>
        </w:rPr>
        <w:lastRenderedPageBreak/>
        <w:drawing>
          <wp:inline distT="0" distB="0" distL="0" distR="0" wp14:anchorId="3C4998F2" wp14:editId="1F221AF7">
            <wp:extent cx="5943600" cy="3343275"/>
            <wp:effectExtent l="0" t="0" r="0" b="9525"/>
            <wp:docPr id="1409975273" name="Picture 1" descr="A green and white graph with black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75273" name="Picture 1" descr="A green and white graph with black point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EB781E3" w14:textId="3238ED1B" w:rsidR="00AC0177" w:rsidRDefault="00AC0177" w:rsidP="00AC0177">
      <w:pPr>
        <w:pStyle w:val="Heading1"/>
      </w:pPr>
      <w:bookmarkStart w:id="16" w:name="_Toc236836434"/>
      <w:r w:rsidRPr="00BE36CB">
        <w:t xml:space="preserve">Figure </w:t>
      </w:r>
      <w:r>
        <w:t>S1</w:t>
      </w:r>
      <w:r w:rsidR="006A1917">
        <w:t>2</w:t>
      </w:r>
      <w:r w:rsidRPr="00BE36CB">
        <w:t xml:space="preserve">: </w:t>
      </w:r>
      <w:r>
        <w:t>Negative control outcomes</w:t>
      </w:r>
      <w:bookmarkEnd w:id="16"/>
    </w:p>
    <w:p w14:paraId="523EBA2F" w14:textId="2D4AB84C" w:rsidR="00B41DA0" w:rsidRDefault="00AC0177" w:rsidP="00C22F24">
      <w:pPr>
        <w:pStyle w:val="Caption"/>
      </w:pPr>
      <w:r w:rsidRPr="004740B2">
        <w:t xml:space="preserve">Point </w:t>
      </w:r>
      <w:r>
        <w:t xml:space="preserve">risk ratio </w:t>
      </w:r>
      <w:r w:rsidRPr="004740B2">
        <w:t>estimates and 95% confidence intervals (CI</w:t>
      </w:r>
      <w:r>
        <w:t>; error bars</w:t>
      </w:r>
      <w:r w:rsidRPr="004740B2">
        <w:t xml:space="preserve">) are shown. The </w:t>
      </w:r>
      <w:r>
        <w:t>green</w:t>
      </w:r>
      <w:r w:rsidRPr="004740B2">
        <w:t xml:space="preserve"> area </w:t>
      </w:r>
      <w:r>
        <w:t xml:space="preserve">represents estimates from </w:t>
      </w:r>
      <w:r w:rsidRPr="004740B2">
        <w:t>0.73 to 1.38</w:t>
      </w:r>
      <w:r>
        <w:t>, indicating</w:t>
      </w:r>
      <w:r w:rsidRPr="004740B2">
        <w:t xml:space="preserve"> the </w:t>
      </w:r>
      <w:r>
        <w:t xml:space="preserve">predefined </w:t>
      </w:r>
      <w:r w:rsidRPr="004740B2">
        <w:t xml:space="preserve">bounds for </w:t>
      </w:r>
      <w:r>
        <w:t>negative control outcome</w:t>
      </w:r>
      <w:r w:rsidRPr="004740B2">
        <w:t xml:space="preserve"> balance</w:t>
      </w:r>
      <w:r>
        <w:t xml:space="preserve"> while the vertical dotted line indicates the null value of 1.0</w:t>
      </w:r>
      <w:r w:rsidRPr="004740B2">
        <w:t>.</w:t>
      </w:r>
      <w:r>
        <w:t xml:space="preserve"> Abbreviation: Magnetic resonance imaging</w:t>
      </w:r>
      <w:r w:rsidR="00C8405E">
        <w:t xml:space="preserve"> (MRI)</w:t>
      </w:r>
      <w:r>
        <w:t>.</w:t>
      </w:r>
    </w:p>
    <w:p w14:paraId="36432224" w14:textId="680C7D5B" w:rsidR="008611EA" w:rsidRDefault="008611EA" w:rsidP="008611EA">
      <w:pPr>
        <w:pStyle w:val="Heading1"/>
      </w:pPr>
      <w:bookmarkStart w:id="17" w:name="_Toc236836435"/>
      <w:r>
        <w:t xml:space="preserve">Table </w:t>
      </w:r>
      <w:r w:rsidR="00C23287">
        <w:t>S5</w:t>
      </w:r>
      <w:r>
        <w:t>: E-value</w:t>
      </w:r>
      <w:r w:rsidR="006E0AEA">
        <w:t>s</w:t>
      </w:r>
      <w:bookmarkEnd w:id="17"/>
    </w:p>
    <w:tbl>
      <w:tblPr>
        <w:tblStyle w:val="TableGrid"/>
        <w:tblW w:w="0" w:type="auto"/>
        <w:tblLook w:val="04A0" w:firstRow="1" w:lastRow="0" w:firstColumn="1" w:lastColumn="0" w:noHBand="0" w:noVBand="1"/>
      </w:tblPr>
      <w:tblGrid>
        <w:gridCol w:w="2325"/>
        <w:gridCol w:w="1230"/>
        <w:gridCol w:w="2149"/>
      </w:tblGrid>
      <w:tr w:rsidR="008611EA" w14:paraId="272B1AA9" w14:textId="77777777" w:rsidTr="006E0AEA">
        <w:trPr>
          <w:trHeight w:val="445"/>
        </w:trPr>
        <w:tc>
          <w:tcPr>
            <w:tcW w:w="2325" w:type="dxa"/>
          </w:tcPr>
          <w:p w14:paraId="48818523" w14:textId="77777777" w:rsidR="008611EA" w:rsidRPr="009543A0" w:rsidRDefault="008611EA" w:rsidP="000E011D">
            <w:pPr>
              <w:rPr>
                <w:b/>
                <w:bCs/>
              </w:rPr>
            </w:pPr>
            <w:r w:rsidRPr="009543A0">
              <w:rPr>
                <w:b/>
                <w:bCs/>
              </w:rPr>
              <w:t>Outcome</w:t>
            </w:r>
          </w:p>
        </w:tc>
        <w:tc>
          <w:tcPr>
            <w:tcW w:w="1230" w:type="dxa"/>
          </w:tcPr>
          <w:p w14:paraId="2BDD6330" w14:textId="77777777" w:rsidR="008611EA" w:rsidRPr="009543A0" w:rsidRDefault="008611EA" w:rsidP="000E011D">
            <w:pPr>
              <w:rPr>
                <w:b/>
                <w:bCs/>
              </w:rPr>
            </w:pPr>
            <w:r w:rsidRPr="009543A0">
              <w:rPr>
                <w:b/>
                <w:bCs/>
              </w:rPr>
              <w:t>E-value</w:t>
            </w:r>
          </w:p>
        </w:tc>
        <w:tc>
          <w:tcPr>
            <w:tcW w:w="2149" w:type="dxa"/>
          </w:tcPr>
          <w:p w14:paraId="6732E940" w14:textId="77777777" w:rsidR="008611EA" w:rsidRPr="009543A0" w:rsidRDefault="008611EA" w:rsidP="000E011D">
            <w:pPr>
              <w:rPr>
                <w:b/>
                <w:bCs/>
              </w:rPr>
            </w:pPr>
            <w:r w:rsidRPr="009543A0">
              <w:rPr>
                <w:b/>
                <w:bCs/>
              </w:rPr>
              <w:t xml:space="preserve">E-value for </w:t>
            </w:r>
            <w:r>
              <w:rPr>
                <w:b/>
                <w:bCs/>
              </w:rPr>
              <w:t xml:space="preserve">lower </w:t>
            </w:r>
            <w:r w:rsidRPr="009543A0">
              <w:rPr>
                <w:b/>
                <w:bCs/>
              </w:rPr>
              <w:t>confidence interval</w:t>
            </w:r>
          </w:p>
        </w:tc>
      </w:tr>
      <w:tr w:rsidR="008611EA" w14:paraId="7B17E9FB" w14:textId="77777777" w:rsidTr="006E0AEA">
        <w:trPr>
          <w:trHeight w:val="287"/>
        </w:trPr>
        <w:tc>
          <w:tcPr>
            <w:tcW w:w="2325" w:type="dxa"/>
          </w:tcPr>
          <w:p w14:paraId="3BAA9A24" w14:textId="77777777" w:rsidR="008611EA" w:rsidRDefault="008611EA" w:rsidP="000E011D">
            <w:r>
              <w:t>Cervical artery dissection</w:t>
            </w:r>
          </w:p>
        </w:tc>
        <w:tc>
          <w:tcPr>
            <w:tcW w:w="1230" w:type="dxa"/>
          </w:tcPr>
          <w:p w14:paraId="1AE81B44" w14:textId="77777777" w:rsidR="008611EA" w:rsidRDefault="008611EA" w:rsidP="000E011D">
            <w:r>
              <w:t>3.18</w:t>
            </w:r>
          </w:p>
        </w:tc>
        <w:tc>
          <w:tcPr>
            <w:tcW w:w="2149" w:type="dxa"/>
          </w:tcPr>
          <w:p w14:paraId="556ABE6B" w14:textId="77777777" w:rsidR="008611EA" w:rsidRDefault="008611EA" w:rsidP="000E011D">
            <w:r>
              <w:t>1.70</w:t>
            </w:r>
          </w:p>
        </w:tc>
      </w:tr>
      <w:tr w:rsidR="008611EA" w14:paraId="1E2F3C73" w14:textId="77777777" w:rsidTr="006E0AEA">
        <w:trPr>
          <w:trHeight w:val="273"/>
        </w:trPr>
        <w:tc>
          <w:tcPr>
            <w:tcW w:w="2325" w:type="dxa"/>
          </w:tcPr>
          <w:p w14:paraId="5F783D97" w14:textId="77777777" w:rsidR="008611EA" w:rsidRDefault="008611EA" w:rsidP="000E011D">
            <w:r>
              <w:t>Carotid artery dissection</w:t>
            </w:r>
          </w:p>
        </w:tc>
        <w:tc>
          <w:tcPr>
            <w:tcW w:w="1230" w:type="dxa"/>
          </w:tcPr>
          <w:p w14:paraId="22DFA9FE" w14:textId="77777777" w:rsidR="008611EA" w:rsidRDefault="008611EA" w:rsidP="000E011D">
            <w:r w:rsidRPr="009543A0">
              <w:t>4.44</w:t>
            </w:r>
          </w:p>
        </w:tc>
        <w:tc>
          <w:tcPr>
            <w:tcW w:w="2149" w:type="dxa"/>
          </w:tcPr>
          <w:p w14:paraId="79892A78" w14:textId="77777777" w:rsidR="008611EA" w:rsidRDefault="008611EA" w:rsidP="000E011D">
            <w:r w:rsidRPr="009543A0">
              <w:t>1.88</w:t>
            </w:r>
          </w:p>
        </w:tc>
      </w:tr>
      <w:tr w:rsidR="008611EA" w14:paraId="124001CF" w14:textId="77777777" w:rsidTr="006E0AEA">
        <w:trPr>
          <w:trHeight w:val="258"/>
        </w:trPr>
        <w:tc>
          <w:tcPr>
            <w:tcW w:w="2325" w:type="dxa"/>
          </w:tcPr>
          <w:p w14:paraId="152ECF30" w14:textId="77777777" w:rsidR="008611EA" w:rsidRDefault="008611EA" w:rsidP="000E011D">
            <w:r>
              <w:t>Vertebral artery dissection</w:t>
            </w:r>
          </w:p>
        </w:tc>
        <w:tc>
          <w:tcPr>
            <w:tcW w:w="1230" w:type="dxa"/>
          </w:tcPr>
          <w:p w14:paraId="3FCF1BE3" w14:textId="77777777" w:rsidR="008611EA" w:rsidRDefault="008611EA" w:rsidP="000E011D">
            <w:r w:rsidRPr="009543A0">
              <w:t>2.35</w:t>
            </w:r>
          </w:p>
        </w:tc>
        <w:tc>
          <w:tcPr>
            <w:tcW w:w="2149" w:type="dxa"/>
          </w:tcPr>
          <w:p w14:paraId="076D96D4" w14:textId="77777777" w:rsidR="008611EA" w:rsidRDefault="008611EA" w:rsidP="000E011D">
            <w:r>
              <w:t>1.00</w:t>
            </w:r>
          </w:p>
        </w:tc>
      </w:tr>
    </w:tbl>
    <w:p w14:paraId="7C7BD90F" w14:textId="77777777" w:rsidR="008611EA" w:rsidRPr="008611EA" w:rsidRDefault="008611EA" w:rsidP="008611EA"/>
    <w:p w14:paraId="34279041" w14:textId="7F3D8266" w:rsidR="00C81629" w:rsidRDefault="00C81629" w:rsidP="00C81629">
      <w:pPr>
        <w:pStyle w:val="Heading1"/>
      </w:pPr>
      <w:bookmarkStart w:id="18" w:name="_Toc236836436"/>
      <w:r>
        <w:t>References</w:t>
      </w:r>
      <w:bookmarkEnd w:id="18"/>
    </w:p>
    <w:p w14:paraId="0F795D35" w14:textId="77777777" w:rsidR="008875A9" w:rsidRPr="008875A9" w:rsidRDefault="00C81629" w:rsidP="008875A9">
      <w:pPr>
        <w:pStyle w:val="Bibliography"/>
      </w:pPr>
      <w:r>
        <w:fldChar w:fldCharType="begin"/>
      </w:r>
      <w:r w:rsidR="008875A9">
        <w:instrText xml:space="preserve"> ADDIN ZOTERO_BIBL {"uncited":[],"omitted":[],"custom":[]} CSL_BIBLIOGRAPHY </w:instrText>
      </w:r>
      <w:r>
        <w:fldChar w:fldCharType="separate"/>
      </w:r>
      <w:r w:rsidR="008875A9" w:rsidRPr="008875A9">
        <w:t>1.</w:t>
      </w:r>
      <w:r w:rsidR="008875A9" w:rsidRPr="008875A9">
        <w:tab/>
        <w:t>Wang SV, Schneeweiss S: A Framework for Visualizing Study Designs and Data Observability in Electronic Health Record Data. Clin Epidemiol. 2022, 14:601–8. 10.2147/CLEP.S358583</w:t>
      </w:r>
    </w:p>
    <w:p w14:paraId="3DF97812" w14:textId="77777777" w:rsidR="008875A9" w:rsidRPr="008875A9" w:rsidRDefault="008875A9" w:rsidP="008875A9">
      <w:pPr>
        <w:pStyle w:val="Bibliography"/>
      </w:pPr>
      <w:r w:rsidRPr="008875A9">
        <w:t>2.</w:t>
      </w:r>
      <w:r w:rsidRPr="008875A9">
        <w:tab/>
        <w:t>Shu L, Strelecky L, de Havenon A, et al.: Incidence Trends and Risk of Recurrent Stroke of Cervical Artery Dissections in the United States Between 2005 and 2019. Neurology. 2025, 104:e213548. 10.1212/WNL.0000000000213548</w:t>
      </w:r>
    </w:p>
    <w:p w14:paraId="26801EC3" w14:textId="77777777" w:rsidR="008875A9" w:rsidRPr="008875A9" w:rsidRDefault="008875A9" w:rsidP="008875A9">
      <w:pPr>
        <w:pStyle w:val="Bibliography"/>
      </w:pPr>
      <w:r w:rsidRPr="008875A9">
        <w:t>3.</w:t>
      </w:r>
      <w:r w:rsidRPr="008875A9">
        <w:tab/>
        <w:t>Grau AJ, Brandt T, Buggle F, et al.: Association of Cervical Artery Dissection With Recent Infection. Arch Neurol. 1999, 56:851–6. 10.1001/archneur.56.7.851</w:t>
      </w:r>
    </w:p>
    <w:p w14:paraId="1C28D89D" w14:textId="77777777" w:rsidR="008875A9" w:rsidRPr="008875A9" w:rsidRDefault="008875A9" w:rsidP="008875A9">
      <w:pPr>
        <w:pStyle w:val="Bibliography"/>
      </w:pPr>
      <w:r w:rsidRPr="008875A9">
        <w:t>4.</w:t>
      </w:r>
      <w:r w:rsidRPr="008875A9">
        <w:tab/>
        <w:t>Witsch J, Rutrick SB, Lansdale KN, et al.: Influenza-Like Illness as a Short-Term Risk Factor for Arterial Dissection. Stroke. 2023, 54:e66–8. 10.1161/STROKEAHA.122.042367</w:t>
      </w:r>
    </w:p>
    <w:p w14:paraId="660AB43B" w14:textId="77777777" w:rsidR="008875A9" w:rsidRPr="008875A9" w:rsidRDefault="008875A9" w:rsidP="008875A9">
      <w:pPr>
        <w:pStyle w:val="Bibliography"/>
      </w:pPr>
      <w:r w:rsidRPr="008875A9">
        <w:t>5.</w:t>
      </w:r>
      <w:r w:rsidRPr="008875A9">
        <w:tab/>
        <w:t>Heidari E, Zalmai R, Richards K, Sakthisivabalan L, Brown C: Z-code documentation to identify social determinants of health among Medicaid beneficiaries. Res Soc Adm Pharm RSAP. 2023, 19:180–3. 10.1016/j.sapharm.2022.10.010</w:t>
      </w:r>
    </w:p>
    <w:p w14:paraId="43B13A4A" w14:textId="77777777" w:rsidR="008875A9" w:rsidRPr="008875A9" w:rsidRDefault="008875A9" w:rsidP="008875A9">
      <w:pPr>
        <w:pStyle w:val="Bibliography"/>
      </w:pPr>
      <w:r w:rsidRPr="008875A9">
        <w:t>6.</w:t>
      </w:r>
      <w:r w:rsidRPr="008875A9">
        <w:tab/>
        <w:t>Schulte A, Donovan AL, McAdam-Marx C: From access to equity: The devil is in ‘Z’ details. J Manag Care Spec Pharm. 2022, 28:685–7. 10.18553/jmcp.2022.28.6.685</w:t>
      </w:r>
    </w:p>
    <w:p w14:paraId="0115F038" w14:textId="77777777" w:rsidR="008875A9" w:rsidRPr="008875A9" w:rsidRDefault="008875A9" w:rsidP="008875A9">
      <w:pPr>
        <w:pStyle w:val="Bibliography"/>
      </w:pPr>
      <w:r w:rsidRPr="008875A9">
        <w:t>7.</w:t>
      </w:r>
      <w:r w:rsidRPr="008875A9">
        <w:tab/>
        <w:t>Kellert L, Grau A, Pezzini A, et al.: University education and cervical artery dissection. J Neurol. 2018, 265:1065–70. 10.1007/s00415-018-8798-7</w:t>
      </w:r>
    </w:p>
    <w:p w14:paraId="41AD44D3" w14:textId="77777777" w:rsidR="008875A9" w:rsidRPr="008875A9" w:rsidRDefault="008875A9" w:rsidP="008875A9">
      <w:pPr>
        <w:pStyle w:val="Bibliography"/>
      </w:pPr>
      <w:r w:rsidRPr="008875A9">
        <w:lastRenderedPageBreak/>
        <w:t>8.</w:t>
      </w:r>
      <w:r w:rsidRPr="008875A9">
        <w:tab/>
        <w:t>Witsch J, Mir SA, Parikh NS, et al.: Association Between Cervical Artery Dissection and Aortic Dissection. Circulation. 2021, 144:840–2. 10.1161/CIRCULATIONAHA.121.055274</w:t>
      </w:r>
    </w:p>
    <w:p w14:paraId="2F361A23" w14:textId="77777777" w:rsidR="008875A9" w:rsidRPr="008875A9" w:rsidRDefault="008875A9" w:rsidP="008875A9">
      <w:pPr>
        <w:pStyle w:val="Bibliography"/>
      </w:pPr>
      <w:r w:rsidRPr="008875A9">
        <w:t>9.</w:t>
      </w:r>
      <w:r w:rsidRPr="008875A9">
        <w:tab/>
        <w:t>Debette S: Pathophysiology and risk factors of cervical artery dissection: what have we learnt from large hospital-based cohorts? Curr Opin Neurol. 2014, 27:20–8. 10.1097/WCO.0000000000000056</w:t>
      </w:r>
    </w:p>
    <w:p w14:paraId="49957A98" w14:textId="77777777" w:rsidR="008875A9" w:rsidRPr="008875A9" w:rsidRDefault="008875A9" w:rsidP="008875A9">
      <w:pPr>
        <w:pStyle w:val="Bibliography"/>
      </w:pPr>
      <w:r w:rsidRPr="008875A9">
        <w:t>10.</w:t>
      </w:r>
      <w:r w:rsidRPr="008875A9">
        <w:tab/>
        <w:t>Li H, Song P, Yang W, et al.: Association Between Autoimmune Diseases and Spontaneous Cervicocranial Arterial Dissection. Front Immunol. 2022, 12:820039. 10.3389/fimmu.2021.820039</w:t>
      </w:r>
    </w:p>
    <w:p w14:paraId="068CF6CF" w14:textId="77777777" w:rsidR="008875A9" w:rsidRPr="008875A9" w:rsidRDefault="008875A9" w:rsidP="008875A9">
      <w:pPr>
        <w:pStyle w:val="Bibliography"/>
      </w:pPr>
      <w:r w:rsidRPr="008875A9">
        <w:t>11.</w:t>
      </w:r>
      <w:r w:rsidRPr="008875A9">
        <w:tab/>
        <w:t>Pezzini A, Del Zotto E, Mazziotti G, et al.: Thyroid Autoimmunity and Spontaneous Cervical Artery Dissection. Stroke. 2006, 37:2375–7. 10.1161/01.STR.0000236500.15976.f3</w:t>
      </w:r>
    </w:p>
    <w:p w14:paraId="68E511A7" w14:textId="77777777" w:rsidR="008875A9" w:rsidRPr="008875A9" w:rsidRDefault="008875A9" w:rsidP="008875A9">
      <w:pPr>
        <w:pStyle w:val="Bibliography"/>
      </w:pPr>
      <w:r w:rsidRPr="008875A9">
        <w:t>12.</w:t>
      </w:r>
      <w:r w:rsidRPr="008875A9">
        <w:tab/>
        <w:t>Abdelnour LH, Abdalla ME, Elhassan S, Kheirelseid EAH: Meta-analysis of cardiovascular risk profile of stroke secondary to spontaneous cervical artery dissection compared to ischemic stroke of other causes. Health Sci Rev. 2022, 5:100058. 10.1016/j.hsr.2022.100058</w:t>
      </w:r>
    </w:p>
    <w:p w14:paraId="36E3252F" w14:textId="77777777" w:rsidR="008875A9" w:rsidRPr="008875A9" w:rsidRDefault="008875A9" w:rsidP="008875A9">
      <w:pPr>
        <w:pStyle w:val="Bibliography"/>
      </w:pPr>
      <w:r w:rsidRPr="008875A9">
        <w:t>13.</w:t>
      </w:r>
      <w:r w:rsidRPr="008875A9">
        <w:tab/>
        <w:t>Del Zotto E, Grassi M, Zedde M, et al.: Risk Profile of Patients with Spontaneous Cervical Artery Dissection. Ann Neurol. 2023, 94:585–95. 10.1002/ana.26717</w:t>
      </w:r>
    </w:p>
    <w:p w14:paraId="43165D08" w14:textId="77777777" w:rsidR="008875A9" w:rsidRPr="008875A9" w:rsidRDefault="008875A9" w:rsidP="008875A9">
      <w:pPr>
        <w:pStyle w:val="Bibliography"/>
      </w:pPr>
      <w:r w:rsidRPr="008875A9">
        <w:t>14.</w:t>
      </w:r>
      <w:r w:rsidRPr="008875A9">
        <w:tab/>
        <w:t>Engelter ST, Grond-Ginsbach C, Metso TM, et al.: Cervical artery dissection: trauma and other potential mechanical trigger events. Neurology. 2013, 80:1950–7. 10.1212/WNL.0b013e318293e2eb</w:t>
      </w:r>
    </w:p>
    <w:p w14:paraId="4BFBD765" w14:textId="77777777" w:rsidR="008875A9" w:rsidRPr="008875A9" w:rsidRDefault="008875A9" w:rsidP="008875A9">
      <w:pPr>
        <w:pStyle w:val="Bibliography"/>
      </w:pPr>
      <w:r w:rsidRPr="008875A9">
        <w:t>15.</w:t>
      </w:r>
      <w:r w:rsidRPr="008875A9">
        <w:tab/>
        <w:t>Gallai V, Caso V, Paciaroni M, Cardaioli G, Arning E, Bottiglieri T, Parnetti L: Mild Hyperhomocyst(e)inemia. Stroke. 2001, 32:714–8. 10.1161/01.STR.32.3.714</w:t>
      </w:r>
    </w:p>
    <w:p w14:paraId="17830F37" w14:textId="77777777" w:rsidR="008875A9" w:rsidRPr="008875A9" w:rsidRDefault="008875A9" w:rsidP="008875A9">
      <w:pPr>
        <w:pStyle w:val="Bibliography"/>
      </w:pPr>
      <w:r w:rsidRPr="008875A9">
        <w:t>16.</w:t>
      </w:r>
      <w:r w:rsidRPr="008875A9">
        <w:tab/>
        <w:t>Abdelnour LH, Abdalla ME, Elhassan S, Kheirelseid EAH: Diabetes, hypertension, smoking, and hyperlipidemia as risk factors for spontaneous cervical artery dissection: Meta-analysis of case-control studies. Curr J Neurol. 2022, 21:183–93. 10.18502/cjn.v21i3.11112</w:t>
      </w:r>
    </w:p>
    <w:p w14:paraId="19EB7C70" w14:textId="77777777" w:rsidR="008875A9" w:rsidRPr="008875A9" w:rsidRDefault="008875A9" w:rsidP="008875A9">
      <w:pPr>
        <w:pStyle w:val="Bibliography"/>
      </w:pPr>
      <w:r w:rsidRPr="008875A9">
        <w:t>17.</w:t>
      </w:r>
      <w:r w:rsidRPr="008875A9">
        <w:tab/>
        <w:t>Hori S, Hori E, Umemura K, et al.: Anatomical Variations of Vertebrobasilar Artery are Closely Related to the Occurrence of Vertebral Artery Dissection—An MR Angiography Study. J Stroke Cerebrovasc Dis. 2020, 29:104636. 10.1016/j.jstrokecerebrovasdis.2020.104636</w:t>
      </w:r>
    </w:p>
    <w:p w14:paraId="7A1184CA" w14:textId="77777777" w:rsidR="008875A9" w:rsidRPr="008875A9" w:rsidRDefault="008875A9" w:rsidP="008875A9">
      <w:pPr>
        <w:pStyle w:val="Bibliography"/>
      </w:pPr>
      <w:r w:rsidRPr="008875A9">
        <w:t>18.</w:t>
      </w:r>
      <w:r w:rsidRPr="008875A9">
        <w:tab/>
        <w:t>Smith WS, Johnston SC, Skalabrin EJ, Weaver M, Azari P, Albers GW, Gress DR: Spinal manipulative therapy is an independent risk factor for vertebral artery dissection. Neurology. 2003, 60:1424–8. 10.1212/01.WNL.0000063305.61050.E6</w:t>
      </w:r>
    </w:p>
    <w:p w14:paraId="0D202AC1" w14:textId="77777777" w:rsidR="008875A9" w:rsidRPr="008875A9" w:rsidRDefault="008875A9" w:rsidP="008875A9">
      <w:pPr>
        <w:pStyle w:val="Bibliography"/>
      </w:pPr>
      <w:r w:rsidRPr="008875A9">
        <w:t>19.</w:t>
      </w:r>
      <w:r w:rsidRPr="008875A9">
        <w:tab/>
        <w:t>Al-banaa K, Alshaikhli A, AL-Hareeri A, Abdelhalim M, Al-Hillan A, Joshi T: Arterial Dissection in Antiphospholipid Syndrome Patients: Two Case Reports and a Literature Review. Eur J Case Rep Intern Med. 2021, 8:002610. 10.12890/2021_002610</w:t>
      </w:r>
    </w:p>
    <w:p w14:paraId="2614DAD9" w14:textId="77777777" w:rsidR="008875A9" w:rsidRPr="008875A9" w:rsidRDefault="008875A9" w:rsidP="008875A9">
      <w:pPr>
        <w:pStyle w:val="Bibliography"/>
      </w:pPr>
      <w:r w:rsidRPr="008875A9">
        <w:t>20.</w:t>
      </w:r>
      <w:r w:rsidRPr="008875A9">
        <w:tab/>
        <w:t>Traenka C, Kloss M, Strom T, et al.: Rare genetic variants in patients with cervical artery dissection. Eur Stroke J. 2019, 4:355–62. 10.1177/2396987319861869</w:t>
      </w:r>
    </w:p>
    <w:p w14:paraId="091C7B2C" w14:textId="77777777" w:rsidR="008875A9" w:rsidRPr="008875A9" w:rsidRDefault="008875A9" w:rsidP="008875A9">
      <w:pPr>
        <w:pStyle w:val="Bibliography"/>
      </w:pPr>
      <w:r w:rsidRPr="008875A9">
        <w:t>21.</w:t>
      </w:r>
      <w:r w:rsidRPr="008875A9">
        <w:tab/>
        <w:t>Trager RJ, Daniels CJ, Scott ZE, Perez JA: Pregnancy and spontaneous cervical artery dissection: A propensity-matched retrospective cohort study. J Stroke Cerebrovasc Dis. 2023, 32:107384. 10.1016/j.jstrokecerebrovasdis.2023.107384</w:t>
      </w:r>
    </w:p>
    <w:p w14:paraId="24ADED46" w14:textId="77777777" w:rsidR="008875A9" w:rsidRPr="008875A9" w:rsidRDefault="008875A9" w:rsidP="008875A9">
      <w:pPr>
        <w:pStyle w:val="Bibliography"/>
      </w:pPr>
      <w:r w:rsidRPr="008875A9">
        <w:t>22.</w:t>
      </w:r>
      <w:r w:rsidRPr="008875A9">
        <w:tab/>
        <w:t>Li H, Xu S, Xu B, Zhang Y, Yin J, Yang Y: Unraveling the Links between Chronic Inflammation, Autoimmunity, and Spontaneous Cervicocranial Arterial Dissection. J Clin Med. 2023, 12:5132. 10.3390/jcm12155132</w:t>
      </w:r>
    </w:p>
    <w:p w14:paraId="3F74694D" w14:textId="77777777" w:rsidR="008875A9" w:rsidRPr="008875A9" w:rsidRDefault="008875A9" w:rsidP="008875A9">
      <w:pPr>
        <w:pStyle w:val="Bibliography"/>
      </w:pPr>
      <w:r w:rsidRPr="008875A9">
        <w:t>23.</w:t>
      </w:r>
      <w:r w:rsidRPr="008875A9">
        <w:tab/>
        <w:t>Trager RJ, Lynn BP, Baumann AN, Chu EC-P: Systemic lupus erythematosus is associated with an increased risk of cervical artery dissection. Sci Rep. 2025, 15:1194. 10.1038/s41598-025-85655-2</w:t>
      </w:r>
    </w:p>
    <w:p w14:paraId="6FF884C3" w14:textId="77777777" w:rsidR="008875A9" w:rsidRPr="008875A9" w:rsidRDefault="008875A9" w:rsidP="008875A9">
      <w:pPr>
        <w:pStyle w:val="Bibliography"/>
      </w:pPr>
      <w:r w:rsidRPr="008875A9">
        <w:t>24.</w:t>
      </w:r>
      <w:r w:rsidRPr="008875A9">
        <w:tab/>
        <w:t>Roberto G, Piccinni C, D’Alessandro R, Poluzzi E: Triptans and serious adverse vascular events: Data mining of the FDA Adverse Event Reporting System database. Cephalalgia. 2014, 34:5–13. 10.1177/0333102413499649</w:t>
      </w:r>
    </w:p>
    <w:p w14:paraId="2C0A2C38" w14:textId="77777777" w:rsidR="008875A9" w:rsidRPr="008875A9" w:rsidRDefault="008875A9" w:rsidP="008875A9">
      <w:pPr>
        <w:pStyle w:val="Bibliography"/>
      </w:pPr>
      <w:r w:rsidRPr="008875A9">
        <w:t>25.</w:t>
      </w:r>
      <w:r w:rsidRPr="008875A9">
        <w:tab/>
        <w:t>D’Anglejan-Chatillon J, Ribeiro V, Mas J l., Youl B d., Bousser M g.: Migraine - A Risk Factor for Dissection of Cervical Arteries. Headache J Head Face Pain. 1989, 29:560–1. 10.1111/j.1526-4610.1989.hed2909560.x</w:t>
      </w:r>
    </w:p>
    <w:p w14:paraId="1D4F3218" w14:textId="77777777" w:rsidR="008875A9" w:rsidRPr="008875A9" w:rsidRDefault="008875A9" w:rsidP="008875A9">
      <w:pPr>
        <w:pStyle w:val="Bibliography"/>
      </w:pPr>
      <w:r w:rsidRPr="008875A9">
        <w:t>26.</w:t>
      </w:r>
      <w:r w:rsidRPr="008875A9">
        <w:tab/>
        <w:t>Trager RJ, Haering CP, Baumann AN, Wright DS: Association between combined oral contraceptive prescription and cervical artery dissection: A retrospective cohort study. Thromb Res. 2025, 247:109279. 10.1016/j.thromres.2025.109279</w:t>
      </w:r>
    </w:p>
    <w:p w14:paraId="02417CB8" w14:textId="77777777" w:rsidR="008875A9" w:rsidRPr="008875A9" w:rsidRDefault="008875A9" w:rsidP="008875A9">
      <w:pPr>
        <w:pStyle w:val="Bibliography"/>
      </w:pPr>
      <w:r w:rsidRPr="008875A9">
        <w:lastRenderedPageBreak/>
        <w:t>27.</w:t>
      </w:r>
      <w:r w:rsidRPr="008875A9">
        <w:tab/>
        <w:t>Zotto ED, Pezzini A: Use of fluoroquinolones and the risk of spontaneous cervical artery dissection. Eur J Neurol. 2019, 26:1028–31. https://doi.org/10.1111/ene.13917</w:t>
      </w:r>
    </w:p>
    <w:p w14:paraId="255A4296" w14:textId="77777777" w:rsidR="008875A9" w:rsidRPr="008875A9" w:rsidRDefault="008875A9" w:rsidP="008875A9">
      <w:pPr>
        <w:pStyle w:val="Bibliography"/>
      </w:pPr>
      <w:r w:rsidRPr="008875A9">
        <w:t>28.</w:t>
      </w:r>
      <w:r w:rsidRPr="008875A9">
        <w:tab/>
        <w:t>Chevan J, Riddle DL: Factors associated with care seeking from physicians, physical therapists, or chiropractors by persons with spinal pain: a population-based study. J Orthop Sports Phys Ther. 2011, 41:467–76. 10.2519/jospt.2011.3637</w:t>
      </w:r>
    </w:p>
    <w:p w14:paraId="12B940A0" w14:textId="77777777" w:rsidR="008875A9" w:rsidRPr="008875A9" w:rsidRDefault="008875A9" w:rsidP="008875A9">
      <w:pPr>
        <w:pStyle w:val="Bibliography"/>
      </w:pPr>
      <w:r w:rsidRPr="008875A9">
        <w:t>29.</w:t>
      </w:r>
      <w:r w:rsidRPr="008875A9">
        <w:tab/>
        <w:t>Adams J, Peng W, Cramer H, et al.: The Prevalence, Patterns, and Predictors of Chiropractic Use Among US Adults: Results From the 2012 National Health Interview Survey. Spine. 2017, 42:1810–6. 10.1097/BRS.0000000000002218</w:t>
      </w:r>
    </w:p>
    <w:p w14:paraId="67F0F338" w14:textId="77777777" w:rsidR="008875A9" w:rsidRPr="008875A9" w:rsidRDefault="008875A9" w:rsidP="008875A9">
      <w:pPr>
        <w:pStyle w:val="Bibliography"/>
      </w:pPr>
      <w:r w:rsidRPr="008875A9">
        <w:t>30.</w:t>
      </w:r>
      <w:r w:rsidRPr="008875A9">
        <w:tab/>
        <w:t>Textor J, van der Zander B, Gilthorpe MS, Liskiewicz M, Ellison GT: Robust causal inference using directed acyclic graphs: the R package ‘dagitty’. Int J Epidemiol. 2016, 45:1887–94. 10.1093/ije/dyw341</w:t>
      </w:r>
    </w:p>
    <w:p w14:paraId="21AF94EB" w14:textId="77777777" w:rsidR="008875A9" w:rsidRPr="008875A9" w:rsidRDefault="008875A9" w:rsidP="008875A9">
      <w:pPr>
        <w:pStyle w:val="Bibliography"/>
      </w:pPr>
      <w:r w:rsidRPr="008875A9">
        <w:t>31.</w:t>
      </w:r>
      <w:r w:rsidRPr="008875A9">
        <w:tab/>
        <w:t xml:space="preserve">Barrett M: ggdag: Analyze and Create Elegant Directed Acyclic Graphs. 2024. </w:t>
      </w:r>
    </w:p>
    <w:p w14:paraId="67F0D296" w14:textId="77777777" w:rsidR="008875A9" w:rsidRPr="008875A9" w:rsidRDefault="008875A9" w:rsidP="008875A9">
      <w:pPr>
        <w:pStyle w:val="Bibliography"/>
      </w:pPr>
      <w:r w:rsidRPr="008875A9">
        <w:t>32.</w:t>
      </w:r>
      <w:r w:rsidRPr="008875A9">
        <w:tab/>
        <w:t>Austin PC: Balance diagnostics for comparing the distribution of baseline covariates between treatment groups in propensity-score matched samples. Stat Med. 2009, 28:3083–107. 10.1002/sim.3697</w:t>
      </w:r>
    </w:p>
    <w:p w14:paraId="1CCBAED1" w14:textId="77777777" w:rsidR="008875A9" w:rsidRPr="008875A9" w:rsidRDefault="008875A9" w:rsidP="008875A9">
      <w:pPr>
        <w:pStyle w:val="Bibliography"/>
      </w:pPr>
      <w:r w:rsidRPr="008875A9">
        <w:t>33.</w:t>
      </w:r>
      <w:r w:rsidRPr="008875A9">
        <w:tab/>
        <w:t>Stuart EA, Lee BK, Leacy FP: Prognostic score–based balance measures can be a useful diagnostic for propensity score methods in comparative effectiveness research. J Clin Epidemiol. 2013, 66:S84-S90.e1. 10.1016/j.jclinepi.2013.01.013</w:t>
      </w:r>
    </w:p>
    <w:p w14:paraId="4CFE5819" w14:textId="77777777" w:rsidR="008875A9" w:rsidRPr="008875A9" w:rsidRDefault="008875A9" w:rsidP="008875A9">
      <w:pPr>
        <w:pStyle w:val="Bibliography"/>
      </w:pPr>
      <w:r w:rsidRPr="008875A9">
        <w:t>34.</w:t>
      </w:r>
      <w:r w:rsidRPr="008875A9">
        <w:tab/>
        <w:t xml:space="preserve">R Core Team: R: A Language and Environment for Statistical Computing. R Foundation for Statistical Computing: Vienna, Austria; 2022. </w:t>
      </w:r>
    </w:p>
    <w:p w14:paraId="54869E8F" w14:textId="77777777" w:rsidR="008875A9" w:rsidRPr="008875A9" w:rsidRDefault="008875A9" w:rsidP="008875A9">
      <w:pPr>
        <w:pStyle w:val="Bibliography"/>
      </w:pPr>
      <w:r w:rsidRPr="008875A9">
        <w:t>35.</w:t>
      </w:r>
      <w:r w:rsidRPr="008875A9">
        <w:tab/>
        <w:t xml:space="preserve">Wickham H: ggplot2: Elegant Graphics for Data Analysis. Springer-Verlag New York; 2016. </w:t>
      </w:r>
    </w:p>
    <w:p w14:paraId="648AA4CC" w14:textId="2E9DDA46" w:rsidR="00C81629" w:rsidRPr="00C81629" w:rsidRDefault="00C81629" w:rsidP="00C81629">
      <w:r>
        <w:fldChar w:fldCharType="end"/>
      </w:r>
    </w:p>
    <w:sectPr w:rsidR="00C81629" w:rsidRPr="00C81629" w:rsidSect="00BF6137">
      <w:footerReference w:type="default" r:id="rId2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6AC99" w14:textId="77777777" w:rsidR="00C15581" w:rsidRDefault="00C15581" w:rsidP="00464D34">
      <w:pPr>
        <w:spacing w:after="0"/>
      </w:pPr>
      <w:r>
        <w:separator/>
      </w:r>
    </w:p>
  </w:endnote>
  <w:endnote w:type="continuationSeparator" w:id="0">
    <w:p w14:paraId="70B99203" w14:textId="77777777" w:rsidR="00C15581" w:rsidRDefault="00C15581" w:rsidP="00464D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040007"/>
      <w:docPartObj>
        <w:docPartGallery w:val="Page Numbers (Bottom of Page)"/>
        <w:docPartUnique/>
      </w:docPartObj>
    </w:sdtPr>
    <w:sdtEndPr>
      <w:rPr>
        <w:noProof/>
      </w:rPr>
    </w:sdtEndPr>
    <w:sdtContent>
      <w:p w14:paraId="7E72D21C" w14:textId="357948C5" w:rsidR="00464D34" w:rsidRDefault="00464D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C83F47" w14:textId="77777777" w:rsidR="00464D34" w:rsidRDefault="00464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3E6E3" w14:textId="77777777" w:rsidR="00C15581" w:rsidRDefault="00C15581" w:rsidP="00464D34">
      <w:pPr>
        <w:spacing w:after="0"/>
      </w:pPr>
      <w:r>
        <w:separator/>
      </w:r>
    </w:p>
  </w:footnote>
  <w:footnote w:type="continuationSeparator" w:id="0">
    <w:p w14:paraId="6881195A" w14:textId="77777777" w:rsidR="00C15581" w:rsidRDefault="00C15581" w:rsidP="00464D3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F00BE"/>
    <w:multiLevelType w:val="hybridMultilevel"/>
    <w:tmpl w:val="506EE9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6065AD"/>
    <w:multiLevelType w:val="hybridMultilevel"/>
    <w:tmpl w:val="EFB21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3574228">
    <w:abstractNumId w:val="1"/>
  </w:num>
  <w:num w:numId="2" w16cid:durableId="86535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A53"/>
    <w:rsid w:val="00000261"/>
    <w:rsid w:val="000019DD"/>
    <w:rsid w:val="00006217"/>
    <w:rsid w:val="00022C96"/>
    <w:rsid w:val="00024A75"/>
    <w:rsid w:val="00030B1D"/>
    <w:rsid w:val="00042D23"/>
    <w:rsid w:val="00054AA5"/>
    <w:rsid w:val="00070D78"/>
    <w:rsid w:val="0007317D"/>
    <w:rsid w:val="00075603"/>
    <w:rsid w:val="00075795"/>
    <w:rsid w:val="0008356C"/>
    <w:rsid w:val="00083606"/>
    <w:rsid w:val="00091F31"/>
    <w:rsid w:val="000B161A"/>
    <w:rsid w:val="000B4CE0"/>
    <w:rsid w:val="000C101B"/>
    <w:rsid w:val="000E0B7A"/>
    <w:rsid w:val="000E4400"/>
    <w:rsid w:val="0010402D"/>
    <w:rsid w:val="00112C11"/>
    <w:rsid w:val="00122D0C"/>
    <w:rsid w:val="001330A7"/>
    <w:rsid w:val="001432ED"/>
    <w:rsid w:val="00145CEC"/>
    <w:rsid w:val="00162A94"/>
    <w:rsid w:val="001A22F1"/>
    <w:rsid w:val="001B13EF"/>
    <w:rsid w:val="001B3B42"/>
    <w:rsid w:val="001B7BFB"/>
    <w:rsid w:val="001E72B7"/>
    <w:rsid w:val="00200714"/>
    <w:rsid w:val="00210B5E"/>
    <w:rsid w:val="00212592"/>
    <w:rsid w:val="0022638C"/>
    <w:rsid w:val="00230E19"/>
    <w:rsid w:val="00250420"/>
    <w:rsid w:val="00256267"/>
    <w:rsid w:val="00264543"/>
    <w:rsid w:val="00266C23"/>
    <w:rsid w:val="00273DD3"/>
    <w:rsid w:val="00275C88"/>
    <w:rsid w:val="002877B9"/>
    <w:rsid w:val="002A5B3D"/>
    <w:rsid w:val="002B796C"/>
    <w:rsid w:val="002C655A"/>
    <w:rsid w:val="002E0498"/>
    <w:rsid w:val="002E6D79"/>
    <w:rsid w:val="00300F4C"/>
    <w:rsid w:val="0030583B"/>
    <w:rsid w:val="00310ECA"/>
    <w:rsid w:val="003121A3"/>
    <w:rsid w:val="00317587"/>
    <w:rsid w:val="00320160"/>
    <w:rsid w:val="0032293E"/>
    <w:rsid w:val="003275EB"/>
    <w:rsid w:val="00333A00"/>
    <w:rsid w:val="00363980"/>
    <w:rsid w:val="0039200C"/>
    <w:rsid w:val="003B37D5"/>
    <w:rsid w:val="003C4B1A"/>
    <w:rsid w:val="003E42DF"/>
    <w:rsid w:val="003E6EF5"/>
    <w:rsid w:val="003F1913"/>
    <w:rsid w:val="003F2EFC"/>
    <w:rsid w:val="003F6734"/>
    <w:rsid w:val="004010EA"/>
    <w:rsid w:val="0042418A"/>
    <w:rsid w:val="004506A0"/>
    <w:rsid w:val="0045609C"/>
    <w:rsid w:val="00457A47"/>
    <w:rsid w:val="0046056C"/>
    <w:rsid w:val="00464BEB"/>
    <w:rsid w:val="00464D34"/>
    <w:rsid w:val="00467053"/>
    <w:rsid w:val="00472A53"/>
    <w:rsid w:val="00473163"/>
    <w:rsid w:val="00492340"/>
    <w:rsid w:val="004A5FC9"/>
    <w:rsid w:val="004B0D52"/>
    <w:rsid w:val="004B2364"/>
    <w:rsid w:val="004B369B"/>
    <w:rsid w:val="004D3EB4"/>
    <w:rsid w:val="004F417D"/>
    <w:rsid w:val="004F7ECB"/>
    <w:rsid w:val="005251B8"/>
    <w:rsid w:val="00545B93"/>
    <w:rsid w:val="00555664"/>
    <w:rsid w:val="005840DF"/>
    <w:rsid w:val="00584249"/>
    <w:rsid w:val="00596636"/>
    <w:rsid w:val="00596F79"/>
    <w:rsid w:val="005A1C06"/>
    <w:rsid w:val="005B0E78"/>
    <w:rsid w:val="005B18C9"/>
    <w:rsid w:val="005D22A3"/>
    <w:rsid w:val="005D7481"/>
    <w:rsid w:val="005E07FF"/>
    <w:rsid w:val="005E1E59"/>
    <w:rsid w:val="005F67B3"/>
    <w:rsid w:val="0060396B"/>
    <w:rsid w:val="006513AB"/>
    <w:rsid w:val="0065554D"/>
    <w:rsid w:val="00667B6E"/>
    <w:rsid w:val="006701FD"/>
    <w:rsid w:val="006A1917"/>
    <w:rsid w:val="006A1E27"/>
    <w:rsid w:val="006B7659"/>
    <w:rsid w:val="006D0DE6"/>
    <w:rsid w:val="006D2C83"/>
    <w:rsid w:val="006D34E8"/>
    <w:rsid w:val="006E0AEA"/>
    <w:rsid w:val="00700DFC"/>
    <w:rsid w:val="00713D86"/>
    <w:rsid w:val="007409C5"/>
    <w:rsid w:val="00744E8E"/>
    <w:rsid w:val="00794DDD"/>
    <w:rsid w:val="007A0A62"/>
    <w:rsid w:val="007A5F14"/>
    <w:rsid w:val="007E7C0E"/>
    <w:rsid w:val="007E7CC9"/>
    <w:rsid w:val="007F1803"/>
    <w:rsid w:val="00800DBB"/>
    <w:rsid w:val="00801046"/>
    <w:rsid w:val="008023FB"/>
    <w:rsid w:val="00810190"/>
    <w:rsid w:val="00831A7A"/>
    <w:rsid w:val="00845EBC"/>
    <w:rsid w:val="0085173A"/>
    <w:rsid w:val="008611EA"/>
    <w:rsid w:val="008875A9"/>
    <w:rsid w:val="00887802"/>
    <w:rsid w:val="008A65AE"/>
    <w:rsid w:val="008B0F5D"/>
    <w:rsid w:val="008E0862"/>
    <w:rsid w:val="008E1B1B"/>
    <w:rsid w:val="008E6EAE"/>
    <w:rsid w:val="00900ADC"/>
    <w:rsid w:val="00902265"/>
    <w:rsid w:val="00922B70"/>
    <w:rsid w:val="00923DB1"/>
    <w:rsid w:val="009330DE"/>
    <w:rsid w:val="00935712"/>
    <w:rsid w:val="009424B6"/>
    <w:rsid w:val="00943266"/>
    <w:rsid w:val="00947CB1"/>
    <w:rsid w:val="0095091D"/>
    <w:rsid w:val="00967CDD"/>
    <w:rsid w:val="009719CC"/>
    <w:rsid w:val="0099314B"/>
    <w:rsid w:val="00996361"/>
    <w:rsid w:val="009A2DC2"/>
    <w:rsid w:val="009A4BFD"/>
    <w:rsid w:val="009B5C7A"/>
    <w:rsid w:val="009B6CB3"/>
    <w:rsid w:val="009B76C2"/>
    <w:rsid w:val="009C5FA4"/>
    <w:rsid w:val="009E269E"/>
    <w:rsid w:val="00A05CFB"/>
    <w:rsid w:val="00A13E10"/>
    <w:rsid w:val="00A3060C"/>
    <w:rsid w:val="00A43502"/>
    <w:rsid w:val="00A50793"/>
    <w:rsid w:val="00A65B59"/>
    <w:rsid w:val="00A87A8A"/>
    <w:rsid w:val="00AA3EE8"/>
    <w:rsid w:val="00AA54F9"/>
    <w:rsid w:val="00AC0177"/>
    <w:rsid w:val="00AD5005"/>
    <w:rsid w:val="00AD56C1"/>
    <w:rsid w:val="00AE413B"/>
    <w:rsid w:val="00AE4A65"/>
    <w:rsid w:val="00AF2985"/>
    <w:rsid w:val="00B05282"/>
    <w:rsid w:val="00B108D7"/>
    <w:rsid w:val="00B13BB8"/>
    <w:rsid w:val="00B41DA0"/>
    <w:rsid w:val="00B50168"/>
    <w:rsid w:val="00B81E8A"/>
    <w:rsid w:val="00B94FD5"/>
    <w:rsid w:val="00B95651"/>
    <w:rsid w:val="00BA307D"/>
    <w:rsid w:val="00BB3950"/>
    <w:rsid w:val="00BC25C8"/>
    <w:rsid w:val="00BC3ACA"/>
    <w:rsid w:val="00BF0BD4"/>
    <w:rsid w:val="00BF27B8"/>
    <w:rsid w:val="00BF3FCB"/>
    <w:rsid w:val="00BF6137"/>
    <w:rsid w:val="00C002CE"/>
    <w:rsid w:val="00C07862"/>
    <w:rsid w:val="00C113CF"/>
    <w:rsid w:val="00C13C1A"/>
    <w:rsid w:val="00C15581"/>
    <w:rsid w:val="00C20113"/>
    <w:rsid w:val="00C22F24"/>
    <w:rsid w:val="00C23287"/>
    <w:rsid w:val="00C31074"/>
    <w:rsid w:val="00C32E08"/>
    <w:rsid w:val="00C336A2"/>
    <w:rsid w:val="00C44C20"/>
    <w:rsid w:val="00C472BD"/>
    <w:rsid w:val="00C56C4A"/>
    <w:rsid w:val="00C70634"/>
    <w:rsid w:val="00C73476"/>
    <w:rsid w:val="00C73B82"/>
    <w:rsid w:val="00C772E8"/>
    <w:rsid w:val="00C81629"/>
    <w:rsid w:val="00C82DF1"/>
    <w:rsid w:val="00C8405E"/>
    <w:rsid w:val="00CA795A"/>
    <w:rsid w:val="00CC0D01"/>
    <w:rsid w:val="00CD148F"/>
    <w:rsid w:val="00CD34E7"/>
    <w:rsid w:val="00CE7594"/>
    <w:rsid w:val="00CF0313"/>
    <w:rsid w:val="00D121E6"/>
    <w:rsid w:val="00D204DB"/>
    <w:rsid w:val="00D34ADD"/>
    <w:rsid w:val="00D62630"/>
    <w:rsid w:val="00D63ADF"/>
    <w:rsid w:val="00D92069"/>
    <w:rsid w:val="00D94953"/>
    <w:rsid w:val="00DA6161"/>
    <w:rsid w:val="00DC22F9"/>
    <w:rsid w:val="00DC270C"/>
    <w:rsid w:val="00DC67B5"/>
    <w:rsid w:val="00DD60AD"/>
    <w:rsid w:val="00DE2487"/>
    <w:rsid w:val="00E022E5"/>
    <w:rsid w:val="00E1683C"/>
    <w:rsid w:val="00E5118F"/>
    <w:rsid w:val="00E526C1"/>
    <w:rsid w:val="00E66047"/>
    <w:rsid w:val="00E735D4"/>
    <w:rsid w:val="00E815E3"/>
    <w:rsid w:val="00E82B45"/>
    <w:rsid w:val="00EA5BFB"/>
    <w:rsid w:val="00EB258B"/>
    <w:rsid w:val="00ED6B6B"/>
    <w:rsid w:val="00F03D4D"/>
    <w:rsid w:val="00F101F0"/>
    <w:rsid w:val="00F10B5D"/>
    <w:rsid w:val="00F161DB"/>
    <w:rsid w:val="00F23E1A"/>
    <w:rsid w:val="00F33336"/>
    <w:rsid w:val="00F420A2"/>
    <w:rsid w:val="00F57B3E"/>
    <w:rsid w:val="00F57E2C"/>
    <w:rsid w:val="00F666B9"/>
    <w:rsid w:val="00F6782F"/>
    <w:rsid w:val="00F80531"/>
    <w:rsid w:val="00F94910"/>
    <w:rsid w:val="00FB1004"/>
    <w:rsid w:val="00FC4E1A"/>
    <w:rsid w:val="00FD4CB8"/>
    <w:rsid w:val="00FD6D0C"/>
    <w:rsid w:val="00FE79D0"/>
    <w:rsid w:val="00FF3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E7AB4E"/>
  <w14:defaultImageDpi w14:val="32767"/>
  <w15:chartTrackingRefBased/>
  <w15:docId w15:val="{E3A293A0-CCBF-49BF-BD24-C6FCA96F0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659"/>
    <w:pPr>
      <w:spacing w:after="120" w:line="240" w:lineRule="auto"/>
    </w:pPr>
    <w:rPr>
      <w:rFonts w:ascii="Arial" w:hAnsi="Arial"/>
      <w:kern w:val="0"/>
      <w:sz w:val="18"/>
      <w14:ligatures w14:val="none"/>
    </w:rPr>
  </w:style>
  <w:style w:type="paragraph" w:styleId="Heading1">
    <w:name w:val="heading 1"/>
    <w:aliases w:val="Heading 1 (Caption for regular TOC)"/>
    <w:basedOn w:val="Normal"/>
    <w:next w:val="Normal"/>
    <w:link w:val="Heading1Char"/>
    <w:uiPriority w:val="9"/>
    <w:qFormat/>
    <w:rsid w:val="007F1803"/>
    <w:pPr>
      <w:keepNext/>
      <w:keepLines/>
      <w:spacing w:before="120" w:after="0"/>
      <w:outlineLvl w:val="0"/>
    </w:pPr>
    <w:rPr>
      <w:rFonts w:eastAsiaTheme="majorEastAsia" w:cstheme="majorBidi"/>
      <w:b/>
      <w:i/>
      <w:szCs w:val="40"/>
    </w:rPr>
  </w:style>
  <w:style w:type="paragraph" w:styleId="Heading2">
    <w:name w:val="heading 2"/>
    <w:basedOn w:val="Normal"/>
    <w:next w:val="Normal"/>
    <w:link w:val="Heading2Char"/>
    <w:uiPriority w:val="9"/>
    <w:unhideWhenUsed/>
    <w:qFormat/>
    <w:rsid w:val="00C07862"/>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semiHidden/>
    <w:unhideWhenUsed/>
    <w:qFormat/>
    <w:rsid w:val="00472A5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2A5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72A5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72A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2A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2A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2A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aption for regular TOC) Char"/>
    <w:basedOn w:val="DefaultParagraphFont"/>
    <w:link w:val="Heading1"/>
    <w:uiPriority w:val="9"/>
    <w:rsid w:val="007F1803"/>
    <w:rPr>
      <w:rFonts w:ascii="Arial" w:eastAsiaTheme="majorEastAsia" w:hAnsi="Arial" w:cstheme="majorBidi"/>
      <w:b/>
      <w:i/>
      <w:kern w:val="0"/>
      <w:szCs w:val="40"/>
      <w14:ligatures w14:val="none"/>
    </w:rPr>
  </w:style>
  <w:style w:type="character" w:customStyle="1" w:styleId="Heading2Char">
    <w:name w:val="Heading 2 Char"/>
    <w:basedOn w:val="DefaultParagraphFont"/>
    <w:link w:val="Heading2"/>
    <w:uiPriority w:val="9"/>
    <w:rsid w:val="00C07862"/>
    <w:rPr>
      <w:rFonts w:ascii="Calibri" w:eastAsiaTheme="majorEastAsia" w:hAnsi="Calibri" w:cstheme="majorBidi"/>
      <w:sz w:val="28"/>
      <w:szCs w:val="32"/>
    </w:rPr>
  </w:style>
  <w:style w:type="character" w:customStyle="1" w:styleId="Heading3Char">
    <w:name w:val="Heading 3 Char"/>
    <w:basedOn w:val="DefaultParagraphFont"/>
    <w:link w:val="Heading3"/>
    <w:uiPriority w:val="9"/>
    <w:semiHidden/>
    <w:rsid w:val="00472A53"/>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472A53"/>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472A53"/>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472A53"/>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472A53"/>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472A53"/>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472A53"/>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6B7659"/>
    <w:pPr>
      <w:spacing w:after="80"/>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6B7659"/>
    <w:rPr>
      <w:rFonts w:asciiTheme="majorHAnsi" w:eastAsiaTheme="majorEastAsia" w:hAnsiTheme="majorHAnsi" w:cstheme="majorBidi"/>
      <w:spacing w:val="-10"/>
      <w:kern w:val="28"/>
      <w:sz w:val="40"/>
      <w:szCs w:val="56"/>
      <w14:ligatures w14:val="none"/>
    </w:rPr>
  </w:style>
  <w:style w:type="paragraph" w:styleId="Subtitle">
    <w:name w:val="Subtitle"/>
    <w:basedOn w:val="Normal"/>
    <w:next w:val="Normal"/>
    <w:link w:val="SubtitleChar"/>
    <w:uiPriority w:val="11"/>
    <w:qFormat/>
    <w:rsid w:val="00472A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A5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72A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72A53"/>
    <w:rPr>
      <w:rFonts w:ascii="Arial" w:hAnsi="Arial"/>
      <w:i/>
      <w:iCs/>
      <w:color w:val="404040" w:themeColor="text1" w:themeTint="BF"/>
      <w:kern w:val="0"/>
      <w14:ligatures w14:val="none"/>
    </w:rPr>
  </w:style>
  <w:style w:type="paragraph" w:styleId="ListParagraph">
    <w:name w:val="List Paragraph"/>
    <w:basedOn w:val="Normal"/>
    <w:uiPriority w:val="34"/>
    <w:qFormat/>
    <w:rsid w:val="00472A53"/>
    <w:pPr>
      <w:ind w:left="720"/>
      <w:contextualSpacing/>
    </w:pPr>
  </w:style>
  <w:style w:type="character" w:styleId="IntenseEmphasis">
    <w:name w:val="Intense Emphasis"/>
    <w:basedOn w:val="DefaultParagraphFont"/>
    <w:uiPriority w:val="21"/>
    <w:qFormat/>
    <w:rsid w:val="00472A53"/>
    <w:rPr>
      <w:i/>
      <w:iCs/>
      <w:color w:val="0F4761" w:themeColor="accent1" w:themeShade="BF"/>
    </w:rPr>
  </w:style>
  <w:style w:type="paragraph" w:styleId="IntenseQuote">
    <w:name w:val="Intense Quote"/>
    <w:basedOn w:val="Normal"/>
    <w:next w:val="Normal"/>
    <w:link w:val="IntenseQuoteChar"/>
    <w:uiPriority w:val="30"/>
    <w:qFormat/>
    <w:rsid w:val="00472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2A53"/>
    <w:rPr>
      <w:rFonts w:ascii="Arial" w:hAnsi="Arial"/>
      <w:i/>
      <w:iCs/>
      <w:color w:val="0F4761" w:themeColor="accent1" w:themeShade="BF"/>
      <w:kern w:val="0"/>
      <w14:ligatures w14:val="none"/>
    </w:rPr>
  </w:style>
  <w:style w:type="character" w:styleId="IntenseReference">
    <w:name w:val="Intense Reference"/>
    <w:basedOn w:val="DefaultParagraphFont"/>
    <w:uiPriority w:val="32"/>
    <w:qFormat/>
    <w:rsid w:val="00472A53"/>
    <w:rPr>
      <w:b/>
      <w:bCs/>
      <w:smallCaps/>
      <w:color w:val="0F4761" w:themeColor="accent1" w:themeShade="BF"/>
      <w:spacing w:val="5"/>
    </w:rPr>
  </w:style>
  <w:style w:type="paragraph" w:styleId="Caption">
    <w:name w:val="caption"/>
    <w:basedOn w:val="Normal"/>
    <w:next w:val="Normal"/>
    <w:uiPriority w:val="35"/>
    <w:unhideWhenUsed/>
    <w:qFormat/>
    <w:rsid w:val="00D94953"/>
    <w:pPr>
      <w:spacing w:after="200"/>
    </w:pPr>
    <w:rPr>
      <w:i/>
      <w:iCs/>
      <w:color w:val="0E2841" w:themeColor="text2"/>
      <w:szCs w:val="18"/>
    </w:rPr>
  </w:style>
  <w:style w:type="character" w:styleId="CommentReference">
    <w:name w:val="annotation reference"/>
    <w:basedOn w:val="DefaultParagraphFont"/>
    <w:uiPriority w:val="99"/>
    <w:semiHidden/>
    <w:unhideWhenUsed/>
    <w:rsid w:val="004A5FC9"/>
    <w:rPr>
      <w:sz w:val="16"/>
      <w:szCs w:val="16"/>
    </w:rPr>
  </w:style>
  <w:style w:type="paragraph" w:styleId="CommentText">
    <w:name w:val="annotation text"/>
    <w:basedOn w:val="Normal"/>
    <w:link w:val="CommentTextChar"/>
    <w:uiPriority w:val="99"/>
    <w:unhideWhenUsed/>
    <w:rsid w:val="004A5FC9"/>
    <w:rPr>
      <w:sz w:val="20"/>
      <w:szCs w:val="20"/>
    </w:rPr>
  </w:style>
  <w:style w:type="character" w:customStyle="1" w:styleId="CommentTextChar">
    <w:name w:val="Comment Text Char"/>
    <w:basedOn w:val="DefaultParagraphFont"/>
    <w:link w:val="CommentText"/>
    <w:uiPriority w:val="99"/>
    <w:rsid w:val="004A5FC9"/>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A5FC9"/>
    <w:rPr>
      <w:b/>
      <w:bCs/>
    </w:rPr>
  </w:style>
  <w:style w:type="character" w:customStyle="1" w:styleId="CommentSubjectChar">
    <w:name w:val="Comment Subject Char"/>
    <w:basedOn w:val="CommentTextChar"/>
    <w:link w:val="CommentSubject"/>
    <w:uiPriority w:val="99"/>
    <w:semiHidden/>
    <w:rsid w:val="004A5FC9"/>
    <w:rPr>
      <w:rFonts w:ascii="Arial" w:hAnsi="Arial"/>
      <w:b/>
      <w:bCs/>
      <w:kern w:val="0"/>
      <w:sz w:val="20"/>
      <w:szCs w:val="20"/>
      <w14:ligatures w14:val="none"/>
    </w:rPr>
  </w:style>
  <w:style w:type="table" w:styleId="TableGridLight">
    <w:name w:val="Grid Table Light"/>
    <w:basedOn w:val="TableNormal"/>
    <w:uiPriority w:val="40"/>
    <w:rsid w:val="00794DDD"/>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94910"/>
    <w:pPr>
      <w:spacing w:before="240" w:line="259" w:lineRule="auto"/>
      <w:outlineLvl w:val="9"/>
    </w:pPr>
    <w:rPr>
      <w:rFonts w:asciiTheme="majorHAnsi" w:hAnsiTheme="majorHAnsi"/>
      <w:color w:val="0F4761" w:themeColor="accent1" w:themeShade="BF"/>
      <w:szCs w:val="32"/>
    </w:rPr>
  </w:style>
  <w:style w:type="paragraph" w:styleId="TOC1">
    <w:name w:val="toc 1"/>
    <w:basedOn w:val="Normal"/>
    <w:next w:val="Normal"/>
    <w:autoRedefine/>
    <w:uiPriority w:val="39"/>
    <w:unhideWhenUsed/>
    <w:rsid w:val="00F94910"/>
    <w:pPr>
      <w:spacing w:after="100"/>
    </w:pPr>
  </w:style>
  <w:style w:type="character" w:styleId="Hyperlink">
    <w:name w:val="Hyperlink"/>
    <w:basedOn w:val="DefaultParagraphFont"/>
    <w:uiPriority w:val="99"/>
    <w:unhideWhenUsed/>
    <w:rsid w:val="00F94910"/>
    <w:rPr>
      <w:color w:val="467886" w:themeColor="hyperlink"/>
      <w:u w:val="single"/>
    </w:rPr>
  </w:style>
  <w:style w:type="paragraph" w:styleId="NoSpacing">
    <w:name w:val="No Spacing"/>
    <w:aliases w:val="Captions"/>
    <w:uiPriority w:val="1"/>
    <w:qFormat/>
    <w:rsid w:val="006B7659"/>
    <w:pPr>
      <w:spacing w:after="0" w:line="240" w:lineRule="auto"/>
    </w:pPr>
    <w:rPr>
      <w:rFonts w:ascii="Arial" w:hAnsi="Arial"/>
      <w:i/>
      <w:kern w:val="0"/>
      <w:sz w:val="18"/>
      <w14:ligatures w14:val="none"/>
    </w:rPr>
  </w:style>
  <w:style w:type="paragraph" w:styleId="Header">
    <w:name w:val="header"/>
    <w:basedOn w:val="Normal"/>
    <w:link w:val="HeaderChar"/>
    <w:uiPriority w:val="99"/>
    <w:unhideWhenUsed/>
    <w:rsid w:val="00464D34"/>
    <w:pPr>
      <w:tabs>
        <w:tab w:val="center" w:pos="4680"/>
        <w:tab w:val="right" w:pos="9360"/>
      </w:tabs>
      <w:spacing w:after="0"/>
    </w:pPr>
  </w:style>
  <w:style w:type="character" w:customStyle="1" w:styleId="HeaderChar">
    <w:name w:val="Header Char"/>
    <w:basedOn w:val="DefaultParagraphFont"/>
    <w:link w:val="Header"/>
    <w:uiPriority w:val="99"/>
    <w:rsid w:val="00464D34"/>
    <w:rPr>
      <w:rFonts w:ascii="Arial" w:hAnsi="Arial"/>
      <w:kern w:val="0"/>
      <w:sz w:val="18"/>
      <w14:ligatures w14:val="none"/>
    </w:rPr>
  </w:style>
  <w:style w:type="paragraph" w:styleId="Footer">
    <w:name w:val="footer"/>
    <w:basedOn w:val="Normal"/>
    <w:link w:val="FooterChar"/>
    <w:uiPriority w:val="99"/>
    <w:unhideWhenUsed/>
    <w:rsid w:val="00464D34"/>
    <w:pPr>
      <w:tabs>
        <w:tab w:val="center" w:pos="4680"/>
        <w:tab w:val="right" w:pos="9360"/>
      </w:tabs>
      <w:spacing w:after="0"/>
    </w:pPr>
  </w:style>
  <w:style w:type="character" w:customStyle="1" w:styleId="FooterChar">
    <w:name w:val="Footer Char"/>
    <w:basedOn w:val="DefaultParagraphFont"/>
    <w:link w:val="Footer"/>
    <w:uiPriority w:val="99"/>
    <w:rsid w:val="00464D34"/>
    <w:rPr>
      <w:rFonts w:ascii="Arial" w:hAnsi="Arial"/>
      <w:kern w:val="0"/>
      <w:sz w:val="18"/>
      <w14:ligatures w14:val="none"/>
    </w:rPr>
  </w:style>
  <w:style w:type="paragraph" w:styleId="Bibliography">
    <w:name w:val="Bibliography"/>
    <w:basedOn w:val="Normal"/>
    <w:next w:val="Normal"/>
    <w:uiPriority w:val="37"/>
    <w:unhideWhenUsed/>
    <w:rsid w:val="00C81629"/>
    <w:pPr>
      <w:tabs>
        <w:tab w:val="left" w:pos="384"/>
      </w:tabs>
      <w:spacing w:after="240"/>
      <w:ind w:left="384" w:hanging="384"/>
    </w:pPr>
  </w:style>
  <w:style w:type="character" w:styleId="SubtleEmphasis">
    <w:name w:val="Subtle Emphasis"/>
    <w:basedOn w:val="DefaultParagraphFont"/>
    <w:uiPriority w:val="19"/>
    <w:qFormat/>
    <w:rsid w:val="00006217"/>
    <w:rPr>
      <w:i/>
      <w:iCs/>
      <w:color w:val="404040" w:themeColor="text1" w:themeTint="BF"/>
    </w:rPr>
  </w:style>
  <w:style w:type="table" w:styleId="TableGrid">
    <w:name w:val="Table Grid"/>
    <w:basedOn w:val="TableNormal"/>
    <w:uiPriority w:val="39"/>
    <w:rsid w:val="00861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23FB"/>
    <w:pPr>
      <w:spacing w:after="0" w:line="240" w:lineRule="auto"/>
    </w:pPr>
    <w:rPr>
      <w:rFonts w:ascii="Arial" w:hAnsi="Arial"/>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15A9D-736A-4499-804D-9B22A9CFA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25081</Words>
  <Characters>142963</Characters>
  <Application>Microsoft Office Word</Application>
  <DocSecurity>0</DocSecurity>
  <Lines>1191</Lines>
  <Paragraphs>335</Paragraphs>
  <ScaleCrop>false</ScaleCrop>
  <Company/>
  <LinksUpToDate>false</LinksUpToDate>
  <CharactersWithSpaces>167709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Trager</dc:creator>
  <cp:keywords/>
  <dc:description/>
  <cp:lastModifiedBy>Robert Trager</cp:lastModifiedBy>
  <cp:revision>18</cp:revision>
  <cp:lastPrinted>2025-10-31T02:15:00Z</cp:lastPrinted>
  <dcterms:created xsi:type="dcterms:W3CDTF">2026-07-24T00:15:00Z</dcterms:created>
  <dcterms:modified xsi:type="dcterms:W3CDTF">2026-08-05T19:33:00Z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id="SalhZtVO"/&gt;&lt;style id="http://www.zotero.org/styles/cureus" hasBibliography="1" bibliographyStyleHasBeenSet="1"/&gt;&lt;prefs&gt;&lt;pref name="fieldType" value="Field"/&gt;&lt;pref name="automaticJournalAbbreviatio</vt:lpwstr>
  </property>
  <property fmtid="{D5CDD505-2E9C-101B-9397-08002B2CF9AE}" pid="3" name="ZOTERO_PREF_2">
    <vt:lpwstr>ns" value="true"/&gt;&lt;/prefs&gt;&lt;/data&gt;</vt:lpwstr>
  </property>
</Properties>
</file>