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8"/>
        <w:gridCol w:w="430"/>
        <w:gridCol w:w="717"/>
        <w:gridCol w:w="2027"/>
        <w:gridCol w:w="516"/>
        <w:gridCol w:w="36"/>
        <w:gridCol w:w="498"/>
        <w:gridCol w:w="54"/>
        <w:gridCol w:w="400"/>
        <w:gridCol w:w="80"/>
        <w:gridCol w:w="345"/>
        <w:gridCol w:w="1611"/>
        <w:gridCol w:w="98"/>
        <w:gridCol w:w="1246"/>
      </w:tblGrid>
      <w:tr w:rsidR="00233E75" w:rsidRPr="00C878C3" w:rsidTr="00233E75">
        <w:trPr>
          <w:trHeight w:val="288"/>
        </w:trPr>
        <w:tc>
          <w:tcPr>
            <w:tcW w:w="94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E75" w:rsidRPr="00233E75" w:rsidRDefault="003E0F4F" w:rsidP="00233E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Supplementary</w:t>
            </w:r>
            <w:r w:rsidR="00233E75" w:rsidRPr="00233E7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Table 1</w:t>
            </w:r>
            <w:r w:rsidR="00233E75"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 Associations between LVI and BVI assessed by IHC.</w:t>
            </w:r>
          </w:p>
        </w:tc>
      </w:tr>
      <w:tr w:rsidR="00233E75" w:rsidRPr="00233E75" w:rsidTr="00233E75">
        <w:trPr>
          <w:trHeight w:val="288"/>
        </w:trPr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233E7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691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  <w:t>BVI</w:t>
            </w:r>
          </w:p>
        </w:tc>
      </w:tr>
      <w:tr w:rsidR="00233E75" w:rsidRPr="00233E75" w:rsidTr="00422DD6">
        <w:trPr>
          <w:trHeight w:val="288"/>
        </w:trPr>
        <w:tc>
          <w:tcPr>
            <w:tcW w:w="2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Negative (n, %)</w:t>
            </w:r>
          </w:p>
        </w:tc>
        <w:tc>
          <w:tcPr>
            <w:tcW w:w="14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Positive (n, %)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OR (95% CI)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p value</w:t>
            </w:r>
          </w:p>
        </w:tc>
      </w:tr>
      <w:tr w:rsidR="00233E75" w:rsidRPr="00233E75" w:rsidTr="00422DD6">
        <w:trPr>
          <w:trHeight w:val="288"/>
        </w:trPr>
        <w:tc>
          <w:tcPr>
            <w:tcW w:w="249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  <w:t>LVI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</w:pPr>
          </w:p>
        </w:tc>
        <w:tc>
          <w:tcPr>
            <w:tcW w:w="14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233E75" w:rsidRPr="00233E75" w:rsidTr="00422DD6">
        <w:trPr>
          <w:trHeight w:val="288"/>
        </w:trPr>
        <w:tc>
          <w:tcPr>
            <w:tcW w:w="249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233E75" w:rsidRPr="00233E75" w:rsidRDefault="00233E75" w:rsidP="001806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negative 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142 (67)</w:t>
            </w:r>
          </w:p>
        </w:tc>
        <w:tc>
          <w:tcPr>
            <w:tcW w:w="14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58 (72)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233E75" w:rsidRPr="00233E75" w:rsidTr="00422DD6">
        <w:trPr>
          <w:trHeight w:val="288"/>
        </w:trPr>
        <w:tc>
          <w:tcPr>
            <w:tcW w:w="2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1806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positive 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69 (33)</w:t>
            </w:r>
          </w:p>
        </w:tc>
        <w:tc>
          <w:tcPr>
            <w:tcW w:w="14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23 (28)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0.8 (0.5-1.4)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E75" w:rsidRPr="00233E75" w:rsidRDefault="00E92E39" w:rsidP="00233E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0.48</w:t>
            </w:r>
          </w:p>
        </w:tc>
      </w:tr>
      <w:tr w:rsidR="00233E75" w:rsidRPr="00C878C3" w:rsidTr="00233E75">
        <w:trPr>
          <w:trHeight w:val="288"/>
        </w:trPr>
        <w:tc>
          <w:tcPr>
            <w:tcW w:w="5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P value was obtained using Pearson´</w:t>
            </w:r>
            <w:r w:rsidR="00985D9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s </w:t>
            </w: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χ</w:t>
            </w:r>
            <w:r w:rsidRPr="00233E7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² test.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E75" w:rsidRPr="00233E75" w:rsidRDefault="00233E75" w:rsidP="0023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</w:tr>
      <w:tr w:rsidR="00DC3CC4" w:rsidRPr="00C878C3" w:rsidTr="00233E75">
        <w:trPr>
          <w:trHeight w:val="288"/>
        </w:trPr>
        <w:tc>
          <w:tcPr>
            <w:tcW w:w="50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3CC4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  <w:p w:rsidR="00DC3CC4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  <w:p w:rsidR="00DC3CC4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  <w:p w:rsidR="00DC3CC4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  <w:p w:rsidR="00DC3CC4" w:rsidRPr="00233E75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3CC4" w:rsidRPr="00233E75" w:rsidRDefault="00DC3CC4" w:rsidP="00233E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3CC4" w:rsidRPr="00233E75" w:rsidRDefault="00DC3CC4" w:rsidP="00233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3CC4" w:rsidRPr="00233E75" w:rsidRDefault="00DC3CC4" w:rsidP="00233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3CC4" w:rsidRPr="00233E75" w:rsidRDefault="00DC3CC4" w:rsidP="00233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</w:tr>
      <w:tr w:rsidR="00DC3CC4" w:rsidRPr="00C878C3" w:rsidTr="00F3088A">
        <w:trPr>
          <w:trHeight w:val="288"/>
        </w:trPr>
        <w:tc>
          <w:tcPr>
            <w:tcW w:w="94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CC4" w:rsidRPr="000E20ED" w:rsidRDefault="003E0F4F" w:rsidP="00F308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Supplementary </w:t>
            </w:r>
            <w:r w:rsidR="00DC3CC4" w:rsidRPr="000E20E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Table 2</w:t>
            </w:r>
            <w:r w:rsidR="00DC3CC4"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 Associations between VI assessed by HAS, and LVI and BVI assessed by IHC.</w:t>
            </w:r>
          </w:p>
        </w:tc>
      </w:tr>
      <w:tr w:rsidR="00DC3CC4" w:rsidRPr="000E20ED" w:rsidTr="00F3088A">
        <w:trPr>
          <w:trHeight w:val="288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0E20E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7628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  <w:t>VI assessed by HAS</w:t>
            </w:r>
          </w:p>
        </w:tc>
      </w:tr>
      <w:tr w:rsidR="00DC3CC4" w:rsidRPr="000E20ED" w:rsidTr="00F3088A">
        <w:trPr>
          <w:trHeight w:val="288"/>
        </w:trPr>
        <w:tc>
          <w:tcPr>
            <w:tcW w:w="1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Negative (n, %)</w:t>
            </w:r>
          </w:p>
        </w:tc>
        <w:tc>
          <w:tcPr>
            <w:tcW w:w="15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Positive (n, %)</w:t>
            </w:r>
          </w:p>
        </w:tc>
        <w:tc>
          <w:tcPr>
            <w:tcW w:w="20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OR (95% CI)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p value</w:t>
            </w:r>
          </w:p>
        </w:tc>
      </w:tr>
      <w:tr w:rsidR="00DC3CC4" w:rsidRPr="000E20ED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CC4" w:rsidRPr="00FE43FA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nb-NO"/>
              </w:rPr>
              <w:t xml:space="preserve">BVI </w:t>
            </w:r>
          </w:p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FE43F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Negative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CC4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</w:p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76 (88)</w:t>
            </w:r>
          </w:p>
        </w:tc>
        <w:tc>
          <w:tcPr>
            <w:tcW w:w="15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35 (38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DC3CC4" w:rsidRPr="002A2FF0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posit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i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ve</w:t>
            </w:r>
          </w:p>
        </w:tc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25 (12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1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56 (62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11.3 (6.2-20.4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&lt;0.001</w:t>
            </w:r>
          </w:p>
        </w:tc>
      </w:tr>
      <w:tr w:rsidR="00DC3CC4" w:rsidRPr="002A2FF0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</w:tr>
      <w:tr w:rsidR="00DC3CC4" w:rsidRPr="002A2FF0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val="en-US" w:eastAsia="nb-NO"/>
              </w:rPr>
            </w:pP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val="en-US" w:eastAsia="nb-NO"/>
              </w:rPr>
              <w:t xml:space="preserve">LVI </w:t>
            </w:r>
          </w:p>
        </w:tc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val="en-US" w:eastAsia="nb-NO"/>
              </w:rPr>
            </w:pPr>
          </w:p>
        </w:tc>
        <w:tc>
          <w:tcPr>
            <w:tcW w:w="1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</w:tr>
      <w:tr w:rsidR="00DC3CC4" w:rsidRPr="002A2FF0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negative </w:t>
            </w:r>
          </w:p>
        </w:tc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153 (76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1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47 (52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</w:tr>
      <w:tr w:rsidR="00DC3CC4" w:rsidRPr="002A2FF0" w:rsidTr="00F3088A">
        <w:trPr>
          <w:trHeight w:val="288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positive </w:t>
            </w:r>
          </w:p>
        </w:tc>
        <w:tc>
          <w:tcPr>
            <w:tcW w:w="3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48 (24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15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44 (48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20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2.9 (1.8-5.0</w:t>
            </w:r>
            <w:r w:rsidRPr="002A2FF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CC4" w:rsidRPr="002A2FF0" w:rsidRDefault="00DC3CC4" w:rsidP="00F308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&lt;0.001</w:t>
            </w:r>
          </w:p>
        </w:tc>
      </w:tr>
      <w:tr w:rsidR="00DC3CC4" w:rsidRPr="00C878C3" w:rsidTr="00F3088A">
        <w:trPr>
          <w:trHeight w:val="288"/>
        </w:trPr>
        <w:tc>
          <w:tcPr>
            <w:tcW w:w="4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P values were obtained using Pearson´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 xml:space="preserve">s 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χ</w:t>
            </w:r>
            <w:r w:rsidRPr="000E20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  <w:t>² test.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2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CC4" w:rsidRPr="000E20ED" w:rsidRDefault="00DC3CC4" w:rsidP="00F30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</w:tr>
    </w:tbl>
    <w:tbl>
      <w:tblPr>
        <w:tblStyle w:val="Tabellrutenett"/>
        <w:tblpPr w:leftFromText="141" w:rightFromText="141" w:vertAnchor="page" w:horzAnchor="margin" w:tblpY="8605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456"/>
        <w:gridCol w:w="1098"/>
        <w:gridCol w:w="178"/>
        <w:gridCol w:w="142"/>
        <w:gridCol w:w="425"/>
        <w:gridCol w:w="554"/>
        <w:gridCol w:w="1147"/>
        <w:gridCol w:w="374"/>
        <w:gridCol w:w="335"/>
        <w:gridCol w:w="567"/>
        <w:gridCol w:w="260"/>
        <w:gridCol w:w="237"/>
        <w:gridCol w:w="1487"/>
      </w:tblGrid>
      <w:tr w:rsidR="00DC3CC4" w:rsidRPr="00C878C3" w:rsidTr="00DC3CC4">
        <w:tc>
          <w:tcPr>
            <w:tcW w:w="907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CC4" w:rsidRPr="00DC3CC4" w:rsidRDefault="003E0F4F" w:rsidP="00DC3CC4">
            <w:pPr>
              <w:rPr>
                <w:rFonts w:ascii="Arial" w:hAnsi="Arial"/>
                <w:sz w:val="18"/>
                <w:szCs w:val="18"/>
                <w:lang w:val="en-US"/>
              </w:rPr>
            </w:pPr>
            <w:bookmarkStart w:id="0" w:name="_Hlk74559337"/>
            <w:r>
              <w:rPr>
                <w:rFonts w:ascii="Arial" w:hAnsi="Arial"/>
                <w:b/>
                <w:sz w:val="18"/>
                <w:szCs w:val="18"/>
                <w:lang w:val="en-US"/>
              </w:rPr>
              <w:t>Supplementary</w:t>
            </w:r>
            <w:r w:rsidR="00DC3CC4" w:rsidRPr="00DC3CC4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 Table 3:</w:t>
            </w:r>
            <w:r w:rsidR="00DC3CC4" w:rsidRPr="00DC3CC4">
              <w:rPr>
                <w:rFonts w:ascii="Arial" w:hAnsi="Arial"/>
                <w:sz w:val="18"/>
                <w:szCs w:val="18"/>
                <w:lang w:val="en-US"/>
              </w:rPr>
              <w:t xml:space="preserve">  Multivariable analyses of associations between regional lymph node metastasis and various clinicopathological variables including BVI and LVI (logistic regression) (n=240)</w:t>
            </w:r>
          </w:p>
        </w:tc>
      </w:tr>
      <w:tr w:rsidR="00DC3CC4" w:rsidTr="00DC3CC4"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Variables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Categories</w:t>
            </w:r>
          </w:p>
        </w:tc>
        <w:tc>
          <w:tcPr>
            <w:tcW w:w="2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      OR (95% CI)            </w:t>
            </w:r>
          </w:p>
        </w:tc>
        <w:tc>
          <w:tcPr>
            <w:tcW w:w="28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P value</w:t>
            </w:r>
          </w:p>
        </w:tc>
      </w:tr>
      <w:tr w:rsidR="00DC3CC4" w:rsidTr="00DC3CC4">
        <w:tc>
          <w:tcPr>
            <w:tcW w:w="1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Gender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Male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Female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 (0.9-4.3)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0.10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Age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40-68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BA298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69-76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77-88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1.2 (0.5-2.7)</w:t>
            </w:r>
          </w:p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 (0.4-2.3)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0.64</w:t>
            </w:r>
          </w:p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BA298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BA298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Pathological stage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pT1+2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BA298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pT3+4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6.2 (2.9-13.4)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BA298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Micropapillary div. diff.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4.5 (1.5-14.2)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BVI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 (1.2—4.8)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0.018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LVI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 (1.4-5.2)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370D7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76819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Neoadjuvant  chemotherapy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Yes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 (0.2-1.5)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76819" w:rsidTr="00DC3CC4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878C3" w:rsidTr="00DC3CC4">
        <w:trPr>
          <w:trHeight w:val="90"/>
        </w:trPr>
        <w:tc>
          <w:tcPr>
            <w:tcW w:w="907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3CC4" w:rsidRPr="00DC3CC4" w:rsidRDefault="00DC3CC4" w:rsidP="00DC3CC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DC3CC4">
              <w:rPr>
                <w:rFonts w:ascii="Arial" w:hAnsi="Arial"/>
                <w:sz w:val="18"/>
                <w:szCs w:val="18"/>
                <w:lang w:val="en-US"/>
              </w:rPr>
              <w:t>Abbreviations: OR, odds ratio, 95% CI; 95% confidence interval.</w:t>
            </w:r>
          </w:p>
        </w:tc>
      </w:tr>
      <w:bookmarkEnd w:id="0"/>
    </w:tbl>
    <w:p w:rsidR="00DC3CC4" w:rsidRDefault="00DC3CC4" w:rsidP="00DC3CC4">
      <w:pPr>
        <w:rPr>
          <w:lang w:val="en-US"/>
        </w:rPr>
      </w:pPr>
    </w:p>
    <w:p w:rsidR="00DC3CC4" w:rsidRPr="000E20ED" w:rsidRDefault="00DC3CC4" w:rsidP="00DC3CC4">
      <w:pPr>
        <w:rPr>
          <w:lang w:val="en-US"/>
        </w:rPr>
      </w:pPr>
    </w:p>
    <w:p w:rsidR="00205C28" w:rsidRDefault="00BB2032">
      <w:pPr>
        <w:rPr>
          <w:lang w:val="en-US"/>
        </w:rPr>
      </w:pPr>
    </w:p>
    <w:p w:rsidR="00DC3CC4" w:rsidRDefault="00DC3CC4">
      <w:pPr>
        <w:rPr>
          <w:lang w:val="en-US"/>
        </w:rPr>
      </w:pPr>
    </w:p>
    <w:tbl>
      <w:tblPr>
        <w:tblStyle w:val="Tabellrutenett"/>
        <w:tblpPr w:leftFromText="141" w:rightFromText="141" w:vertAnchor="page" w:horzAnchor="margin" w:tblpY="1285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456"/>
        <w:gridCol w:w="1098"/>
        <w:gridCol w:w="320"/>
        <w:gridCol w:w="425"/>
        <w:gridCol w:w="554"/>
        <w:gridCol w:w="1147"/>
        <w:gridCol w:w="374"/>
        <w:gridCol w:w="335"/>
        <w:gridCol w:w="567"/>
        <w:gridCol w:w="260"/>
        <w:gridCol w:w="237"/>
        <w:gridCol w:w="1487"/>
      </w:tblGrid>
      <w:tr w:rsidR="00DC3CC4" w:rsidRPr="00C878C3" w:rsidTr="00DC3CC4">
        <w:tc>
          <w:tcPr>
            <w:tcW w:w="907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CC4" w:rsidRPr="00DC3CC4" w:rsidRDefault="003E0F4F" w:rsidP="00DC3CC4">
            <w:pPr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b/>
                <w:sz w:val="18"/>
                <w:szCs w:val="18"/>
                <w:lang w:val="en-US"/>
              </w:rPr>
              <w:lastRenderedPageBreak/>
              <w:t>Supplementary</w:t>
            </w:r>
            <w:r w:rsidR="00DC3CC4" w:rsidRPr="00DC3CC4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 Table 4:</w:t>
            </w:r>
            <w:r w:rsidR="00DC3CC4" w:rsidRPr="00DC3CC4">
              <w:rPr>
                <w:rFonts w:ascii="Arial" w:hAnsi="Arial"/>
                <w:sz w:val="18"/>
                <w:szCs w:val="18"/>
                <w:lang w:val="en-US"/>
              </w:rPr>
              <w:t xml:space="preserve">  Multivariable analyses of associations between higher pathological stages and various clinicopathological variables including BVI and LVI (logistic regression) (n=240)</w:t>
            </w:r>
          </w:p>
        </w:tc>
      </w:tr>
      <w:tr w:rsidR="00DC3CC4" w:rsidTr="00DC3CC4"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Variables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Categories</w:t>
            </w:r>
          </w:p>
        </w:tc>
        <w:tc>
          <w:tcPr>
            <w:tcW w:w="2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OR (95% CI)             </w:t>
            </w:r>
          </w:p>
        </w:tc>
        <w:tc>
          <w:tcPr>
            <w:tcW w:w="28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P value</w:t>
            </w:r>
          </w:p>
        </w:tc>
      </w:tr>
      <w:tr w:rsidR="00DC3CC4" w:rsidTr="00DC3CC4">
        <w:tc>
          <w:tcPr>
            <w:tcW w:w="1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Gender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Male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Female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 (0.7-2.9)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Age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40-68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69-76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77-88                          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0.7 (0.3-1.4) 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1.2 (0.5-2.6)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0.33</w:t>
            </w:r>
          </w:p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Lymph node metastasis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pN0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pN1-3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6.2 (2.9-13.5)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Micropapillary div. diff.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0.4 (0.1-1.3)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0.13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BVI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3.9 (1.8-8.8)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LVI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Negative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Positive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1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1.5 (0.8-2.9)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Neoadjuvant  chemotherapy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 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Yes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1</w:t>
            </w:r>
          </w:p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1.4 (0.6-2.9)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CC4" w:rsidRDefault="00DC3CC4" w:rsidP="00DC3CC4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603B93" w:rsidTr="00DC3CC4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3CC4" w:rsidRDefault="00DC3CC4" w:rsidP="00DC3CC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DC3CC4" w:rsidRPr="00C878C3" w:rsidTr="00DC3CC4">
        <w:trPr>
          <w:trHeight w:val="90"/>
        </w:trPr>
        <w:tc>
          <w:tcPr>
            <w:tcW w:w="907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3CC4" w:rsidRPr="00DC3CC4" w:rsidRDefault="00DC3CC4" w:rsidP="00DC3CC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DC3CC4">
              <w:rPr>
                <w:rFonts w:ascii="Arial" w:hAnsi="Arial"/>
                <w:sz w:val="18"/>
                <w:szCs w:val="18"/>
                <w:lang w:val="en-US"/>
              </w:rPr>
              <w:t>Abbreviations: OR, odds ratio, 95% CI; 95% confidence interval.</w:t>
            </w:r>
          </w:p>
        </w:tc>
      </w:tr>
    </w:tbl>
    <w:p w:rsidR="00DC3CC4" w:rsidRDefault="00DC3CC4" w:rsidP="00DC3CC4">
      <w:pPr>
        <w:rPr>
          <w:lang w:val="en-US"/>
        </w:rPr>
      </w:pPr>
    </w:p>
    <w:p w:rsidR="00DC3CC4" w:rsidRDefault="009A076C" w:rsidP="00DC3CC4">
      <w:pPr>
        <w:rPr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Supplementary</w:t>
      </w:r>
      <w:r w:rsidR="00DC3CC4" w:rsidRPr="00E85776">
        <w:rPr>
          <w:rFonts w:ascii="Arial" w:hAnsi="Arial" w:cs="Arial"/>
          <w:b/>
          <w:sz w:val="18"/>
          <w:szCs w:val="18"/>
          <w:lang w:val="en-US"/>
        </w:rPr>
        <w:t xml:space="preserve"> Figure 1</w:t>
      </w:r>
      <w:r w:rsidR="00DC3CC4" w:rsidRPr="00E85776">
        <w:rPr>
          <w:rFonts w:ascii="Arial" w:hAnsi="Arial" w:cs="Arial"/>
          <w:sz w:val="18"/>
          <w:szCs w:val="18"/>
          <w:lang w:val="en-US"/>
        </w:rPr>
        <w:t>.</w:t>
      </w:r>
    </w:p>
    <w:p w:rsidR="00DC3CC4" w:rsidRPr="001539FC" w:rsidRDefault="00DC3CC4" w:rsidP="00DC3CC4">
      <w:pPr>
        <w:rPr>
          <w:lang w:val="en-US"/>
        </w:rPr>
      </w:pPr>
      <w:r w:rsidRPr="001539FC">
        <w:rPr>
          <w:lang w:val="en-US"/>
        </w:rPr>
        <w:t>A</w:t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>
        <w:rPr>
          <w:lang w:val="en-US"/>
        </w:rPr>
        <w:t xml:space="preserve">      </w:t>
      </w:r>
      <w:r w:rsidRPr="001539FC">
        <w:rPr>
          <w:lang w:val="en-US"/>
        </w:rPr>
        <w:t>B</w:t>
      </w:r>
      <w:r>
        <w:rPr>
          <w:lang w:val="en-US"/>
        </w:rPr>
        <w:t xml:space="preserve"> </w:t>
      </w:r>
    </w:p>
    <w:p w:rsidR="00DC3CC4" w:rsidRDefault="00DC3CC4" w:rsidP="00DC3CC4">
      <w:pPr>
        <w:rPr>
          <w:noProof/>
          <w:lang w:val="en-US" w:eastAsia="nb-NO"/>
        </w:rPr>
      </w:pPr>
      <w:r w:rsidRPr="001539FC">
        <w:rPr>
          <w:noProof/>
          <w:lang w:val="en-US" w:eastAsia="nb-NO"/>
        </w:rPr>
        <w:t xml:space="preserve"> </w:t>
      </w:r>
      <w:r w:rsidRPr="00D16487">
        <w:rPr>
          <w:noProof/>
          <w:lang w:eastAsia="nb-NO"/>
        </w:rPr>
        <w:drawing>
          <wp:inline distT="0" distB="0" distL="0" distR="0" wp14:anchorId="3FD0F55B" wp14:editId="4E6171AF">
            <wp:extent cx="2781300" cy="1721618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0591" cy="173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D09">
        <w:rPr>
          <w:noProof/>
          <w:lang w:eastAsia="nb-NO"/>
        </w:rPr>
        <w:drawing>
          <wp:inline distT="0" distB="0" distL="0" distR="0" wp14:anchorId="0B53274F" wp14:editId="1017C849">
            <wp:extent cx="2887980" cy="1785648"/>
            <wp:effectExtent l="0" t="0" r="762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4034" cy="178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8C3" w:rsidRPr="001E1981" w:rsidRDefault="00C878C3" w:rsidP="00C878C3">
      <w:pPr>
        <w:rPr>
          <w:color w:val="FF0000"/>
          <w:lang w:val="en-US"/>
        </w:rPr>
      </w:pPr>
      <w:r w:rsidRPr="001E1981">
        <w:rPr>
          <w:rFonts w:ascii="Arial" w:hAnsi="Arial" w:cs="Arial"/>
          <w:b/>
          <w:color w:val="FF0000"/>
          <w:sz w:val="18"/>
          <w:szCs w:val="18"/>
          <w:lang w:val="en-US"/>
        </w:rPr>
        <w:t>Supplementary</w:t>
      </w:r>
      <w:r w:rsidR="003848B9" w:rsidRPr="001E1981">
        <w:rPr>
          <w:rFonts w:ascii="Arial" w:hAnsi="Arial" w:cs="Arial"/>
          <w:b/>
          <w:color w:val="FF0000"/>
          <w:sz w:val="18"/>
          <w:szCs w:val="18"/>
          <w:lang w:val="en-US"/>
        </w:rPr>
        <w:t xml:space="preserve"> Figure 2</w:t>
      </w:r>
      <w:r w:rsidRPr="001E1981">
        <w:rPr>
          <w:rFonts w:ascii="Arial" w:hAnsi="Arial" w:cs="Arial"/>
          <w:color w:val="FF0000"/>
          <w:sz w:val="18"/>
          <w:szCs w:val="18"/>
          <w:lang w:val="en-US"/>
        </w:rPr>
        <w:t>.</w:t>
      </w:r>
    </w:p>
    <w:p w:rsidR="00DC3CC4" w:rsidRPr="00233E75" w:rsidRDefault="00C878C3" w:rsidP="00DC3CC4">
      <w:pPr>
        <w:rPr>
          <w:lang w:val="en-US"/>
        </w:rPr>
      </w:pPr>
      <w:r w:rsidRPr="001539FC">
        <w:rPr>
          <w:lang w:val="en-US"/>
        </w:rPr>
        <w:t>A</w:t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 w:rsidRPr="001539FC">
        <w:rPr>
          <w:lang w:val="en-US"/>
        </w:rPr>
        <w:tab/>
      </w:r>
      <w:r>
        <w:rPr>
          <w:lang w:val="en-US"/>
        </w:rPr>
        <w:t xml:space="preserve">      </w:t>
      </w:r>
      <w:r w:rsidRPr="001539FC">
        <w:rPr>
          <w:lang w:val="en-US"/>
        </w:rPr>
        <w:t>B</w:t>
      </w:r>
      <w:r>
        <w:rPr>
          <w:lang w:val="en-US"/>
        </w:rPr>
        <w:t xml:space="preserve"> </w:t>
      </w:r>
      <w:r w:rsidR="004059CF">
        <w:rPr>
          <w:lang w:val="en-US"/>
        </w:rPr>
        <w:t xml:space="preserve"> </w:t>
      </w:r>
      <w:r w:rsidR="00BB2032" w:rsidRPr="0022077D">
        <w:rPr>
          <w:noProof/>
          <w:lang w:eastAsia="nb-NO"/>
        </w:rPr>
        <w:drawing>
          <wp:inline distT="0" distB="0" distL="0" distR="0" wp14:anchorId="4D3D9991" wp14:editId="4F393B33">
            <wp:extent cx="2814145" cy="1741470"/>
            <wp:effectExtent l="0" t="0" r="5715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2773" cy="177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2032">
        <w:rPr>
          <w:lang w:val="en-US"/>
        </w:rPr>
        <w:t xml:space="preserve"> </w:t>
      </w:r>
      <w:bookmarkStart w:id="1" w:name="_GoBack"/>
      <w:r w:rsidR="00BB2032" w:rsidRPr="007F0393">
        <w:rPr>
          <w:noProof/>
          <w:lang w:eastAsia="nb-NO"/>
        </w:rPr>
        <w:drawing>
          <wp:inline distT="0" distB="0" distL="0" distR="0" wp14:anchorId="7CE01B07" wp14:editId="3C79DA8C">
            <wp:extent cx="2887980" cy="1787159"/>
            <wp:effectExtent l="0" t="0" r="762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3214" cy="181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DC3CC4" w:rsidRPr="00233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E75"/>
    <w:rsid w:val="00080B49"/>
    <w:rsid w:val="000F339B"/>
    <w:rsid w:val="001806C9"/>
    <w:rsid w:val="001E1981"/>
    <w:rsid w:val="00233E75"/>
    <w:rsid w:val="003848B9"/>
    <w:rsid w:val="003E0F4F"/>
    <w:rsid w:val="004059CF"/>
    <w:rsid w:val="00422DD6"/>
    <w:rsid w:val="00526197"/>
    <w:rsid w:val="007A1900"/>
    <w:rsid w:val="00985D91"/>
    <w:rsid w:val="009A076C"/>
    <w:rsid w:val="009C4FF0"/>
    <w:rsid w:val="00BB2032"/>
    <w:rsid w:val="00BF64B7"/>
    <w:rsid w:val="00C878C3"/>
    <w:rsid w:val="00DC3CC4"/>
    <w:rsid w:val="00E9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413C"/>
  <w15:chartTrackingRefBased/>
  <w15:docId w15:val="{488C9FB5-270E-4E63-9C0E-08D6EC85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3CC4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396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Carlsen</dc:creator>
  <cp:keywords/>
  <dc:description/>
  <cp:lastModifiedBy>Birgitte Carlsen</cp:lastModifiedBy>
  <cp:revision>11</cp:revision>
  <dcterms:created xsi:type="dcterms:W3CDTF">2021-06-28T11:04:00Z</dcterms:created>
  <dcterms:modified xsi:type="dcterms:W3CDTF">2021-10-01T08:40:00Z</dcterms:modified>
</cp:coreProperties>
</file>