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D8816E" w14:textId="1DEDD7B7" w:rsidR="00DE010B" w:rsidRPr="00657970" w:rsidRDefault="00DE010B" w:rsidP="00657970">
      <w:pPr>
        <w:spacing w:line="480" w:lineRule="auto"/>
        <w:rPr>
          <w:rFonts w:ascii="Arial" w:hAnsi="Arial" w:cs="Arial"/>
          <w:b/>
          <w:bCs/>
        </w:rPr>
      </w:pPr>
      <w:r w:rsidRPr="00657970">
        <w:rPr>
          <w:rFonts w:ascii="Arial" w:hAnsi="Arial" w:cs="Arial"/>
          <w:b/>
          <w:bCs/>
        </w:rPr>
        <w:t>Supplementary Materials and Methods</w:t>
      </w:r>
    </w:p>
    <w:p w14:paraId="11EA42EA" w14:textId="77777777" w:rsidR="00DE010B" w:rsidRPr="00657970" w:rsidRDefault="00DE010B" w:rsidP="00657970">
      <w:pPr>
        <w:spacing w:line="480" w:lineRule="auto"/>
        <w:rPr>
          <w:rFonts w:ascii="Arial" w:hAnsi="Arial" w:cs="Arial"/>
        </w:rPr>
      </w:pPr>
    </w:p>
    <w:p w14:paraId="6315B856" w14:textId="1185670E" w:rsidR="00DE010B" w:rsidRPr="00657970" w:rsidRDefault="00BB3B6C" w:rsidP="00657970">
      <w:pPr>
        <w:spacing w:line="480" w:lineRule="auto"/>
        <w:rPr>
          <w:rFonts w:ascii="Arial" w:hAnsi="Arial" w:cs="Arial"/>
          <w:b/>
          <w:i/>
          <w:iCs/>
        </w:rPr>
      </w:pPr>
      <w:r w:rsidRPr="00657970">
        <w:rPr>
          <w:rFonts w:ascii="Arial" w:hAnsi="Arial" w:cs="Arial"/>
          <w:b/>
          <w:i/>
          <w:iCs/>
        </w:rPr>
        <w:t>Real-time PCR</w:t>
      </w:r>
    </w:p>
    <w:p w14:paraId="7EE8A2B0" w14:textId="09E5672C" w:rsidR="00BB3B6C" w:rsidRPr="00657970" w:rsidRDefault="00BB3B6C" w:rsidP="00657970">
      <w:pPr>
        <w:spacing w:line="480" w:lineRule="auto"/>
        <w:rPr>
          <w:rFonts w:ascii="Arial" w:hAnsi="Arial" w:cs="Arial"/>
        </w:rPr>
      </w:pPr>
      <w:r w:rsidRPr="00657970">
        <w:rPr>
          <w:rFonts w:ascii="Arial" w:hAnsi="Arial" w:cs="Arial"/>
        </w:rPr>
        <w:t xml:space="preserve">Five to eight sections, each 5 </w:t>
      </w:r>
      <w:proofErr w:type="spellStart"/>
      <w:r w:rsidRPr="00657970">
        <w:rPr>
          <w:rFonts w:ascii="Arial" w:hAnsi="Arial" w:cs="Arial"/>
        </w:rPr>
        <w:t>μm</w:t>
      </w:r>
      <w:proofErr w:type="spellEnd"/>
      <w:r w:rsidRPr="00657970">
        <w:rPr>
          <w:rFonts w:ascii="Arial" w:hAnsi="Arial" w:cs="Arial"/>
        </w:rPr>
        <w:t xml:space="preserve"> thick, were cut from each paraffin-embedded tumor sample of 10 </w:t>
      </w:r>
      <w:r w:rsidR="00715B15">
        <w:rPr>
          <w:rFonts w:ascii="Arial" w:hAnsi="Arial" w:cs="Arial"/>
        </w:rPr>
        <w:t>PRNRP</w:t>
      </w:r>
      <w:r w:rsidRPr="00657970">
        <w:rPr>
          <w:rFonts w:ascii="Arial" w:hAnsi="Arial" w:cs="Arial"/>
        </w:rPr>
        <w:t xml:space="preserve"> cases (except Case 3), 5 type I and 5 type II PRCC cases. Genomic DNA was isolated from these tissue sections by using a FFPE genomic DNA extraction kit (</w:t>
      </w:r>
      <w:proofErr w:type="spellStart"/>
      <w:r w:rsidRPr="00657970">
        <w:rPr>
          <w:rFonts w:ascii="Arial" w:hAnsi="Arial" w:cs="Arial"/>
        </w:rPr>
        <w:t>Tiangen</w:t>
      </w:r>
      <w:proofErr w:type="spellEnd"/>
      <w:r w:rsidRPr="00657970">
        <w:rPr>
          <w:rFonts w:ascii="Arial" w:hAnsi="Arial" w:cs="Arial"/>
        </w:rPr>
        <w:t xml:space="preserve"> Biotech Co. Ltd, Beijing, China). For primary detection of hotspot mutations, DNA concentration was measured on a Q3000 Micro-Ultraviolet Spectrophotometer (</w:t>
      </w:r>
      <w:proofErr w:type="spellStart"/>
      <w:r w:rsidRPr="00657970">
        <w:rPr>
          <w:rFonts w:ascii="Arial" w:hAnsi="Arial" w:cs="Arial"/>
        </w:rPr>
        <w:t>Quawell</w:t>
      </w:r>
      <w:proofErr w:type="spellEnd"/>
      <w:r w:rsidRPr="00657970">
        <w:rPr>
          <w:rFonts w:ascii="Arial" w:hAnsi="Arial" w:cs="Arial"/>
        </w:rPr>
        <w:t>, Sunnyvale, CA, USA), and adjusted to 1.5-3 ng/</w:t>
      </w:r>
      <w:proofErr w:type="spellStart"/>
      <w:r w:rsidRPr="00657970">
        <w:rPr>
          <w:rFonts w:ascii="Arial" w:hAnsi="Arial" w:cs="Arial"/>
        </w:rPr>
        <w:t>μl</w:t>
      </w:r>
      <w:proofErr w:type="spellEnd"/>
      <w:r w:rsidRPr="00657970">
        <w:rPr>
          <w:rFonts w:ascii="Arial" w:hAnsi="Arial" w:cs="Arial"/>
        </w:rPr>
        <w:t xml:space="preserve">. Thereafter, real-time qPCR was carried out by using a human </w:t>
      </w:r>
      <w:r w:rsidRPr="00D06E21">
        <w:rPr>
          <w:rFonts w:ascii="Arial" w:hAnsi="Arial" w:cs="Arial"/>
          <w:i/>
          <w:iCs/>
        </w:rPr>
        <w:t>KRAS/NRAS/PIK3CA/BRAF</w:t>
      </w:r>
      <w:r w:rsidRPr="00657970">
        <w:rPr>
          <w:rFonts w:ascii="Arial" w:hAnsi="Arial" w:cs="Arial"/>
        </w:rPr>
        <w:t xml:space="preserve"> gene mutation joint detection kit (</w:t>
      </w:r>
      <w:proofErr w:type="spellStart"/>
      <w:r w:rsidRPr="00657970">
        <w:rPr>
          <w:rFonts w:ascii="Arial" w:hAnsi="Arial" w:cs="Arial"/>
        </w:rPr>
        <w:t>AmoyDx</w:t>
      </w:r>
      <w:proofErr w:type="spellEnd"/>
      <w:r w:rsidRPr="00657970">
        <w:rPr>
          <w:rFonts w:ascii="Arial" w:hAnsi="Arial" w:cs="Arial"/>
        </w:rPr>
        <w:t xml:space="preserve">, Xiamen, Fujian, China) on a Cobas z480 platform (Roche, </w:t>
      </w:r>
      <w:proofErr w:type="spellStart"/>
      <w:r w:rsidRPr="00657970">
        <w:rPr>
          <w:rFonts w:ascii="Arial" w:hAnsi="Arial" w:cs="Arial"/>
        </w:rPr>
        <w:t>Rotkreuz</w:t>
      </w:r>
      <w:proofErr w:type="spellEnd"/>
      <w:r w:rsidRPr="00657970">
        <w:rPr>
          <w:rFonts w:ascii="Arial" w:hAnsi="Arial" w:cs="Arial"/>
        </w:rPr>
        <w:t>, Switzerland). The preparation of reaction system and the interpretation of mutational signals were based on the manufacturer's instructions.</w:t>
      </w:r>
    </w:p>
    <w:p w14:paraId="1085E20B" w14:textId="77777777" w:rsidR="006E07D0" w:rsidRPr="00657970" w:rsidRDefault="006E07D0" w:rsidP="00657970">
      <w:pPr>
        <w:spacing w:line="480" w:lineRule="auto"/>
        <w:rPr>
          <w:rFonts w:ascii="Arial" w:hAnsi="Arial" w:cs="Arial"/>
        </w:rPr>
      </w:pPr>
    </w:p>
    <w:p w14:paraId="3ABE5389" w14:textId="24832DA4" w:rsidR="00BB3B6C" w:rsidRPr="00657970" w:rsidRDefault="00BB3B6C" w:rsidP="00657970">
      <w:pPr>
        <w:spacing w:line="480" w:lineRule="auto"/>
        <w:rPr>
          <w:rFonts w:ascii="Arial" w:hAnsi="Arial" w:cs="Arial"/>
          <w:b/>
          <w:i/>
          <w:iCs/>
        </w:rPr>
      </w:pPr>
      <w:r w:rsidRPr="00657970">
        <w:rPr>
          <w:rFonts w:ascii="Arial" w:hAnsi="Arial" w:cs="Arial"/>
          <w:b/>
          <w:i/>
          <w:iCs/>
        </w:rPr>
        <w:t xml:space="preserve">Sanger </w:t>
      </w:r>
      <w:r w:rsidRPr="00657970">
        <w:rPr>
          <w:rFonts w:ascii="Arial" w:hAnsi="Arial" w:cs="Arial" w:hint="eastAsia"/>
          <w:b/>
          <w:i/>
          <w:iCs/>
        </w:rPr>
        <w:t>Sequencing</w:t>
      </w:r>
    </w:p>
    <w:p w14:paraId="3DB62EE7" w14:textId="2C3B8833" w:rsidR="00BB3B6C" w:rsidRPr="00657970" w:rsidRDefault="00BB3B6C" w:rsidP="00657970">
      <w:pPr>
        <w:spacing w:line="480" w:lineRule="auto"/>
        <w:rPr>
          <w:rFonts w:ascii="Arial" w:hAnsi="Arial" w:cs="Arial"/>
        </w:rPr>
      </w:pPr>
      <w:r w:rsidRPr="00657970">
        <w:rPr>
          <w:rFonts w:ascii="Arial" w:hAnsi="Arial" w:cs="Arial"/>
        </w:rPr>
        <w:t xml:space="preserve">To further confirm the mutations detected by PCR, Sanger sequencing was performed. Full-length </w:t>
      </w:r>
      <w:r w:rsidRPr="00D06E21">
        <w:rPr>
          <w:rFonts w:ascii="Arial" w:hAnsi="Arial" w:cs="Arial"/>
          <w:i/>
          <w:iCs/>
        </w:rPr>
        <w:t>KRAS</w:t>
      </w:r>
      <w:r w:rsidRPr="00657970">
        <w:rPr>
          <w:rFonts w:ascii="Arial" w:hAnsi="Arial" w:cs="Arial"/>
        </w:rPr>
        <w:t xml:space="preserve"> exon 2 and </w:t>
      </w:r>
      <w:r w:rsidRPr="00D06E21">
        <w:rPr>
          <w:rFonts w:ascii="Arial" w:hAnsi="Arial" w:cs="Arial"/>
          <w:i/>
          <w:iCs/>
        </w:rPr>
        <w:t>BRAF</w:t>
      </w:r>
      <w:r w:rsidRPr="00657970">
        <w:rPr>
          <w:rFonts w:ascii="Arial" w:hAnsi="Arial" w:cs="Arial"/>
        </w:rPr>
        <w:t xml:space="preserve"> exon 15 were amplified by PCR using the extracted genomic DNA. The primers were designed using primer5 software. The following primers were used: </w:t>
      </w:r>
      <w:r w:rsidRPr="00D06E21">
        <w:rPr>
          <w:rFonts w:ascii="Arial" w:hAnsi="Arial" w:cs="Arial"/>
          <w:i/>
          <w:iCs/>
        </w:rPr>
        <w:t>KRAS</w:t>
      </w:r>
      <w:r w:rsidRPr="00657970">
        <w:rPr>
          <w:rFonts w:ascii="Arial" w:hAnsi="Arial" w:cs="Arial"/>
        </w:rPr>
        <w:t xml:space="preserve"> forward primer sequence: 5 '-</w:t>
      </w:r>
      <w:r w:rsidRPr="00657970">
        <w:rPr>
          <w:rFonts w:ascii="Arial" w:hAnsi="Arial" w:cs="Arial"/>
          <w:caps/>
        </w:rPr>
        <w:t>gcgtcgatggagggatttgt</w:t>
      </w:r>
      <w:r w:rsidRPr="00657970">
        <w:rPr>
          <w:rFonts w:ascii="Arial" w:hAnsi="Arial" w:cs="Arial"/>
        </w:rPr>
        <w:t xml:space="preserve">-3'; reverse primer sequence: 5’-TGGTCCTGCACCAGTAATATGC-3’. </w:t>
      </w:r>
      <w:r w:rsidRPr="00D06E21">
        <w:rPr>
          <w:rFonts w:ascii="Arial" w:hAnsi="Arial" w:cs="Arial"/>
          <w:i/>
          <w:iCs/>
        </w:rPr>
        <w:t>BRAF</w:t>
      </w:r>
      <w:r w:rsidRPr="00657970">
        <w:rPr>
          <w:rFonts w:ascii="Arial" w:hAnsi="Arial" w:cs="Arial"/>
        </w:rPr>
        <w:t xml:space="preserve"> forward primer sequence: 5’-GGAAAGCATCTCACCTCATCCT-3’; reverse primer sequence: 5’-AGCCTCAATTCTTACCATCCACAAA-3’. The PCR cycling program was: step 1, 94°C 4 min; step 2, 94°C 20 s; step 3, 60°C 20 s; step 4, 72°C 40 s; repeat steps 2, 3 </w:t>
      </w:r>
      <w:r w:rsidRPr="00657970">
        <w:rPr>
          <w:rFonts w:ascii="Arial" w:hAnsi="Arial" w:cs="Arial"/>
        </w:rPr>
        <w:lastRenderedPageBreak/>
        <w:t xml:space="preserve">and 4 39 times; step 5, 72°C 10 min. PCR products were identified by agarose gel electrophoresis, purified and subsequently sequenced by </w:t>
      </w:r>
      <w:proofErr w:type="spellStart"/>
      <w:r w:rsidRPr="00657970">
        <w:rPr>
          <w:rFonts w:ascii="Arial" w:hAnsi="Arial" w:cs="Arial"/>
        </w:rPr>
        <w:t>Shenggong</w:t>
      </w:r>
      <w:proofErr w:type="spellEnd"/>
      <w:r w:rsidRPr="00657970">
        <w:rPr>
          <w:rFonts w:ascii="Arial" w:hAnsi="Arial" w:cs="Arial"/>
        </w:rPr>
        <w:t xml:space="preserve"> Bioengineering Technology Limited (Shanghai, China) using an ABI 3730XL DNA analyzer (Applied Biosystems, Foster City,</w:t>
      </w:r>
      <w:r w:rsidRPr="00657970">
        <w:rPr>
          <w:rFonts w:ascii="Arial" w:hAnsi="Arial" w:cs="Arial" w:hint="eastAsia"/>
        </w:rPr>
        <w:t xml:space="preserve"> </w:t>
      </w:r>
      <w:r w:rsidRPr="00657970">
        <w:rPr>
          <w:rFonts w:ascii="Arial" w:hAnsi="Arial" w:cs="Arial"/>
        </w:rPr>
        <w:t>CA, USA).</w:t>
      </w:r>
    </w:p>
    <w:p w14:paraId="02E4C837" w14:textId="77777777" w:rsidR="006E07D0" w:rsidRPr="00657970" w:rsidRDefault="006E07D0" w:rsidP="00657970">
      <w:pPr>
        <w:spacing w:line="480" w:lineRule="auto"/>
        <w:rPr>
          <w:rFonts w:ascii="Arial" w:hAnsi="Arial" w:cs="Arial"/>
        </w:rPr>
      </w:pPr>
    </w:p>
    <w:p w14:paraId="00789011" w14:textId="3FDA9DD7" w:rsidR="006E07D0" w:rsidRPr="00657970" w:rsidRDefault="006E07D0" w:rsidP="00657970">
      <w:pPr>
        <w:spacing w:line="480" w:lineRule="auto"/>
        <w:rPr>
          <w:rFonts w:ascii="Arial" w:hAnsi="Arial" w:cs="Arial"/>
          <w:b/>
          <w:i/>
          <w:iCs/>
        </w:rPr>
      </w:pPr>
      <w:bookmarkStart w:id="0" w:name="_Hlk81736032"/>
      <w:r w:rsidRPr="00657970">
        <w:rPr>
          <w:rFonts w:ascii="Arial" w:hAnsi="Arial" w:cs="Arial"/>
          <w:b/>
          <w:i/>
          <w:iCs/>
        </w:rPr>
        <w:t xml:space="preserve">Fish </w:t>
      </w:r>
      <w:r w:rsidRPr="00657970">
        <w:rPr>
          <w:rFonts w:ascii="Arial" w:hAnsi="Arial" w:cs="Arial" w:hint="eastAsia"/>
          <w:b/>
          <w:i/>
          <w:iCs/>
        </w:rPr>
        <w:t>analysis</w:t>
      </w:r>
    </w:p>
    <w:p w14:paraId="677EBD32" w14:textId="6D13D483" w:rsidR="00F0608D" w:rsidRPr="00657970" w:rsidRDefault="007B151C" w:rsidP="00657970">
      <w:pPr>
        <w:spacing w:line="480" w:lineRule="auto"/>
        <w:rPr>
          <w:rFonts w:ascii="Arial" w:hAnsi="Arial" w:cs="Arial"/>
        </w:rPr>
      </w:pPr>
      <w:r w:rsidRPr="00657970">
        <w:rPr>
          <w:rFonts w:ascii="Arial" w:hAnsi="Arial" w:cs="Arial"/>
        </w:rPr>
        <w:t>Chromosome 7</w:t>
      </w:r>
      <w:bookmarkEnd w:id="0"/>
      <w:r w:rsidRPr="00657970">
        <w:rPr>
          <w:rFonts w:ascii="Arial" w:hAnsi="Arial" w:cs="Arial"/>
        </w:rPr>
        <w:t xml:space="preserve"> probe (CEP7/D7Z1, Spectrum Green), chromosome 17 probe (CEP17/D17Z1, Spectrum Green) and chromosome Y probe (CEPY/DYZ3, Spectrum Orange) were purchased from Abbott Laboratories Trading </w:t>
      </w:r>
      <w:proofErr w:type="spellStart"/>
      <w:proofErr w:type="gramStart"/>
      <w:r w:rsidRPr="00657970">
        <w:rPr>
          <w:rFonts w:ascii="Arial" w:hAnsi="Arial" w:cs="Arial"/>
        </w:rPr>
        <w:t>Co,.</w:t>
      </w:r>
      <w:proofErr w:type="gramEnd"/>
      <w:r w:rsidRPr="00657970">
        <w:rPr>
          <w:rFonts w:ascii="Arial" w:hAnsi="Arial" w:cs="Arial"/>
        </w:rPr>
        <w:t>Ltd</w:t>
      </w:r>
      <w:proofErr w:type="spellEnd"/>
      <w:r w:rsidRPr="00657970">
        <w:rPr>
          <w:rFonts w:ascii="Arial" w:hAnsi="Arial" w:cs="Arial"/>
        </w:rPr>
        <w:t xml:space="preserve"> (Shanghai, China). The analysis was conducted according to the manufacturer’s instructions. At least 100 non-overlapping nuclei were counted in each sample under the high magnification field, and normal renal tissue served as a control. The threshold value was defined as the mean value of signal number in non-tumor tissues (M) + three times the standard deviation (3 × SD). Samples with more than 15% of the tumor cells showing three or more green signals were interpreted as chromosome 7 or 17 trisomy.</w:t>
      </w:r>
    </w:p>
    <w:sectPr w:rsidR="00F0608D" w:rsidRPr="006579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969322" w14:textId="77777777" w:rsidR="000D2F9E" w:rsidRDefault="000D2F9E" w:rsidP="00715B15">
      <w:r>
        <w:separator/>
      </w:r>
    </w:p>
  </w:endnote>
  <w:endnote w:type="continuationSeparator" w:id="0">
    <w:p w14:paraId="392A9A94" w14:textId="77777777" w:rsidR="000D2F9E" w:rsidRDefault="000D2F9E" w:rsidP="00715B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E0E0E6" w14:textId="77777777" w:rsidR="000D2F9E" w:rsidRDefault="000D2F9E" w:rsidP="00715B15">
      <w:r>
        <w:separator/>
      </w:r>
    </w:p>
  </w:footnote>
  <w:footnote w:type="continuationSeparator" w:id="0">
    <w:p w14:paraId="279D8F43" w14:textId="77777777" w:rsidR="000D2F9E" w:rsidRDefault="000D2F9E" w:rsidP="00715B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nl-NL" w:vendorID="64" w:dllVersion="6" w:nlCheck="1" w:checkStyle="0"/>
  <w:activeWritingStyle w:appName="MSWord" w:lang="en-US" w:vendorID="64" w:dllVersion="4096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Histopathology 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zfxaxtr32e0fme9vx1v5aphwzfzdptzvd2w&quot;&gt;Jobran Refe&lt;record-ids&gt;&lt;item&gt;110&lt;/item&gt;&lt;item&gt;135&lt;/item&gt;&lt;item&gt;136&lt;/item&gt;&lt;/record-ids&gt;&lt;/item&gt;&lt;/Libraries&gt;"/>
  </w:docVars>
  <w:rsids>
    <w:rsidRoot w:val="00DE010B"/>
    <w:rsid w:val="000002F6"/>
    <w:rsid w:val="00005103"/>
    <w:rsid w:val="0004501A"/>
    <w:rsid w:val="000A25ED"/>
    <w:rsid w:val="000D2F9E"/>
    <w:rsid w:val="0017150D"/>
    <w:rsid w:val="00234084"/>
    <w:rsid w:val="002419FA"/>
    <w:rsid w:val="00262A3D"/>
    <w:rsid w:val="002C0151"/>
    <w:rsid w:val="002D3A24"/>
    <w:rsid w:val="003A2236"/>
    <w:rsid w:val="004267DB"/>
    <w:rsid w:val="00454C77"/>
    <w:rsid w:val="00514DBA"/>
    <w:rsid w:val="00556A13"/>
    <w:rsid w:val="00572300"/>
    <w:rsid w:val="00657970"/>
    <w:rsid w:val="006853B8"/>
    <w:rsid w:val="006D3DA9"/>
    <w:rsid w:val="006E07D0"/>
    <w:rsid w:val="00715B15"/>
    <w:rsid w:val="007171E0"/>
    <w:rsid w:val="007604F5"/>
    <w:rsid w:val="007B151C"/>
    <w:rsid w:val="008011A1"/>
    <w:rsid w:val="008A2D91"/>
    <w:rsid w:val="009246BD"/>
    <w:rsid w:val="00937261"/>
    <w:rsid w:val="00961441"/>
    <w:rsid w:val="009647B6"/>
    <w:rsid w:val="0098589F"/>
    <w:rsid w:val="00A24EEF"/>
    <w:rsid w:val="00A31C2D"/>
    <w:rsid w:val="00AB503B"/>
    <w:rsid w:val="00B76225"/>
    <w:rsid w:val="00BB3B6C"/>
    <w:rsid w:val="00BE4275"/>
    <w:rsid w:val="00C60D65"/>
    <w:rsid w:val="00CC2F90"/>
    <w:rsid w:val="00D06E21"/>
    <w:rsid w:val="00D51A98"/>
    <w:rsid w:val="00D72987"/>
    <w:rsid w:val="00D81026"/>
    <w:rsid w:val="00D915FB"/>
    <w:rsid w:val="00DE010B"/>
    <w:rsid w:val="00E61148"/>
    <w:rsid w:val="00F06070"/>
    <w:rsid w:val="00F0608D"/>
    <w:rsid w:val="00FA4D33"/>
    <w:rsid w:val="00FB3EB4"/>
    <w:rsid w:val="00FE3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ABE2AB"/>
  <w15:chartTrackingRefBased/>
  <w15:docId w15:val="{3B600798-5F93-4431-9246-5BD1C86C3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01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010B"/>
    <w:pPr>
      <w:spacing w:after="0" w:line="240" w:lineRule="auto"/>
    </w:pPr>
    <w:rPr>
      <w:rFonts w:ascii="Verdana" w:hAnsi="Verdana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a"/>
    <w:link w:val="EndNoteBibliographyTitleChar"/>
    <w:rsid w:val="00DE010B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DE010B"/>
    <w:rPr>
      <w:rFonts w:ascii="Times New Roman" w:eastAsia="Times New Roman" w:hAnsi="Times New Roman" w:cs="Times New Roman"/>
      <w:noProof/>
      <w:sz w:val="24"/>
      <w:szCs w:val="24"/>
      <w:lang w:val="en-US"/>
    </w:rPr>
  </w:style>
  <w:style w:type="paragraph" w:customStyle="1" w:styleId="EndNoteBibliography">
    <w:name w:val="EndNote Bibliography"/>
    <w:basedOn w:val="a"/>
    <w:link w:val="EndNoteBibliographyChar"/>
    <w:rsid w:val="00DE010B"/>
    <w:rPr>
      <w:noProof/>
    </w:rPr>
  </w:style>
  <w:style w:type="character" w:customStyle="1" w:styleId="EndNoteBibliographyChar">
    <w:name w:val="EndNote Bibliography Char"/>
    <w:basedOn w:val="a0"/>
    <w:link w:val="EndNoteBibliography"/>
    <w:rsid w:val="00DE010B"/>
    <w:rPr>
      <w:rFonts w:ascii="Times New Roman" w:eastAsia="Times New Roman" w:hAnsi="Times New Roman" w:cs="Times New Roman"/>
      <w:noProof/>
      <w:sz w:val="24"/>
      <w:szCs w:val="24"/>
      <w:lang w:val="en-US"/>
    </w:rPr>
  </w:style>
  <w:style w:type="paragraph" w:styleId="a4">
    <w:name w:val="header"/>
    <w:basedOn w:val="a"/>
    <w:link w:val="a5"/>
    <w:uiPriority w:val="99"/>
    <w:unhideWhenUsed/>
    <w:rsid w:val="00715B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715B15"/>
    <w:rPr>
      <w:rFonts w:ascii="Times New Roman" w:eastAsia="Times New Roman" w:hAnsi="Times New Roman" w:cs="Times New Roman"/>
      <w:sz w:val="18"/>
      <w:szCs w:val="18"/>
      <w:lang w:val="en-US"/>
    </w:rPr>
  </w:style>
  <w:style w:type="paragraph" w:styleId="a6">
    <w:name w:val="footer"/>
    <w:basedOn w:val="a"/>
    <w:link w:val="a7"/>
    <w:uiPriority w:val="99"/>
    <w:unhideWhenUsed/>
    <w:rsid w:val="00715B15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715B15"/>
    <w:rPr>
      <w:rFonts w:ascii="Times New Roman" w:eastAsia="Times New Roman" w:hAnsi="Times New Roman" w:cs="Times New Roman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29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373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Maastricht University</Company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Moshi, Jobran (MOLCELB)</dc:creator>
  <cp:keywords/>
  <dc:description/>
  <cp:lastModifiedBy>Yang Tong</cp:lastModifiedBy>
  <cp:revision>8</cp:revision>
  <dcterms:created xsi:type="dcterms:W3CDTF">2021-09-05T03:34:00Z</dcterms:created>
  <dcterms:modified xsi:type="dcterms:W3CDTF">2021-12-10T10:38:00Z</dcterms:modified>
</cp:coreProperties>
</file>