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tif" ContentType="image/tiff"/>
  <Override PartName="/word/media/image5.png" ContentType="image/png"/>
  <Override PartName="/word/media/image4.tif" ContentType="image/tiff"/>
  <Override PartName="/word/media/image6.wmf" ContentType="image/x-wmf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 w:before="0" w:after="0"/>
        <w:rPr>
          <w:b/>
          <w:b/>
          <w:lang w:val="en-US"/>
        </w:rPr>
      </w:pPr>
      <w:r>
        <w:rPr>
          <w:b/>
          <w:lang w:val="en-US"/>
        </w:rPr>
        <w:t>SUPPLEMENTARY INFORMATION</w:t>
      </w:r>
    </w:p>
    <w:p>
      <w:pPr>
        <w:pStyle w:val="Normal"/>
        <w:spacing w:lineRule="auto" w:line="480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>
          <w:b/>
          <w:b/>
        </w:rPr>
      </w:pPr>
      <w:r>
        <w:rPr>
          <w:b/>
        </w:rPr>
        <w:t>Gene panel used for DNA NGS analysis</w:t>
      </w:r>
    </w:p>
    <w:p>
      <w:pPr>
        <w:pStyle w:val="Normal"/>
        <w:spacing w:lineRule="auto" w:line="360"/>
        <w:rPr/>
      </w:pPr>
      <w:r>
        <w:rPr/>
        <w:t>ABL1; ABL2; ABRAXAS2; ACVR1; ACVR1B; ACVR2A; ADGRA2; AIP; AJUBA; AKT1; AKT2; AKT3; ALK; ALOX12B; AMER1; ANKRD11; ANKRD26; APC; APEX1; AR; ARAF; ARFRP1; ARHGAP35; ARID1A; ARID1B; ARID2; ARID5B; ASXL1; ASXL2; ATM; ATMIN; ATR; ATRIP; ATRX; AURKA; AURKB; AXIN1; AXIN2; AXL; B2M; B4GALT3; BABAM1; BABAM2; BAP1; BARD1; BBC3; BCL10; BCL2; BCL2L1; BCL2L11; BCL2L2; BCL6; BCOR; BCORL1; BCR; BIRC3; BIRC5; BIRC5 p; BLM; BMPR1A; BRAF; BRAP; BRCA1; BRCA2; BRCC3; BRD4; BRIP1; BTG1; BTG2; BTK; BUB1B; EMSY; CALR; CARD11; CASP8; CBFB; CBL; CCDC6; CCND1; CCND2; CCND3; CCNE1; CD22; CD274; CD276; CD70; CD74; CD79A; CD79B; CDA; CDC73; CDH1; CDK12; CDK4; CDK6; CDK8; CDKN1A; CDKN1B; CDKN1C; CDKN2A; CDKN2B; CDKN2C; CEBPA; CENPA; CEP57; CFTR; CIC; CLSPN; CLTC; COP1; CREBBP; CRIPAK; CRKL; CRLF2; CSF1R; CSF3R; CSNK1A1; CSNK1D; CSNK1E; CTCF; CTLA4; CTNNA1; CTNNB1; CUL3; CUL4A; CUX1; CWF19L2; CXCR4; CYLD; CYP17A1; CYP19A1; DAXX; DCK; DCLRE1C; DCTD; DCUN1D1; DDB2; DDR1; DDR2; DDX41; DHFR; DHX15; DICER1; DIS3; DMC1; DNAJB1; DNAJC21; DNMT1; DNMT3A; DNMT3B; DOT1L; DPYD; E2F3; EED; EGFL7; EGFR; EGR3; EIF1AX; EIF4A2; EIF4E; ELF3; ELK1; ELOC; EML4; EP300; EPCAM; EPHA3; EPHA5; EPHA7; EPHB1; EPHB4; EPHB6; EPHX1; EPPK1; ERBB2; ERBB3; ERBB4; ERCC1; ERCC2; ERCC3; ERCC4; ERCC5; ERCC6; ERG; ERRFI1; ESR1; ESR2; ETS1; ETV1; ETV4; ETV5; ETV6; EWSR1; EXO1; EXT1; EXT2; EYA2; EZH2; F11R; FAAP24; FAM175A; FAM46C; FAN1; FANCA; FANCB; FANCC; FANCD2; FANCE; FANCF; FANCG; FANCI; FANCL; FANCM; FAS; FAT1; FBXW7; FGF1; FGF10; FGF12; FGF14; FGF19; FGF2; FGF23; FGF3; FGF4; FGF5; FGF6; FGF7; FGF8; FGF9; FGFR1; FGFR2; FGFR3; FGFR4; FH; FLCN; FLI1; FLT1; FLT3; FLT4; FOXA1; FOXA2; FOXL2; FOXO1; FOXP1; FRS2; FUBP1; FYN; GABRA6; GADD45A; GATA1; GATA2; GATA3; GATA4; GATA6; GEN1; GID4; GLI1; GNA11; GNA13; GNAQ; GNAS; GPC3; GPS2; GRB2; GRB7; GREM1; GRIN2A; GRM3; GSK3B; H2AX; H3F3A; H3F3B; H3F3C; HDAC1; HDAC2; HELQ; HGF; HIST1H1C; HIST1H2BD; HIST1H3A; HIST1H3B; HIST1H3C; HIST1H3D; HIST1H3E; HIST1H3F; HIST1H3G; HIST1H3H; HIST1H3I; HIST1H3J; HIST2H3A; HIST2H3C; HIST2H3D; HIST3H3; HLA-A; HLA-B; HLA-C; HMGA2; HNF1A; HNF1B; HNRNPK; HOXB13; HRAS; HSD3B1; HSP90AA1; HUS1; CHD2; CHD4; CHEK1; CHEK2; ICOSLG; ID3; IDH1; IDH2; IFNGR1; IGF1; IGF1R; IGF2; IKBKE; IKZF1; IL10; IL7R; INHA; INHBA; INPP4A; INPP4B; INSR; IRF2; IRF4; IRS1; IRS2; JAK1; JAK2; JAK3; JAM2; JAM3; JUN; KAT5; KAT6A; KCNJ5; KDM5A; KDM5C; KDM6A; KDR; KEAP1; KEL; KIF5B; KIT; KLF4; KLHL6; KMT2A; KMT2B; KMT2C; KMT2D; KRAS; LAMP1; LATS1; LATS2; LIFR; LIG1; LIG3; LIG4; LMO1; LRIG1; LRP1B; LRRK2; LTK; LYN; LZTR1; MAF; MAGI2; MALT1; MAP2K1; MAP2K2; MAP2K4; MAP3K1; MAP3K13; MAP3K14; MAP3K4; MAPK1; MAPK3; MAPK8IP1; MAX; MCL1; MCPH1; MDC1; MDM2; MDM4; MECOM; MED12; MEF2B; MEN1; MERTK; MET; MGA; MGMT; MITF; MKNK1; MLH1; MLH3; MLLT3; MMP8; MPL; MRE11A; MSH2; MSH3; MSH5; MSH6; MSR1; MST1; MST1R; MTAP; MTDH; MTOR; MUS81; MUTYH; MYB; MYC; MYCL; MYCN; MYD88; MYOD1; NAB2; NACC2; NAT1; NAV3; NBN; NCAM1; NCOA3; NCOA4; NCOR1; NEGR1; NELFB; NF1; NF2; NFE2L2; NFE2L3; NFKBIA; NFKBIZ; NHEJ1; NKX2-1; NKX3-1; NOTCH1; NOTCH2; NOTCH3; NOTCH4; NPM1; NRAS; NRG1; NSD1; NSD2; NSD3; NT5C2; NT5C2; NT5C3A; NT5C3B; NT5E; NTRK1; NTRK2; NTRK3; NUP93; NUTM1; OGG1; P2RY8; PAK1; PAK3; PAK7; PALB2; PARD3; PARP1; PARP2; PARP3; PAX3; PAX5; PAX7; PAX8; PBRM1; PCBP1; PCNA; PDCD1; PDCD1LG2; PDGFRA; PDGFRB; PDK1; PDPK1; PGR; PHB; PHF6; PHOX2B; PIK3C2B; PIK3C2G; PIK3C3; PIK3CA; PIK3CB; PIK3CD; PIK3CG; PIK3R1; PIK3R2; PIK3R3; PIM1; PLA2G2A; PLCG2; PLK2; PMAIP1; PMS1; PMS2; PNRC1; POLB; POLD1; POLE; POLQ; POT1; PPARA; PPARD; PPARG; PPM1D; PPP2R1A; PPP2R2A; PPP6C; PRDM1; PREX2; PRF1; PRKAR1A; PRKCI; PRKDC; PRKN; PRSS8; PRX; PTEN; PTCH1; PTPN11; PTPRD; PTPRO; PTPRS; PTPRT; PTTG2; QKI; RAB35; RAC1; RAD1; RAD17; RAD18; RAD21; RAD23B; RAD50; RAD51; RAD51AP1; RAD51B; RAD51C; RAD51D; RAD52; RAD54B; RAD54L; RAD9A; RAF1; RANBP2; RARA; RASA1; RB1; RBBP8; RBM10; RECQL; RECQL4; RECQL5; REL; RET; RFC1; RFC2; RFC4; RHBDF2; RHEB; RHOA; RICTOR; RIT1; RNF146; RNF168; RNF43; RNF8; ROS1; RPA1; RPL22; RPL5; RPS6KA4; RPS6KB1; RPS6KB2; RPTOR; RRM1; RUNX1; RUNX1T1; RYBP; SDHA; SDHAF2; SDHB; SDHC; SDHD; SETBP1; SETD2; SETX; SF3B1; SGK1; SH2B3; SH2D1A; SHPRH; SHQ1; SIN3A; SLC29A1; SLIT2; SLX4; SMAD2; SMAD3; SMAD4; SMARCA4; SMARCB1; SMARCD1; SMARCE1; SMC1A; SMC3; SMO; SNAI1; SNAI2; SNAI3; SNCAIP; SOCS1; SOX10; SOX17; SOX2; SOX9; SPEN; SPOP; SPTA1; SRC; SRSF2; STAG1; STAG2; STAT3; STAT4; STAT5A; STAT5B; STK11; STK40; SUFU; SUZ12; SYK; TAF1; TAZ; TBL1XR1; TBX3; TCF3; TCF7L2; TCL1A; TEK; TELO2; TERF2; TERT; TERT p; TET1; TET2; TFE3; TFRC; TGFBR1; TGFBR2; TIPARP; TJP1; TLR2; TLR4; TMEM127; TMPRSS2; TNFAIP3; TNFRSF14; TOP1; TOP2A; TOPBP1; TP53; TP53BP1; TP63; TPM3; TRAF2; TRAF7; TRRAP; TSC1; TSC2; TSHR; TSHZ2; TSHZ3; TSZH1; TWIST1; TWIST2; TYRO3; U2AF1; U2AF1 p; UBE2A; UBE2B; UBE2I; UBE2V2; UBE4B; UGT1A1; UIMC1; USP9X; VEGFA; VEZF1; VHL; VTCN1; WISP3; WRN; WT1; XIAP; XPA; XPC; XPO1; XRCC1; XRCC2; XRCC3; XRCC4; XRCC5; XRCC6; YAP1; YES1; ZBTB2; ZBTB7A; ZEB1; ZEB2; ZFHX3; ZNF217; ZNF350; ZNF365; ZNF703; ZRSR2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  <w:b/>
        </w:rPr>
      </w:pPr>
      <w:r>
        <w:rPr>
          <w:b/>
        </w:rPr>
        <w:t>Gene panel used for RNA NGS analysis</w:t>
      </w:r>
    </w:p>
    <w:p>
      <w:pPr>
        <w:pStyle w:val="Normal"/>
        <w:spacing w:lineRule="auto" w:line="360"/>
        <w:rPr/>
      </w:pPr>
      <w:r>
        <w:rPr/>
        <w:t>ACTN1; AKT1; AKT2; AKT3; ALK; ARID1A; ARID1B; ARID2; ATM; ATP5F1B; ATR; B2M; BAP1; BARD1; BCOR; BRAF; BRCA1; BRCA2; BRIP1; CAMTA1; CCNB3; CCND2; CCND3; CDH1; CDK4; CDKN2A; CIC; CSF1; CTNNB1; CYP19A1; DAXX; DDR2; DICER1; DNMT3A; EGFR; ELK1; EPC1; ERBB2; ERBB3; ERBB4; ERCC3; ERG; ESR1; ESR2; EWSR1; EZH2; ABRAXAS1; FBXW7; FGFR1; FGFR2; FGFR3; FGFR4; FH; FOS; FOSB; FOXL2; FOXO1; FUS; GLI1; GNA11; GNAQ; GNAS; GRB2; H3F3A; H3F3B; H3F3C; HDAC2; HIST1H3B; HMGA2; HNF1A; HNF1B; HPRT1; HRAS; CHEK1; CHEK2; IDH1; IDH2; JAK1; JAK2; JAZF1; KDR; KIT; KRAS; MAP2K1; MAP2K2; MAP2K4; MAPK1; MAPK3; MDM2; MDM4; MEAF6; MET; OGA; MITF; MRTFB; MRE11; MTOR; MYC; MYOD1; NBN; NCOA1; NCOA2; NF1; NOTCH1; NR4A3; NRAS; NRG1; NTRK1; NTRK2; NTRK3; NUTM1; PALB2; PAX3; PDGFB; PDGFRA; PHF1; PIK3CA; PLAG1; POLE; POLQ; PPM1D; PPP6C; PRKCA; PRKCB; PRKCD; PTEN; RAD51B; RAF1; RB1; RET; ROS1; SF3B1; SMAD4; SMARCA4; SMARCB1; SS18; STAT6; TAF15; TCF12; TFE3; TFG; TP53; USP6; VCP; VGLL2; YAP1; YWHAE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</w:rPr>
      </w:pPr>
      <w:r>
        <w:rPr>
          <w:b/>
        </w:rPr>
        <w:t>Areas with low or limited coverage</w:t>
      </w:r>
    </w:p>
    <w:p>
      <w:pPr>
        <w:pStyle w:val="Normal"/>
        <w:spacing w:lineRule="auto" w:line="360" w:before="0" w:after="0"/>
        <w:rPr>
          <w:rFonts w:ascii="Calibri" w:hAnsi="Calibri" w:eastAsia="Times New Roman" w:cs="Calibri"/>
          <w:color w:val="000000"/>
          <w:lang w:eastAsia="cs-CZ"/>
        </w:rPr>
      </w:pPr>
      <w:r>
        <w:rPr>
          <w:rFonts w:eastAsia="Times New Roman" w:cs="Calibri"/>
          <w:color w:val="000000"/>
          <w:sz w:val="24"/>
          <w:szCs w:val="24"/>
          <w:lang w:eastAsia="cs-CZ"/>
        </w:rPr>
        <w:t>In the DNA gene panel, there were targets with no coverage (including genes RANBP2 and FGF7</w:t>
      </w:r>
      <w:r>
        <w:rPr>
          <w:rFonts w:eastAsia="Times New Roman" w:cs="Calibri"/>
          <w:color w:val="000000"/>
          <w:sz w:val="24"/>
          <w:szCs w:val="24"/>
          <w:lang w:val="en-US" w:eastAsia="cs-CZ"/>
        </w:rPr>
        <w:t xml:space="preserve">; and selected exons in genes </w:t>
      </w:r>
      <w:r>
        <w:rPr>
          <w:rFonts w:eastAsia="Times New Roman" w:cs="Calibri"/>
          <w:color w:val="000000"/>
          <w:sz w:val="24"/>
          <w:szCs w:val="24"/>
          <w:lang w:eastAsia="cs-CZ"/>
        </w:rPr>
        <w:t xml:space="preserve">CHEK2_e13-15; PMS2_e2 + e4; HSP90AA1_e7 + e11; NPM_e11; RPS6KB_e13) or low coverage: </w:t>
      </w:r>
      <w:r>
        <w:rPr>
          <w:rFonts w:eastAsia="Times New Roman" w:cs="Calibri"/>
          <w:color w:val="000000"/>
          <w:lang w:eastAsia="cs-CZ"/>
        </w:rPr>
        <w:t>AKT3_e9; APC_e5; AR_e1; ATM_e10; BCR_e19; BCR_e22; CLSPN_e22; CREBBP_e18; EIFE4_e7; EML4_e2; ERBB4_e8; GPC3_e3; H3-3A_e4; HELQ_e3; HLA-A_e4; HLA-B_e2; HLA-B_e3; HLA-B_e4; HLA-C_e3; HLA-C_e4; HNRNPK_e9; INSR_e3; KIT_e16; KMT2C_e38; MALT1_e3; MKNK1_e8; MLH1_e12; MMP8_e6; NF1_e13; NF1_e21; NF1_e24; NF1_e25; PMS2_e3; POLE_e25; POLQ_e18; POT1_e19; PRKCI_e1; PRKDC_e68; PTEN_e8; RAD21_e10; RAD21_e8; RECQL_e3; REL_e9; RPL_e6; RPL5_e5; SDHC_e5; SDHD_e4; SGK1_e4; SPEN_e9; STAG2_e11; STAG2_e16; STAG2_e21; TP53BP1_e13; TPM3_e3; TSC1_e21; ZEB1_e7).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Calibri"/>
          <w:color w:val="000000"/>
          <w:sz w:val="24"/>
          <w:szCs w:val="24"/>
          <w:lang w:eastAsia="cs-CZ"/>
        </w:rPr>
        <w:t>These limitations disabled or lowered the sensitivity of detection of potential mutations in respective areas.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lineRule="auto" w:line="360" w:before="0" w:after="0"/>
        <w:rPr>
          <w:b/>
          <w:b/>
        </w:rPr>
      </w:pPr>
      <w:r>
        <w:rPr>
          <w:b/>
        </w:rPr>
        <w:t>Supplementary Figure 1. MET fusion transcripts.</w:t>
      </w:r>
    </w:p>
    <w:tbl>
      <w:tblPr>
        <w:tblStyle w:val="Mkatabulky"/>
        <w:tblW w:w="90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3"/>
        <w:gridCol w:w="8728"/>
      </w:tblGrid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eastAsia="cs-CZ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>A</w:t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drawing>
                <wp:inline distT="0" distB="0" distL="0" distR="0">
                  <wp:extent cx="5708650" cy="1164590"/>
                  <wp:effectExtent l="0" t="0" r="0" b="0"/>
                  <wp:docPr id="1" name="Obrázek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4685" r="0" b="213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0" cy="116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eastAsia="cs-CZ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>B</w:t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drawing>
                <wp:inline distT="0" distB="0" distL="0" distR="0">
                  <wp:extent cx="5667375" cy="1155700"/>
                  <wp:effectExtent l="0" t="0" r="0" b="0"/>
                  <wp:docPr id="2" name="Obrázek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748" r="0" b="20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C</w:t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drawing>
                <wp:inline distT="0" distB="0" distL="0" distR="0">
                  <wp:extent cx="5285740" cy="1198880"/>
                  <wp:effectExtent l="0" t="0" r="0" b="0"/>
                  <wp:docPr id="3" name="Obrázek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740" cy="11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D</w:t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drawing>
                <wp:inline distT="0" distB="0" distL="0" distR="0">
                  <wp:extent cx="5757545" cy="1112520"/>
                  <wp:effectExtent l="0" t="0" r="0" b="0"/>
                  <wp:docPr id="4" name="Obrázek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754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E</w:t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drawing>
                <wp:inline distT="0" distB="0" distL="0" distR="0">
                  <wp:extent cx="5106670" cy="3197225"/>
                  <wp:effectExtent l="0" t="0" r="0" b="0"/>
                  <wp:docPr id="5" name="Obrázek 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670" cy="319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</w:r>
          </w:p>
        </w:tc>
      </w:tr>
      <w:tr>
        <w:trPr/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</w:r>
          </w:p>
        </w:tc>
        <w:tc>
          <w:tcPr>
            <w:tcW w:w="87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Diagrams of four detected MET fusions (A-D) exported from CLC Genomics Workbench (Qiagen). Green – 5’-gene; blue – 3’-gene; blue/green boxes – numbered respective exons; blue/green lines – canonical exon-exon junctions with number of crossing reads; violet lines – fusion exon-exon junctions with a number of fusion crossing reads.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(E) A representative diagram of fused genes breakpoint analysis (diagram D</w:t>
            </w:r>
            <w:r>
              <w:rPr>
                <w:rFonts w:eastAsia="Calibri" w:cs=""/>
                <w:kern w:val="0"/>
                <w:sz w:val="22"/>
                <w:szCs w:val="22"/>
                <w:lang w:val="en-AU" w:eastAsia="en-US" w:bidi="ar-SA"/>
              </w:rPr>
              <w:t>; fusion ST7[NM_021908.3]:r.1_191_MET[NM_001127500.3]:r.3034_6876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). Breakpoints verified by direct Sanger sequencing are indicated by a 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cs-CZ" w:eastAsia="en-US" w:bidi="ar-SA"/>
              </w:rPr>
              <w:t>dashed line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. The upper part of the diagram shows sequences upstream and downstream to the breakpoints. The highlighted sequences (yellow) correspond to the sequences in electropherogram. A 187 bp long junction fragment from complementary DNA was amplified using the primers 9F_ST7-MET: GACCGTGTGGTTCTTCATCGTGC, 9R_ST7-MET: GGGACCGTGCATAAAACGGCTTC.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and 5x HOT FIREPol® EvaGreen® qPCR Supermix (Solis Biodyne), and program: 95°C 15min, followed by 10 cycles (95°C 30s, 65°C to 55°C 50s, 72°C 30s), 25 cycles (95°C 30s, 40°C 50s, 72°C 30s), and 72°C 4min.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Reverse transcription was performed using 600 ng RNA and FusionPlex Reagents for Illumina - Random priming 2.0, First Strand cDNA Synthesis, and Second Strand cDNA Synthesis (ArcherDX) kit according to the manufacturer</w:t>
            </w:r>
            <w:r>
              <w:rPr>
                <w:rFonts w:eastAsia="Calibri" w:cs="Calibri" w:cstheme="minorHAnsi"/>
                <w:kern w:val="0"/>
                <w:sz w:val="22"/>
                <w:szCs w:val="22"/>
                <w:lang w:val="cs-CZ" w:eastAsia="en-US" w:bidi="ar-SA"/>
              </w:rPr>
              <w:t>'</w:t>
            </w: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>s instructions.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en-US" w:bidi="ar-SA"/>
              </w:rPr>
              <w:t xml:space="preserve">Direct Sanger sequencing was performed using BigDye v3.1 and the ABI3500 analyzer (TermoFisher). 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rPr>
          <w:lang w:val="en-US"/>
        </w:rPr>
      </w:pPr>
      <w:r>
        <w:rPr>
          <w:bCs/>
          <w:lang w:val="en-US"/>
        </w:rPr>
        <w:t>Supplementary Table 1</w:t>
      </w:r>
      <w:r>
        <w:rPr>
          <w:lang w:val="en-US"/>
        </w:rPr>
        <w:t>. Literature review</w:t>
      </w:r>
    </w:p>
    <w:p>
      <w:pPr>
        <w:pStyle w:val="Normal"/>
        <w:rPr>
          <w:lang w:val="en-US"/>
        </w:rPr>
      </w:pPr>
      <w:r>
        <w:rPr>
          <w:lang w:val="en-US"/>
        </w:rPr>
        <w:t>Separate Excel file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bCs/>
          <w:lang w:val="en-US"/>
        </w:rPr>
        <w:t>Supplementary Table 2</w:t>
      </w:r>
      <w:r>
        <w:rPr>
          <w:lang w:val="en-US"/>
        </w:rPr>
        <w:t>. A spectrum of genes with detected class 4/5 mutation in 100 primary OCCCs.</w:t>
      </w:r>
    </w:p>
    <w:p>
      <w:pPr>
        <w:pStyle w:val="Normal"/>
        <w:rPr>
          <w:lang w:val="en-US"/>
        </w:rPr>
      </w:pPr>
      <w:r>
        <w:rPr>
          <w:lang w:val="en-US"/>
        </w:rPr>
        <w:t>Separate Excel file</w:t>
      </w:r>
    </w:p>
    <w:p>
      <w:pPr>
        <w:pStyle w:val="Normal"/>
        <w:rPr/>
      </w:pPr>
      <w:r>
        <w:rPr/>
      </w:r>
    </w:p>
    <w:p>
      <w:p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1417" w:right="1417" w:gutter="0" w:header="708" w:top="1417" w:footer="708" w:bottom="1417"/>
          <w:pgNumType w:fmt="decimal"/>
          <w:formProt w:val="false"/>
          <w:textDirection w:val="lrTb"/>
          <w:docGrid w:type="default" w:linePitch="360" w:charSpace="4096"/>
        </w:sectPr>
        <w:pStyle w:val="Normal"/>
        <w:rPr/>
      </w:pPr>
      <w:r>
        <w:rPr/>
      </w:r>
    </w:p>
    <w:p>
      <w:pPr>
        <w:pStyle w:val="Normal"/>
        <w:rPr/>
      </w:pPr>
      <w:r>
        <w:rPr>
          <w:lang w:val="en-US"/>
        </w:rPr>
        <w:t>Supplementary</w:t>
      </w:r>
      <w:r>
        <w:rPr/>
        <w:t xml:space="preserve"> Table 3. </w:t>
      </w:r>
      <w:r>
        <w:rPr>
          <w:lang w:val="en-US"/>
        </w:rPr>
        <w:t>Correlation of mutation status with clinico-pathological characteristics on a set of 100 primary OCCCs where the DNA NGS data was available.</w:t>
      </w:r>
    </w:p>
    <w:p>
      <w:pPr>
        <w:pStyle w:val="Normal"/>
        <w:rPr/>
      </w:pPr>
      <w:r>
        <w:rPr/>
        <w:drawing>
          <wp:inline distT="0" distB="0" distL="0" distR="0">
            <wp:extent cx="9478645" cy="2777490"/>
            <wp:effectExtent l="0" t="0" r="0" b="0"/>
            <wp:docPr id="6" name="Obrázek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16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645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sectPr>
          <w:headerReference w:type="default" r:id="rId14"/>
          <w:footerReference w:type="default" r:id="rId15"/>
          <w:type w:val="nextPage"/>
          <w:pgSz w:orient="landscape" w:w="16838" w:h="11906"/>
          <w:pgMar w:left="1417" w:right="1417" w:gutter="0" w:header="708" w:top="1417" w:footer="708" w:bottom="1417"/>
          <w:pgNumType w:fmt="decimal"/>
          <w:formProt w:val="false"/>
          <w:textDirection w:val="lrTb"/>
          <w:docGrid w:type="default" w:linePitch="360" w:charSpace="4096"/>
        </w:sectPr>
        <w:pStyle w:val="Normal"/>
        <w:rPr/>
      </w:pPr>
      <w:r>
        <w:rPr/>
      </w:r>
      <w:r>
        <w:br w:type="page"/>
      </w:r>
    </w:p>
    <w:p>
      <w:pPr>
        <w:pStyle w:val="Normal"/>
        <w:rPr>
          <w:lang w:val="en-US"/>
        </w:rPr>
      </w:pPr>
      <w:bookmarkStart w:id="2" w:name="_Hlk116999032"/>
      <w:r>
        <w:rPr>
          <w:lang w:val="en-US"/>
        </w:rPr>
        <w:t xml:space="preserve">Supplementary Table </w:t>
      </w:r>
      <w:bookmarkEnd w:id="2"/>
      <w:r>
        <w:rPr>
          <w:lang w:val="en-US"/>
        </w:rPr>
        <w:t>4. Morphological characteristics of 105 OCCCs and correlations with expression data.</w:t>
      </w:r>
    </w:p>
    <w:tbl>
      <w:tblPr>
        <w:tblW w:w="3400" w:type="pct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242"/>
        <w:gridCol w:w="1121"/>
        <w:gridCol w:w="1003"/>
        <w:gridCol w:w="968"/>
        <w:gridCol w:w="834"/>
      </w:tblGrid>
      <w:tr>
        <w:trPr>
          <w:trHeight w:val="318" w:hRule="atLeast"/>
        </w:trPr>
        <w:tc>
          <w:tcPr>
            <w:tcW w:w="224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2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i/>
                <w:i/>
                <w:i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Expression analysis</w:t>
            </w:r>
          </w:p>
        </w:tc>
      </w:tr>
      <w:tr>
        <w:trPr>
          <w:trHeight w:val="318" w:hRule="atLeast"/>
        </w:trPr>
        <w:tc>
          <w:tcPr>
            <w:tcW w:w="224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Characteristic</w:t>
            </w:r>
          </w:p>
        </w:tc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OCCC (N=105)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eastAsia="cs-CZ"/>
              </w:rPr>
              <w:t>Cluster 1 (N=93)</w:t>
            </w:r>
          </w:p>
        </w:tc>
        <w:tc>
          <w:tcPr>
            <w:tcW w:w="9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Cluster 2 (N=12)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i/>
                <w:iCs/>
                <w:color w:val="000000"/>
                <w:sz w:val="20"/>
                <w:szCs w:val="20"/>
                <w:lang w:val="en-US" w:eastAsia="cs-CZ"/>
              </w:rPr>
              <w:t>p</w:t>
            </w: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-value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Macronucleolus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sz w:val="20"/>
                <w:szCs w:val="20"/>
                <w:lang w:val="en-US" w:eastAsia="cs-CZ"/>
              </w:rPr>
              <w:t>0.031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No (0%)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7 (7%)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4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3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Yes (≥ 1%)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98 (93%)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89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9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High grade atypia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0.375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No         Absent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48 (46%)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41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7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Yes        Rare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25 (24%)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52*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5*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 xml:space="preserve">              </w:t>
            </w: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Focal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30 (28%)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 xml:space="preserve">              </w:t>
            </w: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Diffuse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2 (2%)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Mitosis/10HPFs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  <w:t>0.014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No (0 mitosis/10HPF)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10 (10%)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6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4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Yes (≥ 1 mitoses/10HPF)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95 (90%)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87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8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 xml:space="preserve">range 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0-35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mean/median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5.8/4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Necrosis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b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val="en-AU" w:eastAsia="cs-CZ"/>
              </w:rPr>
              <w:t>&lt;</w:t>
            </w:r>
            <w:r>
              <w:rPr>
                <w:rFonts w:eastAsia="Times New Roman" w:cs="Calibri" w:cstheme="minorHAnsi"/>
                <w:b/>
                <w:bCs/>
                <w:color w:val="000000"/>
                <w:sz w:val="20"/>
                <w:szCs w:val="20"/>
                <w:lang w:eastAsia="cs-CZ"/>
              </w:rPr>
              <w:t>0.001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No (0%)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21 (20%)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12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9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Yes (≥ 1%)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84 (80%)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81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3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000000" w:fill="D9D9D9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PMN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highlight w:val="yellow"/>
                <w:lang w:val="en-US" w:eastAsia="cs-CZ"/>
              </w:rPr>
            </w:r>
          </w:p>
        </w:tc>
        <w:tc>
          <w:tcPr>
            <w:tcW w:w="1003" w:type="dxa"/>
            <w:tcBorders>
              <w:left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968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  <w:tc>
          <w:tcPr>
            <w:tcW w:w="834" w:type="dxa"/>
            <w:tcBorders/>
            <w:shd w:color="000000" w:fill="D9D9D9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0.337</w:t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No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37 (35%)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31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6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224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Yes</w:t>
            </w:r>
          </w:p>
        </w:tc>
        <w:tc>
          <w:tcPr>
            <w:tcW w:w="1121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68 (65%)</w:t>
            </w:r>
          </w:p>
        </w:tc>
        <w:tc>
          <w:tcPr>
            <w:tcW w:w="1003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62</w:t>
            </w:r>
          </w:p>
        </w:tc>
        <w:tc>
          <w:tcPr>
            <w:tcW w:w="968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  <w:t>6</w:t>
            </w:r>
          </w:p>
        </w:tc>
        <w:tc>
          <w:tcPr>
            <w:tcW w:w="8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  <w:tr>
        <w:trPr>
          <w:trHeight w:val="318" w:hRule="atLeast"/>
        </w:trPr>
        <w:tc>
          <w:tcPr>
            <w:tcW w:w="6168" w:type="dxa"/>
            <w:gridSpan w:val="5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en-GB" w:eastAsia="cs-CZ"/>
              </w:rPr>
              <w:t xml:space="preserve">Cluster 1 and 2 are subgroups resulting from the unsupervised hierarchical clustering of normalized expression data from panel RNA-Seq (see Figure 2), HPF - high-power fields, PMN - polymorphonuclear neutrophils, TILs - tumor-infiltrating lymphocytes. * Rare+focal+diffuse all together as a positive subgroup. All </w:t>
            </w:r>
            <w:r>
              <w:rPr>
                <w:rFonts w:eastAsia="Times New Roman" w:cs="Calibri"/>
                <w:i/>
                <w:color w:val="000000"/>
                <w:sz w:val="20"/>
                <w:szCs w:val="20"/>
                <w:lang w:val="en-GB" w:eastAsia="cs-CZ"/>
              </w:rPr>
              <w:t>p</w:t>
            </w:r>
            <w:r>
              <w:rPr>
                <w:rFonts w:eastAsia="Times New Roman" w:cs="Calibri"/>
                <w:color w:val="000000"/>
                <w:sz w:val="20"/>
                <w:szCs w:val="20"/>
                <w:lang w:val="en-GB" w:eastAsia="cs-CZ"/>
              </w:rPr>
              <w:t>-values are based on the Fisher Exact test.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pPr>
            <w:r>
              <w:rPr>
                <w:rFonts w:eastAsia="Times New Roman" w:cs="Calibri" w:cstheme="minorHAnsi"/>
                <w:color w:val="000000"/>
                <w:sz w:val="20"/>
                <w:szCs w:val="20"/>
                <w:lang w:val="en-US" w:eastAsia="cs-CZ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  <w:t>Supplementary Table 5. Normalized expression data to reference genes VCP, SF3B1, ATP51B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lang w:val="en-US"/>
        </w:rPr>
        <w:t>Separate Excel file.</w:t>
      </w:r>
    </w:p>
    <w:sectPr>
      <w:headerReference w:type="default" r:id="rId16"/>
      <w:footerReference w:type="default" r:id="rId1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a605e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Annotationtext"/>
    <w:uiPriority w:val="99"/>
    <w:qFormat/>
    <w:rsid w:val="008a605e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Annotationsubject"/>
    <w:uiPriority w:val="99"/>
    <w:semiHidden/>
    <w:qFormat/>
    <w:rsid w:val="00a94895"/>
    <w:rPr>
      <w:b/>
      <w:bCs/>
      <w:sz w:val="20"/>
      <w:szCs w:val="20"/>
    </w:rPr>
  </w:style>
  <w:style w:type="character" w:styleId="ZhlavChar" w:customStyle="1">
    <w:name w:val="Záhlaví Char"/>
    <w:basedOn w:val="DefaultParagraphFont"/>
    <w:link w:val="Header"/>
    <w:uiPriority w:val="99"/>
    <w:qFormat/>
    <w:rsid w:val="004f3c50"/>
    <w:rPr/>
  </w:style>
  <w:style w:type="character" w:styleId="ZpatChar" w:customStyle="1">
    <w:name w:val="Zápatí Char"/>
    <w:basedOn w:val="DefaultParagraphFont"/>
    <w:link w:val="Footer"/>
    <w:uiPriority w:val="99"/>
    <w:qFormat/>
    <w:rsid w:val="004f3c5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Annotationtext">
    <w:name w:val="annotation text"/>
    <w:basedOn w:val="Normal"/>
    <w:link w:val="TextkomenteChar"/>
    <w:uiPriority w:val="99"/>
    <w:unhideWhenUsed/>
    <w:qFormat/>
    <w:rsid w:val="008a605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edmtkomenteChar"/>
    <w:uiPriority w:val="99"/>
    <w:semiHidden/>
    <w:unhideWhenUsed/>
    <w:qFormat/>
    <w:rsid w:val="00a94895"/>
    <w:pPr/>
    <w:rPr>
      <w:b/>
      <w:bCs/>
    </w:rPr>
  </w:style>
  <w:style w:type="paragraph" w:styleId="Revision">
    <w:name w:val="Revision"/>
    <w:uiPriority w:val="99"/>
    <w:semiHidden/>
    <w:qFormat/>
    <w:rsid w:val="00f44e8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4f3c5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4f3c5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497a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tif"/><Relationship Id="rId5" Type="http://schemas.openxmlformats.org/officeDocument/2006/relationships/image" Target="media/image4.tif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6.wmf"/><Relationship Id="rId14" Type="http://schemas.openxmlformats.org/officeDocument/2006/relationships/header" Target="header4.xml"/><Relationship Id="rId15" Type="http://schemas.openxmlformats.org/officeDocument/2006/relationships/footer" Target="footer4.xml"/><Relationship Id="rId16" Type="http://schemas.openxmlformats.org/officeDocument/2006/relationships/header" Target="header5.xml"/><Relationship Id="rId17" Type="http://schemas.openxmlformats.org/officeDocument/2006/relationships/footer" Target="footer5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<Relationship Id="rId22" Type="http://schemas.openxmlformats.org/officeDocument/2006/relationships/customXml" Target="../customXml/item2.xml"/><Relationship Id="rId23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d82554-40e0-4065-8da2-1cd261041c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A455B93A1EE43936356104911AB54" ma:contentTypeVersion="15" ma:contentTypeDescription="Create a new document." ma:contentTypeScope="" ma:versionID="3085da5710360cb29681180c7e431d30">
  <xsd:schema xmlns:xsd="http://www.w3.org/2001/XMLSchema" xmlns:xs="http://www.w3.org/2001/XMLSchema" xmlns:p="http://schemas.microsoft.com/office/2006/metadata/properties" xmlns:ns3="d9d82554-40e0-4065-8da2-1cd261041cef" xmlns:ns4="63534647-da44-4845-add9-c424c18ccb7c" targetNamespace="http://schemas.microsoft.com/office/2006/metadata/properties" ma:root="true" ma:fieldsID="43f39586b5d799796e3ec877fbfb0931" ns3:_="" ns4:_="">
    <xsd:import namespace="d9d82554-40e0-4065-8da2-1cd261041cef"/>
    <xsd:import namespace="63534647-da44-4845-add9-c424c18ccb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82554-40e0-4065-8da2-1cd261041c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34647-da44-4845-add9-c424c18ccb7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939843-6D2F-46FC-A677-0361468A0138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63534647-da44-4845-add9-c424c18ccb7c"/>
    <ds:schemaRef ds:uri="d9d82554-40e0-4065-8da2-1cd261041ce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825CDF-A171-413A-8134-75CA91A42E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94FFB-47AC-44AC-BC31-ADF6FDCEE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d82554-40e0-4065-8da2-1cd261041cef"/>
    <ds:schemaRef ds:uri="63534647-da44-4845-add9-c424c18cc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LibreOffice/7.4.1.2$Windows_X86_64 LibreOffice_project/3c58a8f3a960df8bc8fd77b461821e42c061c5f0</Application>
  <AppVersion>15.0000</AppVersion>
  <Pages>6</Pages>
  <Words>1434</Words>
  <Characters>8415</Characters>
  <CharactersWithSpaces>9807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2023-04-21T18:40:00Z</dcterms:created>
  <dc:creator>Jan Hojný</dc:creator>
  <dc:description/>
  <dc:language>en-IN</dc:language>
  <cp:lastModifiedBy>Ivana Stružinská</cp:lastModifiedBy>
  <dcterms:modified xsi:type="dcterms:W3CDTF">2023-04-21T20:17:00Z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0x010100052A455B93A1EE43936356104911AB54</vt:lpwstr>
  </property>
  <property fmtid="{D5CDD505-2E9C-101B-9397-08002B2CF9AE}" pid="3" name="MSIP_Label_2063cd7f-2d21-486a-9f29-9c1683fdd175_ActionId">
    <vt:lpwstr>63ff2dd7-c0c5-4c98-8530-d814919ca9dc</vt:lpwstr>
  </property>
  <property fmtid="{D5CDD505-2E9C-101B-9397-08002B2CF9AE}" pid="4" name="MSIP_Label_2063cd7f-2d21-486a-9f29-9c1683fdd175_ContentBits">
    <vt:lpwstr>0</vt:lpwstr>
  </property>
  <property fmtid="{D5CDD505-2E9C-101B-9397-08002B2CF9AE}" pid="5" name="MSIP_Label_2063cd7f-2d21-486a-9f29-9c1683fdd175_Enabled">
    <vt:lpwstr>true</vt:lpwstr>
  </property>
  <property fmtid="{D5CDD505-2E9C-101B-9397-08002B2CF9AE}" pid="6" name="MSIP_Label_2063cd7f-2d21-486a-9f29-9c1683fdd175_Method">
    <vt:lpwstr>Standard</vt:lpwstr>
  </property>
  <property fmtid="{D5CDD505-2E9C-101B-9397-08002B2CF9AE}" pid="7" name="MSIP_Label_2063cd7f-2d21-486a-9f29-9c1683fdd175_Name">
    <vt:lpwstr>2063cd7f-2d21-486a-9f29-9c1683fdd175</vt:lpwstr>
  </property>
  <property fmtid="{D5CDD505-2E9C-101B-9397-08002B2CF9AE}" pid="8" name="MSIP_Label_2063cd7f-2d21-486a-9f29-9c1683fdd175_SetDate">
    <vt:lpwstr>2022-04-14T15:32:46Z</vt:lpwstr>
  </property>
  <property fmtid="{D5CDD505-2E9C-101B-9397-08002B2CF9AE}" pid="9" name="MSIP_Label_2063cd7f-2d21-486a-9f29-9c1683fdd175_SiteId">
    <vt:lpwstr>0f277086-d4e0-4971-bc1a-bbc5df0eb246</vt:lpwstr>
  </property>
</Properties>
</file>