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0B07B" w14:textId="77777777" w:rsidR="00284C73" w:rsidRPr="00223C0E" w:rsidRDefault="00284C73" w:rsidP="00284C73">
      <w:pPr>
        <w:autoSpaceDE w:val="0"/>
        <w:autoSpaceDN w:val="0"/>
        <w:adjustRightInd w:val="0"/>
        <w:spacing w:line="360" w:lineRule="auto"/>
        <w:rPr>
          <w:rFonts w:ascii="Times New Roman" w:eastAsia="ArialUnicodeMS" w:hAnsi="Times New Roman" w:cs="Times New Roman"/>
          <w:color w:val="000000"/>
          <w:sz w:val="20"/>
          <w:szCs w:val="20"/>
        </w:rPr>
      </w:pPr>
      <w:bookmarkStart w:id="0" w:name="_GoBack"/>
      <w:bookmarkEnd w:id="0"/>
      <w:r w:rsidRPr="00223C0E">
        <w:rPr>
          <w:rFonts w:ascii="Times New Roman" w:hAnsi="Times New Roman" w:cs="Times New Roman"/>
          <w:b/>
          <w:sz w:val="20"/>
          <w:szCs w:val="20"/>
        </w:rPr>
        <w:t>Supplementary Materials and methods</w:t>
      </w:r>
      <w:r w:rsidRPr="00223C0E">
        <w:rPr>
          <w:rFonts w:ascii="Times New Roman" w:eastAsia="ArialUnicodeMS" w:hAnsi="Times New Roman" w:cs="Times New Roman"/>
          <w:b/>
          <w:bCs/>
          <w:color w:val="000000"/>
          <w:sz w:val="20"/>
          <w:szCs w:val="20"/>
        </w:rPr>
        <w:br/>
      </w:r>
      <w:r w:rsidRPr="00223C0E">
        <w:rPr>
          <w:rFonts w:ascii="Times New Roman" w:eastAsia="ArialUnicodeMS" w:hAnsi="Times New Roman" w:cs="Times New Roman"/>
          <w:b/>
          <w:bCs/>
          <w:i/>
          <w:iCs/>
          <w:color w:val="000000"/>
          <w:sz w:val="20"/>
          <w:szCs w:val="20"/>
        </w:rPr>
        <w:t>Histology and Immunohistochemistry</w:t>
      </w:r>
      <w:r w:rsidRPr="00223C0E">
        <w:rPr>
          <w:rFonts w:ascii="Times New Roman" w:eastAsia="ArialUnicodeMS" w:hAnsi="Times New Roman" w:cs="Times New Roman"/>
          <w:i/>
          <w:iCs/>
          <w:color w:val="000000"/>
          <w:sz w:val="20"/>
          <w:szCs w:val="20"/>
        </w:rPr>
        <w:br/>
      </w:r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Cases were collected from the Peking University Cancer hospital, reviewed by an expert panel (YF.S., YM.L., and XH.L.), with a consensus diagnosis of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MZLor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tSMZL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. The study was approved by the ethical committee of the institution and followed the 1964 Helsinki Declaration. Hematoxylin and eosin (H&amp;E) and immunohistochemistry-stained slides from each case were evaluated. Immunohistochemistry was performed on FFPE sections on a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Ventana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Benchmark automated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immunostainer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using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UltraView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detection kits. The panel of antibodies can be seen in </w:t>
      </w:r>
      <w:r w:rsidRPr="00223C0E">
        <w:rPr>
          <w:rFonts w:ascii="Times New Roman" w:eastAsia="ArialUnicodeMS" w:hAnsi="Times New Roman" w:cs="Times New Roman"/>
          <w:color w:val="FF0000"/>
          <w:sz w:val="20"/>
          <w:szCs w:val="20"/>
        </w:rPr>
        <w:t>Table S2</w:t>
      </w:r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.</w:t>
      </w:r>
    </w:p>
    <w:p w14:paraId="77DF4EFF" w14:textId="77777777" w:rsidR="00284C73" w:rsidRPr="00223C0E" w:rsidRDefault="00284C73" w:rsidP="00284C73">
      <w:pPr>
        <w:autoSpaceDE w:val="0"/>
        <w:autoSpaceDN w:val="0"/>
        <w:adjustRightInd w:val="0"/>
        <w:spacing w:line="360" w:lineRule="auto"/>
        <w:rPr>
          <w:rFonts w:ascii="Times New Roman" w:eastAsia="ArialUnicodeMS" w:hAnsi="Times New Roman" w:cs="Times New Roman"/>
          <w:color w:val="000000"/>
          <w:sz w:val="20"/>
          <w:szCs w:val="20"/>
        </w:rPr>
      </w:pPr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The interpretation of PD1 staining pattern included both the predominant location of the PD1-positive cells (follicular or extrafollicular), and was considered as “normal” if most PD-1 positive cells were confined to intrafollicular areas and concentrated in the light zone. </w:t>
      </w:r>
    </w:p>
    <w:p w14:paraId="4CE6978E" w14:textId="77777777" w:rsidR="00284C73" w:rsidRPr="00223C0E" w:rsidRDefault="00284C73" w:rsidP="00284C73">
      <w:pPr>
        <w:autoSpaceDE w:val="0"/>
        <w:autoSpaceDN w:val="0"/>
        <w:adjustRightInd w:val="0"/>
        <w:spacing w:line="360" w:lineRule="auto"/>
        <w:rPr>
          <w:rFonts w:ascii="Times New Roman" w:eastAsia="ArialUnicodeMS" w:hAnsi="Times New Roman" w:cs="Times New Roman"/>
          <w:b/>
          <w:bCs/>
          <w:i/>
          <w:iCs/>
          <w:color w:val="000000"/>
          <w:sz w:val="20"/>
          <w:szCs w:val="20"/>
        </w:rPr>
      </w:pPr>
      <w:r w:rsidRPr="00223C0E">
        <w:rPr>
          <w:rFonts w:ascii="Times New Roman" w:eastAsia="ArialUnicodeMS" w:hAnsi="Times New Roman" w:cs="Times New Roman"/>
          <w:b/>
          <w:bCs/>
          <w:i/>
          <w:iCs/>
          <w:color w:val="000000"/>
          <w:sz w:val="20"/>
          <w:szCs w:val="20"/>
        </w:rPr>
        <w:t>In situ hybridization to detect EBV-encoded RNA</w:t>
      </w:r>
    </w:p>
    <w:p w14:paraId="4550F36F" w14:textId="77777777" w:rsidR="00284C73" w:rsidRPr="00223C0E" w:rsidRDefault="00284C73" w:rsidP="00284C73">
      <w:pPr>
        <w:autoSpaceDE w:val="0"/>
        <w:autoSpaceDN w:val="0"/>
        <w:adjustRightInd w:val="0"/>
        <w:spacing w:line="360" w:lineRule="auto"/>
        <w:rPr>
          <w:rFonts w:ascii="Times New Roman" w:eastAsia="ArialUnicodeMS" w:hAnsi="Times New Roman" w:cs="Times New Roman"/>
          <w:color w:val="000000"/>
          <w:sz w:val="20"/>
          <w:szCs w:val="20"/>
        </w:rPr>
      </w:pPr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EBV status was determined by in situ hybridization (ISH) </w:t>
      </w:r>
      <w:bookmarkStart w:id="1" w:name="_Hlk109560436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to detect EBV-encoded RNA 1 and 2 (EBER1/2s) </w:t>
      </w:r>
      <w:bookmarkEnd w:id="1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using peroxidase-labelled probes (ISH-7001UM,</w:t>
      </w:r>
      <w:bookmarkStart w:id="2" w:name="OLE_LINK15"/>
      <w:bookmarkStart w:id="3" w:name="OLE_LINK16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</w:t>
      </w:r>
      <w:bookmarkEnd w:id="2"/>
      <w:bookmarkEnd w:id="3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Beijing Zhongshan Golden Bridge Biotechnology). Tissue from a known EBV-positive nasopharyngeal carcinoma was used as a positive control. The EBV status was considered positive if at least one definitive cell expressed EBER.</w:t>
      </w:r>
    </w:p>
    <w:p w14:paraId="4D97C2CA" w14:textId="77777777" w:rsidR="00284C73" w:rsidRPr="00223C0E" w:rsidRDefault="00284C73" w:rsidP="00284C73">
      <w:pPr>
        <w:autoSpaceDE w:val="0"/>
        <w:autoSpaceDN w:val="0"/>
        <w:adjustRightInd w:val="0"/>
        <w:spacing w:line="360" w:lineRule="auto"/>
        <w:rPr>
          <w:rFonts w:ascii="Times New Roman" w:eastAsia="ArialUnicodeMS" w:hAnsi="Times New Roman" w:cs="Times New Roman"/>
          <w:color w:val="000000"/>
          <w:sz w:val="20"/>
          <w:szCs w:val="20"/>
        </w:rPr>
      </w:pPr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All the H&amp;E, IHC and ISH slides were independently dual-assessed.</w:t>
      </w:r>
    </w:p>
    <w:p w14:paraId="52189493" w14:textId="77777777" w:rsidR="00284C73" w:rsidRPr="00223C0E" w:rsidRDefault="00284C73" w:rsidP="00284C73">
      <w:pPr>
        <w:autoSpaceDE w:val="0"/>
        <w:autoSpaceDN w:val="0"/>
        <w:adjustRightInd w:val="0"/>
        <w:spacing w:line="360" w:lineRule="auto"/>
        <w:rPr>
          <w:rFonts w:ascii="Times New Roman" w:eastAsia="ArialUnicodeMS" w:hAnsi="Times New Roman" w:cs="Times New Roman"/>
          <w:color w:val="000000"/>
          <w:sz w:val="20"/>
          <w:szCs w:val="20"/>
        </w:rPr>
      </w:pPr>
      <w:bookmarkStart w:id="4" w:name="_Hlk116303579"/>
      <w:r w:rsidRPr="00223C0E">
        <w:rPr>
          <w:rFonts w:ascii="Times New Roman" w:eastAsia="ArialUnicodeMS" w:hAnsi="Times New Roman" w:cs="Times New Roman"/>
          <w:b/>
          <w:bCs/>
          <w:i/>
          <w:iCs/>
          <w:color w:val="000000"/>
          <w:sz w:val="20"/>
          <w:szCs w:val="20"/>
        </w:rPr>
        <w:t>Immunoglobulin Gene and T-Cell Receptor Gene Rearrangement Studies</w:t>
      </w:r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br/>
        <w:t xml:space="preserve">DNA was extracted from FFPE tissue sections using QIAGEN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QIAamp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DNA FFPE Tissue Kit according to the manufacturer’s protocol (QIAGEN, Germantown, MD). Polymerase chain reaction (PCR) for immunoglobulin gene (IGH and IGK loci) and T-cell receptor (TCR locus) rearrangements was performed using commercially available BIOMED-2 multiplex PCR kits (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Righton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Gene,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ShangHai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). PCR products were separated by capillary electrophoresis, and were subjected to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GeneScan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analysis for confirmation of the monoclonal character of the IG or TCR gene rearrangements on an ABI 9700Genetic Analyzer (Applied Biosystems, Foster City, CA), and electropherograms were analyzed using the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GeneMapper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software, version 4.0. </w:t>
      </w:r>
      <w:bookmarkStart w:id="5" w:name="_Hlk121201798"/>
      <w:bookmarkEnd w:id="4"/>
      <w:r w:rsidRPr="00223C0E">
        <w:rPr>
          <w:rFonts w:ascii="Times New Roman" w:eastAsia="ArialUnicodeMS" w:hAnsi="Times New Roman" w:cs="Times New Roman"/>
          <w:b/>
          <w:bCs/>
          <w:i/>
          <w:iCs/>
          <w:color w:val="000000"/>
          <w:sz w:val="20"/>
          <w:szCs w:val="20"/>
        </w:rPr>
        <w:t>Targeted-Exome-Sequencing (TES)</w:t>
      </w:r>
      <w:bookmarkEnd w:id="5"/>
      <w:r w:rsidRPr="00223C0E">
        <w:rPr>
          <w:rFonts w:ascii="Times New Roman" w:eastAsia="ArialUnicodeMS" w:hAnsi="Times New Roman" w:cs="Times New Roman"/>
          <w:b/>
          <w:bCs/>
          <w:i/>
          <w:iCs/>
          <w:color w:val="000000"/>
          <w:sz w:val="20"/>
          <w:szCs w:val="20"/>
        </w:rPr>
        <w:t xml:space="preserve"> and sequence data analysis</w:t>
      </w:r>
    </w:p>
    <w:p w14:paraId="1408B966" w14:textId="3B959792" w:rsidR="00284C73" w:rsidRPr="00223C0E" w:rsidRDefault="00284C73" w:rsidP="00284C73">
      <w:pPr>
        <w:autoSpaceDE w:val="0"/>
        <w:autoSpaceDN w:val="0"/>
        <w:adjustRightInd w:val="0"/>
        <w:spacing w:line="360" w:lineRule="auto"/>
        <w:rPr>
          <w:rFonts w:ascii="Times New Roman" w:eastAsia="ArialUnicodeMS" w:hAnsi="Times New Roman" w:cs="Times New Roman"/>
          <w:color w:val="000000"/>
          <w:sz w:val="20"/>
          <w:szCs w:val="20"/>
        </w:rPr>
      </w:pPr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The genomic DNA (gDNA) extraction from FFPE tissues, Library preparation, target gene enrichment was done according to the manufacturer’s protocol. The gDNA libraries were subjected to high-throughput sequencing with 150-bp pair-end reads on the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NovaSeq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60,000 Sequencing System </w:t>
      </w:r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lastRenderedPageBreak/>
        <w:t>(Illumina, San Diego, CA) supported by a commercial vendor (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Geneplus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-Beijing, China). The average sequencing depth of tissues was </w:t>
      </w:r>
      <w:r w:rsidRPr="00223C0E">
        <w:rPr>
          <w:rFonts w:ascii="Times New Roman" w:eastAsia="ArialUnicodeMS" w:hAnsi="Times New Roman" w:cs="Times New Roman" w:hint="eastAsia"/>
          <w:color w:val="000000"/>
          <w:sz w:val="20"/>
          <w:szCs w:val="20"/>
        </w:rPr>
        <w:t>～</w:t>
      </w:r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500×. Sequence reads were aligned using BWA version 0.5.9 (Broad Institute). Single nucleotide variants (SNVs) were called using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MuTect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(version 1.1.4) and </w:t>
      </w:r>
      <w:proofErr w:type="spellStart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NChot</w:t>
      </w:r>
      <w:proofErr w:type="spellEnd"/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. Small insertions and deletions (Indels) were determined by GATK. All final candidate variants were manually reviewed by using the IGV browser, as reported previously</w:t>
      </w:r>
      <w:r w:rsidR="0089676A"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 xml:space="preserve"> [1]</w:t>
      </w:r>
      <w:r w:rsidRPr="00223C0E">
        <w:rPr>
          <w:rFonts w:ascii="Times New Roman" w:eastAsia="ArialUnicodeMS" w:hAnsi="Times New Roman" w:cs="Times New Roman"/>
          <w:color w:val="000000"/>
          <w:sz w:val="20"/>
          <w:szCs w:val="20"/>
        </w:rPr>
        <w:t>.</w:t>
      </w:r>
    </w:p>
    <w:p w14:paraId="18931B93" w14:textId="77777777" w:rsidR="0089676A" w:rsidRPr="00A64F18" w:rsidRDefault="0089676A" w:rsidP="0089676A">
      <w:pPr>
        <w:autoSpaceDE w:val="0"/>
        <w:autoSpaceDN w:val="0"/>
        <w:adjustRightInd w:val="0"/>
        <w:spacing w:line="360" w:lineRule="auto"/>
        <w:rPr>
          <w:rFonts w:ascii="Times New Roman" w:eastAsia="ArialUnicodeMS" w:hAnsi="Times New Roman" w:cs="Times New Roman"/>
          <w:color w:val="000000"/>
          <w:sz w:val="20"/>
          <w:szCs w:val="20"/>
        </w:rPr>
      </w:pPr>
    </w:p>
    <w:p w14:paraId="5E9596B0" w14:textId="77777777" w:rsidR="0089676A" w:rsidRPr="00223C0E" w:rsidRDefault="0089676A" w:rsidP="0089676A">
      <w:pPr>
        <w:autoSpaceDE w:val="0"/>
        <w:autoSpaceDN w:val="0"/>
        <w:adjustRightInd w:val="0"/>
        <w:spacing w:line="360" w:lineRule="auto"/>
        <w:rPr>
          <w:rFonts w:ascii="Times New Roman" w:eastAsia="ArialUnicodeMS" w:hAnsi="Times New Roman" w:cs="Times New Roman"/>
          <w:b/>
          <w:bCs/>
          <w:color w:val="000000"/>
          <w:sz w:val="20"/>
          <w:szCs w:val="20"/>
        </w:rPr>
      </w:pPr>
      <w:r w:rsidRPr="00223C0E">
        <w:rPr>
          <w:rFonts w:ascii="Times New Roman" w:eastAsia="ArialUnicodeMS" w:hAnsi="Times New Roman" w:cs="Times New Roman"/>
          <w:b/>
          <w:bCs/>
          <w:color w:val="000000"/>
          <w:sz w:val="20"/>
          <w:szCs w:val="20"/>
        </w:rPr>
        <w:t>Reference</w:t>
      </w:r>
    </w:p>
    <w:p w14:paraId="2BC2D84C" w14:textId="77777777" w:rsidR="0089676A" w:rsidRPr="00A64F18" w:rsidRDefault="0089676A" w:rsidP="0089676A">
      <w:pPr>
        <w:pStyle w:val="EndNoteBibliography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A64F18">
        <w:rPr>
          <w:rFonts w:ascii="Times New Roman" w:hAnsi="Times New Roman" w:cs="Times New Roman"/>
        </w:rPr>
        <w:t>Ye Y, Ding N, Mi L, Shi Y, Liu W, Song Y</w:t>
      </w:r>
      <w:r w:rsidRPr="00A64F18">
        <w:rPr>
          <w:rFonts w:ascii="Times New Roman" w:hAnsi="Times New Roman" w:cs="Times New Roman"/>
          <w:i/>
        </w:rPr>
        <w:t xml:space="preserve"> et al</w:t>
      </w:r>
      <w:r w:rsidRPr="00A64F18">
        <w:rPr>
          <w:rFonts w:ascii="Times New Roman" w:hAnsi="Times New Roman" w:cs="Times New Roman"/>
        </w:rPr>
        <w:t xml:space="preserve">: </w:t>
      </w:r>
      <w:r w:rsidRPr="00A64F18">
        <w:rPr>
          <w:rFonts w:ascii="Times New Roman" w:hAnsi="Times New Roman" w:cs="Times New Roman"/>
          <w:b/>
        </w:rPr>
        <w:t>Correlation of mutational landscape and survival outcome of peripheral T-cell lymphomas</w:t>
      </w:r>
      <w:r w:rsidRPr="00A64F18">
        <w:rPr>
          <w:rFonts w:ascii="Times New Roman" w:hAnsi="Times New Roman" w:cs="Times New Roman"/>
        </w:rPr>
        <w:t xml:space="preserve">. </w:t>
      </w:r>
      <w:r w:rsidRPr="00A64F18">
        <w:rPr>
          <w:rFonts w:ascii="Times New Roman" w:hAnsi="Times New Roman" w:cs="Times New Roman"/>
          <w:i/>
        </w:rPr>
        <w:t xml:space="preserve">Exp Hematol Oncol </w:t>
      </w:r>
      <w:r w:rsidRPr="00A64F18">
        <w:rPr>
          <w:rFonts w:ascii="Times New Roman" w:hAnsi="Times New Roman" w:cs="Times New Roman"/>
        </w:rPr>
        <w:t xml:space="preserve">2021, </w:t>
      </w:r>
      <w:r w:rsidRPr="00A64F18">
        <w:rPr>
          <w:rFonts w:ascii="Times New Roman" w:hAnsi="Times New Roman" w:cs="Times New Roman"/>
          <w:b/>
        </w:rPr>
        <w:t>10</w:t>
      </w:r>
      <w:r w:rsidRPr="00A64F18">
        <w:rPr>
          <w:rFonts w:ascii="Times New Roman" w:hAnsi="Times New Roman" w:cs="Times New Roman"/>
        </w:rPr>
        <w:t>(1):9.</w:t>
      </w:r>
    </w:p>
    <w:p w14:paraId="6FC2CA3D" w14:textId="77777777" w:rsidR="006D5BAB" w:rsidRPr="00223C0E" w:rsidRDefault="006D5BAB" w:rsidP="00284C73">
      <w:pPr>
        <w:rPr>
          <w:rFonts w:ascii="Times New Roman" w:hAnsi="Times New Roman" w:cs="Times New Roman"/>
        </w:rPr>
      </w:pPr>
    </w:p>
    <w:sectPr w:rsidR="006D5BAB" w:rsidRPr="00223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A4323" w14:textId="77777777" w:rsidR="00EB470A" w:rsidRDefault="00EB470A" w:rsidP="00284C73">
      <w:r>
        <w:separator/>
      </w:r>
    </w:p>
  </w:endnote>
  <w:endnote w:type="continuationSeparator" w:id="0">
    <w:p w14:paraId="2243A95C" w14:textId="77777777" w:rsidR="00EB470A" w:rsidRDefault="00EB470A" w:rsidP="0028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UnicodeMS">
    <w:altName w:val="MS PGothic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6F719" w14:textId="77777777" w:rsidR="00EB470A" w:rsidRDefault="00EB470A" w:rsidP="00284C73">
      <w:r>
        <w:separator/>
      </w:r>
    </w:p>
  </w:footnote>
  <w:footnote w:type="continuationSeparator" w:id="0">
    <w:p w14:paraId="0FFE3B57" w14:textId="77777777" w:rsidR="00EB470A" w:rsidRDefault="00EB470A" w:rsidP="0028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F0874"/>
    <w:multiLevelType w:val="hybridMultilevel"/>
    <w:tmpl w:val="1018C592"/>
    <w:lvl w:ilvl="0" w:tplc="2862C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cky deng">
    <w15:presenceInfo w15:providerId="Windows Live" w15:userId="6adbe2d5d21f61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7537BD"/>
    <w:rsid w:val="00223C0E"/>
    <w:rsid w:val="00284C73"/>
    <w:rsid w:val="005D441F"/>
    <w:rsid w:val="006D5BAB"/>
    <w:rsid w:val="00752B62"/>
    <w:rsid w:val="007537BD"/>
    <w:rsid w:val="0089676A"/>
    <w:rsid w:val="008C2CF1"/>
    <w:rsid w:val="00A64F18"/>
    <w:rsid w:val="00EB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C178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C7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4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84C7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4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84C73"/>
    <w:rPr>
      <w:sz w:val="18"/>
      <w:szCs w:val="18"/>
    </w:rPr>
  </w:style>
  <w:style w:type="paragraph" w:styleId="Revision">
    <w:name w:val="Revision"/>
    <w:hidden/>
    <w:uiPriority w:val="99"/>
    <w:semiHidden/>
    <w:rsid w:val="0089676A"/>
  </w:style>
  <w:style w:type="paragraph" w:customStyle="1" w:styleId="EndNoteBibliography">
    <w:name w:val="EndNote Bibliography"/>
    <w:basedOn w:val="Normal"/>
    <w:link w:val="EndNoteBibliography0"/>
    <w:rsid w:val="0089676A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89676A"/>
    <w:rPr>
      <w:rFonts w:ascii="DengXian" w:eastAsia="DengXian" w:hAnsi="DengXian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C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C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4C73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4C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84C7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4C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84C73"/>
    <w:rPr>
      <w:sz w:val="18"/>
      <w:szCs w:val="18"/>
    </w:rPr>
  </w:style>
  <w:style w:type="paragraph" w:styleId="Revision">
    <w:name w:val="Revision"/>
    <w:hidden/>
    <w:uiPriority w:val="99"/>
    <w:semiHidden/>
    <w:rsid w:val="0089676A"/>
  </w:style>
  <w:style w:type="paragraph" w:customStyle="1" w:styleId="EndNoteBibliography">
    <w:name w:val="EndNote Bibliography"/>
    <w:basedOn w:val="Normal"/>
    <w:link w:val="EndNoteBibliography0"/>
    <w:rsid w:val="0089676A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89676A"/>
    <w:rPr>
      <w:rFonts w:ascii="DengXian" w:eastAsia="DengXian" w:hAnsi="DengXian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3C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2696</Characters>
  <Application>Microsoft Office Word</Application>
  <DocSecurity>0</DocSecurity>
  <Lines>39</Lines>
  <Paragraphs>10</Paragraphs>
  <ScaleCrop>false</ScaleCrop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E736162</cp:lastModifiedBy>
  <cp:revision>5</cp:revision>
  <dcterms:created xsi:type="dcterms:W3CDTF">2022-12-14T14:36:00Z</dcterms:created>
  <dcterms:modified xsi:type="dcterms:W3CDTF">2023-11-30T00:12:00Z</dcterms:modified>
</cp:coreProperties>
</file>