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44" w:rsidRDefault="00D94C44" w:rsidP="00D94C44">
      <w:pPr>
        <w:autoSpaceDE w:val="0"/>
        <w:autoSpaceDN w:val="0"/>
        <w:adjustRightInd w:val="0"/>
        <w:spacing w:before="120" w:after="20"/>
        <w:rPr>
          <w:rFonts w:ascii="Times" w:eastAsia="Calibri" w:hAnsi="Times"/>
          <w:b/>
          <w:color w:val="000000" w:themeColor="text1"/>
        </w:rPr>
      </w:pPr>
      <w:r>
        <w:rPr>
          <w:rFonts w:ascii="Times" w:eastAsia="Calibri" w:hAnsi="Times"/>
          <w:b/>
          <w:color w:val="000000" w:themeColor="text1"/>
        </w:rPr>
        <w:t>Supplementary material: Appendix 1</w:t>
      </w:r>
    </w:p>
    <w:p w:rsidR="00D94C44" w:rsidRDefault="00D94C44" w:rsidP="00D94C44">
      <w:pPr>
        <w:autoSpaceDE w:val="0"/>
        <w:autoSpaceDN w:val="0"/>
        <w:adjustRightInd w:val="0"/>
        <w:spacing w:before="120" w:after="20"/>
        <w:rPr>
          <w:rFonts w:ascii="Times" w:eastAsia="Calibri" w:hAnsi="Times"/>
          <w:b/>
          <w:color w:val="000000" w:themeColor="text1"/>
        </w:rPr>
      </w:pPr>
    </w:p>
    <w:p w:rsidR="00D94C44" w:rsidRPr="001109F6" w:rsidRDefault="00D94C44" w:rsidP="00D94C44">
      <w:pPr>
        <w:autoSpaceDE w:val="0"/>
        <w:autoSpaceDN w:val="0"/>
        <w:adjustRightInd w:val="0"/>
        <w:spacing w:before="120" w:after="20"/>
        <w:rPr>
          <w:rFonts w:ascii="Times" w:hAnsi="Times"/>
          <w:bCs/>
          <w:color w:val="000000" w:themeColor="text1"/>
        </w:rPr>
      </w:pPr>
      <w:r w:rsidRPr="001109F6">
        <w:rPr>
          <w:rFonts w:ascii="Times" w:eastAsia="Calibri" w:hAnsi="Times"/>
          <w:bCs/>
          <w:color w:val="000000" w:themeColor="text1"/>
        </w:rPr>
        <w:t>Table S1.</w:t>
      </w:r>
      <w:r w:rsidRPr="00535FEA">
        <w:rPr>
          <w:rFonts w:ascii="Times" w:eastAsia="Calibri" w:hAnsi="Times"/>
          <w:bCs/>
          <w:color w:val="000000" w:themeColor="text1"/>
        </w:rPr>
        <w:t xml:space="preserve"> </w:t>
      </w:r>
      <w:proofErr w:type="gramStart"/>
      <w:r w:rsidRPr="001109F6">
        <w:rPr>
          <w:rFonts w:ascii="Times" w:hAnsi="Times"/>
          <w:bCs/>
          <w:color w:val="000000" w:themeColor="text1"/>
        </w:rPr>
        <w:t xml:space="preserve">Publications providing a </w:t>
      </w:r>
      <w:r w:rsidRPr="001109F6">
        <w:rPr>
          <w:rFonts w:ascii="Times" w:hAnsi="Times"/>
          <w:bCs/>
          <w:color w:val="4F81BD" w:themeColor="accent1"/>
        </w:rPr>
        <w:t>reproducible measure for</w:t>
      </w:r>
      <w:r w:rsidRPr="001109F6">
        <w:rPr>
          <w:rFonts w:ascii="Times" w:hAnsi="Times"/>
          <w:bCs/>
          <w:color w:val="000000" w:themeColor="text1"/>
        </w:rPr>
        <w:t xml:space="preserve"> cultural keystone species.</w:t>
      </w:r>
      <w:proofErr w:type="gramEnd"/>
    </w:p>
    <w:p w:rsidR="00D94C44" w:rsidRPr="00EC6F5E" w:rsidRDefault="00D94C44" w:rsidP="00D94C44">
      <w:pPr>
        <w:autoSpaceDE w:val="0"/>
        <w:autoSpaceDN w:val="0"/>
        <w:adjustRightInd w:val="0"/>
        <w:spacing w:before="120" w:after="20"/>
        <w:rPr>
          <w:rFonts w:ascii="Times" w:eastAsia="Calibri" w:hAnsi="Times"/>
          <w:bCs/>
          <w:color w:val="000000" w:themeColor="text1"/>
        </w:rPr>
      </w:pPr>
    </w:p>
    <w:tbl>
      <w:tblPr>
        <w:tblStyle w:val="TableGrid"/>
        <w:tblW w:w="8850" w:type="dxa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6"/>
      </w:tblGrid>
      <w:tr w:rsidR="00D94C44" w:rsidRPr="00EC6F5E" w:rsidTr="00AE45DB">
        <w:trPr>
          <w:trHeight w:val="87"/>
        </w:trPr>
        <w:tc>
          <w:tcPr>
            <w:tcW w:w="8850" w:type="dxa"/>
          </w:tcPr>
          <w:p w:rsidR="00D94C44" w:rsidRPr="00EC6F5E" w:rsidRDefault="00D94C44" w:rsidP="00AE45DB">
            <w:pPr>
              <w:pStyle w:val="ListParagraph"/>
              <w:tabs>
                <w:tab w:val="center" w:pos="4320"/>
              </w:tabs>
              <w:spacing w:line="360" w:lineRule="auto"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</w:p>
        </w:tc>
      </w:tr>
      <w:tr w:rsidR="00D94C44" w:rsidRPr="00EC6F5E" w:rsidTr="00AE45DB">
        <w:trPr>
          <w:trHeight w:val="375"/>
        </w:trPr>
        <w:tc>
          <w:tcPr>
            <w:tcW w:w="8850" w:type="dxa"/>
          </w:tcPr>
          <w:p w:rsidR="00D94C44" w:rsidRPr="00EC6F5E" w:rsidRDefault="00D94C44" w:rsidP="00AE45DB">
            <w:pPr>
              <w:pStyle w:val="ListParagraph"/>
              <w:tabs>
                <w:tab w:val="center" w:pos="4320"/>
              </w:tabs>
              <w:spacing w:line="360" w:lineRule="auto"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" w:hAnsi="Times"/>
                <w:noProof/>
                <w:color w:val="000000" w:themeColor="text1"/>
                <w:lang w:eastAsia="en-US" w:bidi="ar-SA"/>
              </w:rPr>
              <w:drawing>
                <wp:inline distT="0" distB="0" distL="0" distR="0">
                  <wp:extent cx="5459095" cy="27305"/>
                  <wp:effectExtent l="0" t="0" r="8255" b="0"/>
                  <wp:docPr id="1" name="Picture 1" descr="Default 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rizontal Line 3" descr="Default Line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9095" cy="2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C44" w:rsidRPr="00EC6F5E" w:rsidTr="00AE45DB">
        <w:trPr>
          <w:trHeight w:val="360"/>
        </w:trPr>
        <w:tc>
          <w:tcPr>
            <w:tcW w:w="8850" w:type="dxa"/>
          </w:tcPr>
          <w:p w:rsidR="00D94C44" w:rsidRPr="00550A54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Garibaldi, A., &amp; Turner, N</w:t>
            </w:r>
            <w:proofErr w:type="gramStart"/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 xml:space="preserve">.  </w:t>
            </w:r>
            <w:proofErr w:type="gramEnd"/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 xml:space="preserve">(2004). Cultural keystone species: implications for </w:t>
            </w:r>
            <w:r w:rsidRPr="005915B2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ecological conservation and restoration.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Ecology and society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9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(3).</w:t>
            </w:r>
          </w:p>
          <w:p w:rsidR="00D94C44" w:rsidRPr="00550A54" w:rsidRDefault="00D94C44" w:rsidP="00AE45DB">
            <w:pPr>
              <w:pStyle w:val="ListParagraph"/>
              <w:widowControl/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</w:p>
          <w:p w:rsidR="00D94C44" w:rsidRPr="00EC6F5E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550A54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Wello, Y. E. (2008). Species kunci budaya (cultural keystone species) masyarakat Sumba di sekitar Taman Nasional Manupeu Tanadaru, Nusa Tenggara Timur.</w:t>
            </w:r>
            <w:r w:rsidRPr="00550A54">
              <w:rPr>
                <w:rStyle w:val="apple-converted-space"/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D80B78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 xml:space="preserve">Skripsi. Dep. Konservasi </w:t>
            </w:r>
            <w:r w:rsidRPr="006979CF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>Sumberdaya Hutan dan Ekowisata. Fakultas Kehutanan IPB</w:t>
            </w:r>
            <w:r w:rsidRPr="00EC6F5E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:rsidR="00D94C44" w:rsidRPr="00EC6F5E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C6F5E" w:rsidRDefault="00D94C44" w:rsidP="00D94C44">
            <w:pPr>
              <w:pStyle w:val="ListParagraph"/>
              <w:numPr>
                <w:ilvl w:val="0"/>
                <w:numId w:val="1"/>
              </w:numPr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C6F5E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Jackson, R., &amp; Jain, N. (2006). Mountain Cultures, Keystone Species: Exploring the Role of Cultural Keystone Species in Central Asia. Snow Leopard Conservancy, 47</w:t>
            </w:r>
          </w:p>
          <w:p w:rsidR="00D94C44" w:rsidRPr="00EC6F5E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C6F5E" w:rsidRDefault="00D94C44" w:rsidP="00D94C44">
            <w:pPr>
              <w:pStyle w:val="ListParagraph"/>
              <w:numPr>
                <w:ilvl w:val="0"/>
                <w:numId w:val="1"/>
              </w:numPr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C6F5E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Barnes, J. I. (2009). </w:t>
            </w:r>
            <w:r w:rsidRPr="00EC6F5E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 xml:space="preserve">Cacao: a cultural keystone species among the Kuna of three communities in San Blas, Panama </w:t>
            </w:r>
            <w:r w:rsidRPr="00EC6F5E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(Doctoral dissertation, Carleton University).</w:t>
            </w:r>
          </w:p>
          <w:p w:rsidR="00D94C44" w:rsidRPr="00EC6F5E" w:rsidRDefault="00D94C44" w:rsidP="00AE45DB">
            <w:pPr>
              <w:rPr>
                <w:rFonts w:ascii="Times" w:hAnsi="Times"/>
                <w:color w:val="000000" w:themeColor="text1"/>
                <w:sz w:val="20"/>
              </w:rPr>
            </w:pPr>
          </w:p>
          <w:p w:rsidR="00D94C44" w:rsidRPr="00237232" w:rsidRDefault="00D94C44" w:rsidP="00D94C44">
            <w:pPr>
              <w:pStyle w:val="ListParagraph"/>
              <w:numPr>
                <w:ilvl w:val="0"/>
                <w:numId w:val="1"/>
              </w:numPr>
              <w:rPr>
                <w:rFonts w:ascii="Times" w:hAnsi="Times"/>
                <w:color w:val="000000" w:themeColor="text1"/>
                <w:sz w:val="20"/>
                <w:szCs w:val="20"/>
                <w:shd w:val="clear" w:color="auto" w:fill="FFFFFF"/>
                <w:lang w:eastAsia="en-US" w:bidi="ar-SA"/>
              </w:rPr>
            </w:pPr>
            <w:r w:rsidRPr="00237232">
              <w:rPr>
                <w:rFonts w:ascii="Times" w:hAnsi="Times"/>
                <w:color w:val="000000" w:themeColor="text1"/>
                <w:sz w:val="20"/>
                <w:szCs w:val="20"/>
                <w:shd w:val="clear" w:color="auto" w:fill="FFFFFF"/>
                <w:lang w:eastAsia="en-US" w:bidi="ar-SA"/>
              </w:rPr>
              <w:t>Garibaldi, A., &amp; Straker, J. (2009). Cultural keystone species in oil sands mine reclamation, Fort McKay, Alberta, Canada. British Columbia Mine Reclamation Symposium 2009. </w:t>
            </w:r>
            <w:r w:rsidRPr="00237232">
              <w:rPr>
                <w:rFonts w:ascii="Times" w:hAnsi="Times"/>
                <w:i/>
                <w:iCs/>
                <w:color w:val="000000" w:themeColor="text1"/>
                <w:sz w:val="20"/>
                <w:szCs w:val="20"/>
                <w:lang w:eastAsia="en-US" w:bidi="ar-SA"/>
              </w:rPr>
              <w:t>Faculty of Applied Science</w:t>
            </w:r>
            <w:r w:rsidRPr="00237232">
              <w:rPr>
                <w:rFonts w:ascii="Times" w:hAnsi="Times"/>
                <w:color w:val="000000" w:themeColor="text1"/>
                <w:sz w:val="20"/>
                <w:szCs w:val="20"/>
                <w:shd w:val="clear" w:color="auto" w:fill="FFFFFF"/>
                <w:lang w:eastAsia="en-US" w:bidi="ar-SA"/>
              </w:rPr>
              <w:t>.</w:t>
            </w:r>
          </w:p>
          <w:p w:rsidR="00D94C44" w:rsidRPr="00237232" w:rsidRDefault="00D94C44" w:rsidP="00AE45DB">
            <w:pPr>
              <w:pStyle w:val="ListParagraph"/>
              <w:rPr>
                <w:rFonts w:ascii="Times" w:hAnsi="Times"/>
                <w:color w:val="000000" w:themeColor="text1"/>
                <w:sz w:val="20"/>
                <w:szCs w:val="20"/>
                <w:shd w:val="clear" w:color="auto" w:fill="FFFFFF"/>
                <w:lang w:eastAsia="en-US" w:bidi="ar-SA"/>
              </w:rPr>
            </w:pPr>
          </w:p>
          <w:p w:rsidR="00D94C44" w:rsidRPr="00237232" w:rsidRDefault="00D94C44" w:rsidP="00D94C44">
            <w:pPr>
              <w:pStyle w:val="ListParagraph"/>
              <w:numPr>
                <w:ilvl w:val="0"/>
                <w:numId w:val="1"/>
              </w:numPr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237232">
              <w:rPr>
                <w:rFonts w:ascii="Times" w:eastAsia="Calibri" w:hAnsi="Times" w:cs="Times New Roman"/>
                <w:bCs/>
                <w:color w:val="000000" w:themeColor="text1"/>
                <w:sz w:val="20"/>
                <w:szCs w:val="20"/>
                <w:lang w:val="fr-FR"/>
              </w:rPr>
              <w:t>Garine, É. (2007). Quand il n’y a pas d’animal “clef de voûte” dans la zoologie populaire</w:t>
            </w:r>
            <w:r w:rsidRPr="00237232">
              <w:rPr>
                <w:rFonts w:eastAsia="Calibri" w:cs="Times New Roman"/>
                <w:bCs/>
                <w:color w:val="000000" w:themeColor="text1"/>
                <w:sz w:val="20"/>
                <w:szCs w:val="20"/>
                <w:lang w:val="fr-FR"/>
              </w:rPr>
              <w:t> </w:t>
            </w:r>
            <w:r w:rsidRPr="00237232">
              <w:rPr>
                <w:rFonts w:ascii="Times" w:eastAsia="Calibri" w:hAnsi="Times" w:cs="Times New Roman"/>
                <w:bCs/>
                <w:color w:val="000000" w:themeColor="text1"/>
                <w:sz w:val="20"/>
                <w:szCs w:val="20"/>
                <w:lang w:val="fr-FR"/>
              </w:rPr>
              <w:t>: notes de terrain sur une civilisation agraire du nord du Cameroun (Duupa, Massif de Poli) = When there is no “keystone” species in the folk zoology</w:t>
            </w:r>
            <w:r w:rsidRPr="00237232">
              <w:rPr>
                <w:rFonts w:eastAsia="Calibri" w:cs="Times New Roman"/>
                <w:bCs/>
                <w:color w:val="000000" w:themeColor="text1"/>
                <w:sz w:val="20"/>
                <w:szCs w:val="20"/>
                <w:lang w:val="fr-FR"/>
              </w:rPr>
              <w:t> </w:t>
            </w:r>
            <w:r w:rsidRPr="00237232">
              <w:rPr>
                <w:rFonts w:ascii="Times" w:eastAsia="Calibri" w:hAnsi="Times" w:cs="Times New Roman"/>
                <w:bCs/>
                <w:color w:val="000000" w:themeColor="text1"/>
                <w:sz w:val="20"/>
                <w:szCs w:val="20"/>
                <w:lang w:val="fr-FR"/>
              </w:rPr>
              <w:t xml:space="preserve">: </w:t>
            </w:r>
            <w:r w:rsidRPr="00237232">
              <w:rPr>
                <w:rFonts w:ascii="Times" w:eastAsia="Calibri" w:hAnsi="Times" w:cs="Times New Roman"/>
                <w:bCs/>
                <w:i/>
                <w:color w:val="000000" w:themeColor="text1"/>
                <w:sz w:val="20"/>
                <w:szCs w:val="20"/>
                <w:lang w:val="fr-FR"/>
              </w:rPr>
              <w:t xml:space="preserve">field notes from an agrarian civ (Dounias Ed). </w:t>
            </w:r>
            <w:r w:rsidRPr="00237232">
              <w:rPr>
                <w:rFonts w:ascii="Times" w:eastAsia="Calibri" w:hAnsi="Times" w:cs="Times New Roman"/>
                <w:bCs/>
                <w:i/>
                <w:color w:val="000000" w:themeColor="text1"/>
                <w:sz w:val="20"/>
                <w:szCs w:val="20"/>
              </w:rPr>
              <w:t>IRD Éditions</w:t>
            </w:r>
            <w:r w:rsidRPr="00237232">
              <w:rPr>
                <w:rFonts w:ascii="Times" w:eastAsia="Calibri" w:hAnsi="Times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  <w:p w:rsidR="00D94C44" w:rsidRPr="00237232" w:rsidRDefault="00D94C44" w:rsidP="00AE45DB">
            <w:pPr>
              <w:pStyle w:val="ListParagraph"/>
              <w:rPr>
                <w:rFonts w:ascii="Times" w:hAnsi="Times"/>
                <w:color w:val="000000" w:themeColor="text1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F27E75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val="fr-FR" w:eastAsia="en-US" w:bidi="ar-SA"/>
              </w:rPr>
              <w:t>Camacho, L. I. C. (2011). Conocimiento etnobotánico, patrones de uso y manejo de plantas útiles en la cuenca del río Cane-Iguaque (Boyacá-Colombia): una aproximación desde los sistemas de uso de la biodiversidad. </w:t>
            </w:r>
            <w:r w:rsidRPr="00EC6F5E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Amb</w:t>
            </w:r>
            <w:r w:rsidRPr="005915B2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iente &amp; Sociedade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14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(1), 45-75.</w:t>
            </w:r>
          </w:p>
          <w:p w:rsidR="00D94C44" w:rsidRPr="00ED61DF" w:rsidRDefault="00D94C44" w:rsidP="00AE45DB">
            <w:pPr>
              <w:rPr>
                <w:rFonts w:ascii="Times" w:hAnsi="Times"/>
                <w:color w:val="000000" w:themeColor="text1"/>
                <w:sz w:val="20"/>
              </w:rPr>
            </w:pPr>
          </w:p>
          <w:p w:rsidR="00D94C44" w:rsidRPr="00F27E75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val="fr-FR" w:eastAsia="en-US" w:bidi="ar-SA"/>
              </w:rPr>
            </w:pP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Assis, A. L., Hanazaki</w:t>
            </w:r>
            <w:r w:rsidRPr="00550A54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 N., Reis, M. S., Mattos, A. G., &amp; Peroni, N. (2010). Espécie-chave cultural: indicadores e aplicabilidade em etnoecologia. </w:t>
            </w:r>
            <w:r w:rsidRPr="00F27E75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val="fr-FR" w:eastAsia="en-US" w:bidi="ar-SA"/>
              </w:rPr>
              <w:t>Etnoecologia em perspectiva: natureza, cultura e conservação, NUPEEA, Recife, PE, Brazil, pp145–153</w:t>
            </w:r>
            <w:r w:rsidRPr="00F27E75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val="fr-FR" w:eastAsia="en-US" w:bidi="ar-SA"/>
              </w:rPr>
              <w:t xml:space="preserve">.  </w:t>
            </w:r>
          </w:p>
          <w:p w:rsidR="00D94C44" w:rsidRPr="00F27E75" w:rsidRDefault="00D94C44" w:rsidP="00AE45DB">
            <w:pPr>
              <w:rPr>
                <w:rFonts w:ascii="Times" w:hAnsi="Times"/>
                <w:color w:val="000000" w:themeColor="text1"/>
                <w:sz w:val="20"/>
                <w:lang w:val="fr-FR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Brandt, R., Zimmermann, H., Hensen, I., Castro, J. C. M., &amp; Rist, S. (2012). Agroforestry species of the Bolivian Andes: an integrated assessment of ecological, economic and socio-cultural plant values. </w:t>
            </w:r>
            <w:r w:rsidRPr="005915B2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Agroforestry systems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86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(1), 1-16.</w:t>
            </w:r>
          </w:p>
          <w:p w:rsidR="00D94C44" w:rsidRPr="00ED61DF" w:rsidRDefault="00D94C44" w:rsidP="00AE45DB">
            <w:pPr>
              <w:rPr>
                <w:rFonts w:ascii="Times" w:hAnsi="Times"/>
                <w:color w:val="000000" w:themeColor="text1"/>
                <w:sz w:val="20"/>
              </w:rPr>
            </w:pPr>
          </w:p>
          <w:p w:rsidR="00D94C44" w:rsidRPr="00550A54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D61DF">
              <w:rPr>
                <w:rFonts w:ascii="Times" w:eastAsia="Calibri" w:hAnsi="Times"/>
                <w:bCs/>
                <w:color w:val="000000" w:themeColor="text1"/>
                <w:sz w:val="20"/>
                <w:szCs w:val="20"/>
              </w:rPr>
              <w:t>Butler, A. R., To</w:t>
            </w:r>
            <w:r w:rsidRPr="00550A54">
              <w:rPr>
                <w:rFonts w:ascii="Times" w:eastAsia="Calibri" w:hAnsi="Times"/>
                <w:bCs/>
                <w:color w:val="000000" w:themeColor="text1"/>
                <w:sz w:val="20"/>
                <w:szCs w:val="20"/>
              </w:rPr>
              <w:t xml:space="preserve">h, I., Wagambie, D., Toh, I., &amp; Wagambie, D. (2012). The integration of indigenous knowledge into mine site rehabilitation and closure planning at Ok Tedi, Papua New Guinea. </w:t>
            </w:r>
            <w:r w:rsidRPr="00550A54">
              <w:rPr>
                <w:rFonts w:ascii="Times" w:eastAsia="Calibri" w:hAnsi="Times"/>
                <w:bCs/>
                <w:i/>
                <w:color w:val="000000" w:themeColor="text1"/>
                <w:sz w:val="20"/>
                <w:szCs w:val="20"/>
              </w:rPr>
              <w:t>Mine Closure</w:t>
            </w:r>
            <w:r w:rsidRPr="00550A54">
              <w:rPr>
                <w:rFonts w:ascii="Times" w:eastAsia="Calibri" w:hAnsi="Times"/>
                <w:bCs/>
                <w:color w:val="000000" w:themeColor="text1"/>
                <w:sz w:val="20"/>
                <w:szCs w:val="20"/>
              </w:rPr>
              <w:t>, 611–626.</w:t>
            </w:r>
          </w:p>
          <w:p w:rsidR="00D94C44" w:rsidRPr="00237232" w:rsidRDefault="00D94C44" w:rsidP="00AE45DB">
            <w:pPr>
              <w:rPr>
                <w:rFonts w:ascii="Times" w:hAnsi="Times"/>
                <w:color w:val="000000" w:themeColor="text1"/>
                <w:sz w:val="20"/>
              </w:rPr>
            </w:pPr>
          </w:p>
          <w:p w:rsidR="00D94C44" w:rsidRPr="00F27E75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val="fr-FR" w:eastAsia="en-US" w:bidi="ar-SA"/>
              </w:rPr>
            </w:pPr>
            <w:r w:rsidRPr="00237232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  <w:lang w:val="fr-FR"/>
              </w:rPr>
              <w:t xml:space="preserve">Salazar, G. M., Montijo, B. S., Bañuelos, R. S., Alejandra, C., Flores, C., Gamez Duarte, E. A., … </w:t>
            </w:r>
            <w:r w:rsidRPr="00237232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 xml:space="preserve">Hernández, D. B. (2012). </w:t>
            </w:r>
            <w:r w:rsidRPr="00237232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  <w:lang w:val="fr-FR"/>
              </w:rPr>
              <w:t>La mariposa de los ténabaris (Rotschildia cinta): cultura, biogeografía y ecología.</w:t>
            </w:r>
          </w:p>
          <w:p w:rsidR="00D94C44" w:rsidRPr="00F27E75" w:rsidRDefault="00D94C44" w:rsidP="00AE45DB">
            <w:pPr>
              <w:rPr>
                <w:rFonts w:ascii="Times" w:hAnsi="Times"/>
                <w:color w:val="000000" w:themeColor="text1"/>
                <w:sz w:val="20"/>
                <w:lang w:val="fr-FR"/>
              </w:rPr>
            </w:pPr>
          </w:p>
          <w:p w:rsidR="00D94C44" w:rsidRPr="00550A54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Uprety, Y., Asselin, H., &amp; Bergeron, Y. (2013).</w:t>
            </w:r>
            <w:r w:rsidRPr="005915B2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 xml:space="preserve"> Cultural importance of white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 xml:space="preserve"> pine (Pinus strobus L.) to the Kitcisakik Algonquin community of western Quebec, Canada.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Canadian journal of forest research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43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(6), 544-551.</w:t>
            </w:r>
          </w:p>
          <w:p w:rsidR="00D94C44" w:rsidRPr="00237232" w:rsidRDefault="00D94C44" w:rsidP="00AE45DB">
            <w:pPr>
              <w:rPr>
                <w:rFonts w:ascii="Times" w:hAnsi="Times"/>
                <w:color w:val="000000" w:themeColor="text1"/>
                <w:sz w:val="20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237232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 xml:space="preserve">Shrestha, S. (2013). </w:t>
            </w:r>
            <w:r w:rsidRPr="00237232">
              <w:rPr>
                <w:rFonts w:ascii="Times" w:eastAsia="Times New Roman" w:hAnsi="Times" w:cs="Times New Roman"/>
                <w:iCs/>
                <w:color w:val="000000" w:themeColor="text1"/>
                <w:sz w:val="20"/>
                <w:szCs w:val="20"/>
              </w:rPr>
              <w:t>Global Localism at the Manaslu Conservation Area in the Eastern Himalaya, Nepal: Integrating Forest Ecological and Ethnobotanical Knowledge for Biodiversity conservation</w:t>
            </w:r>
            <w:r w:rsidRPr="00237232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>(</w:t>
            </w:r>
            <w:r w:rsidRPr="00ED61DF"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>Doctoral dissertation</w:t>
            </w:r>
            <w:r>
              <w:rPr>
                <w:rFonts w:ascii="Times" w:eastAsia="Times New Roman" w:hAnsi="Times" w:cs="Times New Roman"/>
                <w:color w:val="000000" w:themeColor="text1"/>
                <w:sz w:val="20"/>
                <w:szCs w:val="20"/>
              </w:rPr>
              <w:t>, Miami University)</w:t>
            </w:r>
          </w:p>
          <w:p w:rsidR="00D94C44" w:rsidRPr="00ED61DF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Franco, F., Ghani, B. A. A., &amp; Hidayati, S. (2014). Biocultural importance of the Tanying [Koompassia </w:t>
            </w: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excelsa (Becc.) Taub.] </w:t>
            </w:r>
            <w:proofErr w:type="gramStart"/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tree</w:t>
            </w:r>
            <w:proofErr w:type="gramEnd"/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for the Berawan of Loagan Bunut, Sarawak, Malaysia.</w:t>
            </w:r>
            <w:r w:rsidRPr="00ED61DF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 xml:space="preserve"> Indian Journal of Traditional Knowledge</w:t>
            </w: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ED61DF">
              <w:rPr>
                <w:rStyle w:val="apple-converted-space"/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ED61DF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>13</w:t>
            </w: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(1), 63-69.</w:t>
            </w:r>
          </w:p>
          <w:p w:rsidR="00D94C44" w:rsidRPr="00ED61DF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Franco, F. M., Ghani, B. A. A., &amp; Hidayati, S. (2014). Terras (Eusideroxylon zwageri Teijsm. &amp; Binn.), a Cultural Keystone Species of the Berawan People of Sarawak, Malaysia.</w:t>
            </w:r>
            <w:r w:rsidRPr="00ED61DF">
              <w:rPr>
                <w:rStyle w:val="apple-converted-space"/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ED61DF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>Pertanika Journal of Social Sciences &amp; Humanities</w:t>
            </w: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ED61DF">
              <w:rPr>
                <w:rStyle w:val="apple-converted-space"/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ED61DF">
              <w:rPr>
                <w:rFonts w:ascii="Times" w:hAnsi="Times" w:cs="Arial"/>
                <w:i/>
                <w:iCs/>
                <w:color w:val="000000" w:themeColor="text1"/>
                <w:sz w:val="20"/>
                <w:szCs w:val="20"/>
              </w:rPr>
              <w:t>22</w:t>
            </w:r>
            <w:r w:rsidRPr="00ED61DF">
              <w:rPr>
                <w:rFonts w:ascii="Times" w:hAnsi="Times" w:cs="Arial"/>
                <w:color w:val="000000" w:themeColor="text1"/>
                <w:sz w:val="20"/>
                <w:szCs w:val="20"/>
                <w:shd w:val="clear" w:color="auto" w:fill="FFFFFF"/>
              </w:rPr>
              <w:t>(3).</w:t>
            </w:r>
          </w:p>
          <w:p w:rsidR="00D94C44" w:rsidRPr="00ED61DF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Lefler, B. J. (2014).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Nuwuvi (Southern Paiute) Ecological Knowledge of Piñon-JuniperWoodlands: Implications for Conservation and Sustainable Resource Use in TwoSouthern Nevada Protected Areas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 (Doctoral dissertation, Portland State University).</w:t>
            </w:r>
          </w:p>
          <w:p w:rsidR="00D94C44" w:rsidRPr="00ED61DF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Mccarthy, A., Hepburn, C., Scott, N., Schweikert, K., Turner, R., &amp; Moller, H. (2014). Local people see and care most? Severe depletion of inshore fisheries and its consequences for Māori communities in New Zealand.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Aquatic Conservation: Marine and Freshwater Ecosystems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24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(3), 369-390.</w:t>
            </w:r>
          </w:p>
          <w:p w:rsidR="00D94C44" w:rsidRPr="00ED61DF" w:rsidRDefault="00D94C44" w:rsidP="00AE45DB">
            <w:pPr>
              <w:rPr>
                <w:rFonts w:ascii="Times" w:hAnsi="Times" w:cs="Arial"/>
                <w:color w:val="000000" w:themeColor="text1"/>
                <w:sz w:val="20"/>
                <w:shd w:val="clear" w:color="auto" w:fill="FFFFFF"/>
              </w:rPr>
            </w:pPr>
          </w:p>
          <w:p w:rsidR="00D94C44" w:rsidRPr="00ED61DF" w:rsidRDefault="00D94C44" w:rsidP="00D94C44">
            <w:pPr>
              <w:pStyle w:val="ListParagraph"/>
              <w:widowControl/>
              <w:numPr>
                <w:ilvl w:val="0"/>
                <w:numId w:val="1"/>
              </w:numPr>
              <w:suppressAutoHyphens w:val="0"/>
              <w:rPr>
                <w:rFonts w:ascii="Times" w:eastAsia="Times New Roman" w:hAnsi="Times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F27E75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val="fr-FR" w:eastAsia="en-US" w:bidi="ar-SA"/>
              </w:rPr>
              <w:t xml:space="preserve">Quave, C. L., &amp; Pieroni, A. (2015). </w:t>
            </w:r>
            <w:r w:rsidRPr="00EC6F5E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A reservoir of ethnobotanical knowledge informs resilient food security and health strategies in the Balkans. </w:t>
            </w:r>
            <w:r w:rsidRPr="005915B2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Nature Plants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, </w:t>
            </w:r>
            <w:r w:rsidRPr="00ED61DF">
              <w:rPr>
                <w:rFonts w:ascii="Times" w:eastAsia="Times New Roman" w:hAnsi="Times" w:cs="Arial"/>
                <w:i/>
                <w:iCs/>
                <w:color w:val="000000" w:themeColor="text1"/>
                <w:kern w:val="0"/>
                <w:sz w:val="20"/>
                <w:szCs w:val="20"/>
                <w:lang w:eastAsia="en-US" w:bidi="ar-SA"/>
              </w:rPr>
              <w:t>1</w:t>
            </w:r>
            <w:r w:rsidRPr="00ED61DF">
              <w:rPr>
                <w:rFonts w:ascii="Times" w:eastAsia="Times New Roman" w:hAnsi="Times" w:cs="Arial"/>
                <w:color w:val="000000" w:themeColor="text1"/>
                <w:kern w:val="0"/>
                <w:sz w:val="20"/>
                <w:szCs w:val="20"/>
                <w:shd w:val="clear" w:color="auto" w:fill="FFFFFF"/>
                <w:lang w:eastAsia="en-US" w:bidi="ar-SA"/>
              </w:rPr>
              <w:t>(2), 14021.</w:t>
            </w:r>
          </w:p>
        </w:tc>
      </w:tr>
    </w:tbl>
    <w:p w:rsidR="00D94C44" w:rsidRDefault="00D94C44" w:rsidP="00D94C44">
      <w:pPr>
        <w:autoSpaceDE w:val="0"/>
        <w:autoSpaceDN w:val="0"/>
        <w:adjustRightInd w:val="0"/>
        <w:spacing w:before="120" w:after="20"/>
        <w:rPr>
          <w:rFonts w:ascii="Times" w:eastAsia="Calibri" w:hAnsi="Times"/>
          <w:bCs/>
        </w:rPr>
      </w:pPr>
    </w:p>
    <w:p w:rsidR="00D94C44" w:rsidRDefault="00D94C44" w:rsidP="00D94C44">
      <w:pPr>
        <w:autoSpaceDE w:val="0"/>
        <w:autoSpaceDN w:val="0"/>
        <w:adjustRightInd w:val="0"/>
        <w:spacing w:before="120" w:after="20"/>
        <w:rPr>
          <w:rFonts w:ascii="Times" w:eastAsia="Calibri" w:hAnsi="Times"/>
          <w:bCs/>
        </w:rPr>
      </w:pPr>
    </w:p>
    <w:p w:rsidR="00D94C44" w:rsidRPr="00D4712F" w:rsidRDefault="00D94C44" w:rsidP="00D94C44">
      <w:pPr>
        <w:autoSpaceDE w:val="0"/>
        <w:autoSpaceDN w:val="0"/>
        <w:adjustRightInd w:val="0"/>
        <w:spacing w:before="120" w:after="20" w:line="480" w:lineRule="auto"/>
        <w:rPr>
          <w:rFonts w:ascii="Times" w:eastAsia="Calibri" w:hAnsi="Times"/>
          <w:bCs/>
          <w:color w:val="4F81BD" w:themeColor="accent1"/>
        </w:rPr>
      </w:pPr>
    </w:p>
    <w:p w:rsidR="000D420F" w:rsidRDefault="000D420F">
      <w:bookmarkStart w:id="0" w:name="_GoBack"/>
      <w:bookmarkEnd w:id="0"/>
    </w:p>
    <w:sectPr w:rsidR="000D420F" w:rsidSect="000D1C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 w:rsidP="00511AB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275F" w:rsidRDefault="00D94C44" w:rsidP="00511AB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 w:rsidP="00511AB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2275F" w:rsidRDefault="00D94C44" w:rsidP="00511ABF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5F" w:rsidRDefault="00D94C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200F4"/>
    <w:multiLevelType w:val="hybridMultilevel"/>
    <w:tmpl w:val="61D81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44"/>
    <w:rsid w:val="00057D3E"/>
    <w:rsid w:val="000D420F"/>
    <w:rsid w:val="00313437"/>
    <w:rsid w:val="00337492"/>
    <w:rsid w:val="008526BA"/>
    <w:rsid w:val="00B521C0"/>
    <w:rsid w:val="00D9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C44"/>
    <w:pPr>
      <w:widowControl w:val="0"/>
      <w:suppressAutoHyphens/>
      <w:spacing w:after="0" w:line="240" w:lineRule="auto"/>
      <w:ind w:left="720"/>
      <w:contextualSpacing/>
    </w:pPr>
    <w:rPr>
      <w:rFonts w:eastAsia="Lucida Sans Unicode" w:cs="Mangal"/>
      <w:kern w:val="1"/>
      <w:sz w:val="24"/>
      <w:szCs w:val="21"/>
      <w:lang w:eastAsia="hi-IN" w:bidi="hi-IN"/>
    </w:rPr>
  </w:style>
  <w:style w:type="table" w:styleId="TableGrid">
    <w:name w:val="Table Grid"/>
    <w:basedOn w:val="TableNormal"/>
    <w:uiPriority w:val="59"/>
    <w:rsid w:val="00D94C44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D94C44"/>
  </w:style>
  <w:style w:type="paragraph" w:styleId="Footer">
    <w:name w:val="footer"/>
    <w:basedOn w:val="Normal"/>
    <w:link w:val="FooterChar"/>
    <w:uiPriority w:val="99"/>
    <w:unhideWhenUsed/>
    <w:rsid w:val="00D94C44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FooterChar">
    <w:name w:val="Footer Char"/>
    <w:basedOn w:val="DefaultParagraphFont"/>
    <w:link w:val="Footer"/>
    <w:uiPriority w:val="99"/>
    <w:rsid w:val="00D94C44"/>
    <w:rPr>
      <w:rFonts w:eastAsia="Lucida Sans Unicode" w:cs="Mangal"/>
      <w:kern w:val="1"/>
      <w:szCs w:val="21"/>
      <w:lang w:eastAsia="hi-IN" w:bidi="hi-IN"/>
    </w:rPr>
  </w:style>
  <w:style w:type="character" w:styleId="PageNumber">
    <w:name w:val="page number"/>
    <w:basedOn w:val="DefaultParagraphFont"/>
    <w:uiPriority w:val="99"/>
    <w:semiHidden/>
    <w:unhideWhenUsed/>
    <w:rsid w:val="00D94C44"/>
  </w:style>
  <w:style w:type="paragraph" w:styleId="Header">
    <w:name w:val="header"/>
    <w:basedOn w:val="Normal"/>
    <w:link w:val="HeaderChar"/>
    <w:uiPriority w:val="99"/>
    <w:unhideWhenUsed/>
    <w:rsid w:val="00D94C44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HeaderChar">
    <w:name w:val="Header Char"/>
    <w:basedOn w:val="DefaultParagraphFont"/>
    <w:link w:val="Header"/>
    <w:uiPriority w:val="99"/>
    <w:rsid w:val="00D94C44"/>
    <w:rPr>
      <w:rFonts w:eastAsia="Lucida Sans Unicode" w:cs="Mangal"/>
      <w:kern w:val="1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C44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C44"/>
    <w:pPr>
      <w:widowControl w:val="0"/>
      <w:suppressAutoHyphens/>
      <w:spacing w:after="0" w:line="240" w:lineRule="auto"/>
      <w:ind w:left="720"/>
      <w:contextualSpacing/>
    </w:pPr>
    <w:rPr>
      <w:rFonts w:eastAsia="Lucida Sans Unicode" w:cs="Mangal"/>
      <w:kern w:val="1"/>
      <w:sz w:val="24"/>
      <w:szCs w:val="21"/>
      <w:lang w:eastAsia="hi-IN" w:bidi="hi-IN"/>
    </w:rPr>
  </w:style>
  <w:style w:type="table" w:styleId="TableGrid">
    <w:name w:val="Table Grid"/>
    <w:basedOn w:val="TableNormal"/>
    <w:uiPriority w:val="59"/>
    <w:rsid w:val="00D94C44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D94C44"/>
  </w:style>
  <w:style w:type="paragraph" w:styleId="Footer">
    <w:name w:val="footer"/>
    <w:basedOn w:val="Normal"/>
    <w:link w:val="FooterChar"/>
    <w:uiPriority w:val="99"/>
    <w:unhideWhenUsed/>
    <w:rsid w:val="00D94C44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FooterChar">
    <w:name w:val="Footer Char"/>
    <w:basedOn w:val="DefaultParagraphFont"/>
    <w:link w:val="Footer"/>
    <w:uiPriority w:val="99"/>
    <w:rsid w:val="00D94C44"/>
    <w:rPr>
      <w:rFonts w:eastAsia="Lucida Sans Unicode" w:cs="Mangal"/>
      <w:kern w:val="1"/>
      <w:szCs w:val="21"/>
      <w:lang w:eastAsia="hi-IN" w:bidi="hi-IN"/>
    </w:rPr>
  </w:style>
  <w:style w:type="character" w:styleId="PageNumber">
    <w:name w:val="page number"/>
    <w:basedOn w:val="DefaultParagraphFont"/>
    <w:uiPriority w:val="99"/>
    <w:semiHidden/>
    <w:unhideWhenUsed/>
    <w:rsid w:val="00D94C44"/>
  </w:style>
  <w:style w:type="paragraph" w:styleId="Header">
    <w:name w:val="header"/>
    <w:basedOn w:val="Normal"/>
    <w:link w:val="HeaderChar"/>
    <w:uiPriority w:val="99"/>
    <w:unhideWhenUsed/>
    <w:rsid w:val="00D94C44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eastAsia="Lucida Sans Unicode" w:cs="Mangal"/>
      <w:kern w:val="1"/>
      <w:sz w:val="24"/>
      <w:szCs w:val="21"/>
      <w:lang w:eastAsia="hi-IN" w:bidi="hi-IN"/>
    </w:rPr>
  </w:style>
  <w:style w:type="character" w:customStyle="1" w:styleId="HeaderChar">
    <w:name w:val="Header Char"/>
    <w:basedOn w:val="DefaultParagraphFont"/>
    <w:link w:val="Header"/>
    <w:uiPriority w:val="99"/>
    <w:rsid w:val="00D94C44"/>
    <w:rPr>
      <w:rFonts w:eastAsia="Lucida Sans Unicode" w:cs="Mangal"/>
      <w:kern w:val="1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C44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3532</Characters>
  <Application>Microsoft Office Word</Application>
  <DocSecurity>0</DocSecurity>
  <Lines>84</Lines>
  <Paragraphs>48</Paragraphs>
  <ScaleCrop>false</ScaleCrop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S3G_Change_Case</dc:creator>
  <cp:lastModifiedBy>S3G_Change_Case</cp:lastModifiedBy>
  <cp:revision>1</cp:revision>
  <dcterms:created xsi:type="dcterms:W3CDTF">2020-10-28T14:18:00Z</dcterms:created>
  <dcterms:modified xsi:type="dcterms:W3CDTF">2020-10-28T14:18:00Z</dcterms:modified>
</cp:coreProperties>
</file>