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70"/>
        <w:gridCol w:w="4230"/>
        <w:gridCol w:w="270"/>
        <w:gridCol w:w="2610"/>
      </w:tblGrid>
      <w:tr w:rsidR="00A06E67" w:rsidRPr="007972CD" w:rsidTr="00B56E94">
        <w:tc>
          <w:tcPr>
            <w:tcW w:w="9540" w:type="dxa"/>
            <w:gridSpan w:val="5"/>
            <w:tcBorders>
              <w:bottom w:val="single" w:sz="4" w:space="0" w:color="auto"/>
            </w:tcBorders>
          </w:tcPr>
          <w:p w:rsidR="00A06E67" w:rsidRPr="00A06E67" w:rsidRDefault="00A06E67" w:rsidP="00FF2822">
            <w:pPr>
              <w:pStyle w:val="CommentText"/>
              <w:tabs>
                <w:tab w:val="left" w:pos="2977"/>
              </w:tabs>
              <w:spacing w:after="80"/>
              <w:jc w:val="both"/>
              <w:rPr>
                <w:rFonts w:ascii="Garamond" w:eastAsia="Times New Roman" w:hAnsi="Garamond"/>
                <w:b/>
                <w:iCs/>
                <w:sz w:val="18"/>
                <w:szCs w:val="18"/>
                <w:lang w:eastAsia="id-ID"/>
              </w:rPr>
            </w:pPr>
            <w:r w:rsidRPr="00A06E67">
              <w:rPr>
                <w:rFonts w:ascii="Garamond" w:hAnsi="Garamond"/>
                <w:b/>
                <w:bCs/>
                <w:sz w:val="18"/>
                <w:szCs w:val="18"/>
              </w:rPr>
              <w:t xml:space="preserve">Additional file </w:t>
            </w:r>
            <w:r w:rsidR="00FF2822">
              <w:rPr>
                <w:rFonts w:ascii="Garamond" w:hAnsi="Garamond"/>
                <w:b/>
                <w:bCs/>
                <w:sz w:val="18"/>
                <w:szCs w:val="18"/>
              </w:rPr>
              <w:t>3</w:t>
            </w:r>
            <w:bookmarkStart w:id="0" w:name="_GoBack"/>
            <w:bookmarkEnd w:id="0"/>
            <w:r w:rsidRPr="00A06E67">
              <w:rPr>
                <w:rFonts w:ascii="Garamond" w:hAnsi="Garamond"/>
                <w:b/>
                <w:bCs/>
                <w:sz w:val="18"/>
                <w:szCs w:val="18"/>
              </w:rPr>
              <w:t xml:space="preserve">. </w:t>
            </w:r>
            <w:r w:rsidRPr="00A06E67">
              <w:rPr>
                <w:rFonts w:ascii="Garamond" w:eastAsia="Times New Roman" w:hAnsi="Garamond"/>
                <w:b/>
                <w:iCs/>
                <w:sz w:val="18"/>
                <w:szCs w:val="18"/>
                <w:lang w:eastAsia="id-ID"/>
              </w:rPr>
              <w:t>Summary of type of costs/parameters used</w:t>
            </w:r>
          </w:p>
        </w:tc>
      </w:tr>
      <w:tr w:rsidR="00A06E67" w:rsidRPr="007972CD" w:rsidTr="00B56E94">
        <w:tc>
          <w:tcPr>
            <w:tcW w:w="2160" w:type="dxa"/>
            <w:tcBorders>
              <w:top w:val="single" w:sz="4" w:space="0" w:color="auto"/>
              <w:bottom w:val="single" w:sz="4" w:space="0" w:color="auto"/>
            </w:tcBorders>
          </w:tcPr>
          <w:p w:rsidR="00A06E67" w:rsidRPr="007972CD" w:rsidRDefault="00A06E67" w:rsidP="00B56E94">
            <w:pPr>
              <w:pStyle w:val="CommentText"/>
              <w:tabs>
                <w:tab w:val="left" w:pos="2977"/>
              </w:tabs>
              <w:spacing w:after="80"/>
              <w:jc w:val="both"/>
              <w:rPr>
                <w:rFonts w:ascii="Garamond" w:eastAsia="Times New Roman" w:hAnsi="Garamond"/>
                <w:iCs/>
                <w:sz w:val="18"/>
                <w:szCs w:val="18"/>
                <w:lang w:eastAsia="id-ID"/>
              </w:rPr>
            </w:pPr>
            <w:r w:rsidRPr="007972CD">
              <w:rPr>
                <w:rFonts w:ascii="Garamond" w:eastAsia="Times New Roman" w:hAnsi="Garamond"/>
                <w:iCs/>
                <w:sz w:val="18"/>
                <w:szCs w:val="18"/>
                <w:lang w:eastAsia="id-ID"/>
              </w:rPr>
              <w:t>Items</w:t>
            </w:r>
          </w:p>
        </w:tc>
        <w:tc>
          <w:tcPr>
            <w:tcW w:w="270" w:type="dxa"/>
            <w:tcBorders>
              <w:top w:val="single" w:sz="4" w:space="0" w:color="auto"/>
            </w:tcBorders>
          </w:tcPr>
          <w:p w:rsidR="00A06E67" w:rsidRPr="007972CD" w:rsidRDefault="00A06E67" w:rsidP="00B56E94">
            <w:pPr>
              <w:pStyle w:val="CommentText"/>
              <w:tabs>
                <w:tab w:val="left" w:pos="2977"/>
              </w:tabs>
              <w:spacing w:after="80"/>
              <w:jc w:val="both"/>
              <w:rPr>
                <w:rFonts w:ascii="Garamond" w:eastAsia="Times New Roman" w:hAnsi="Garamond"/>
                <w:iCs/>
                <w:sz w:val="18"/>
                <w:szCs w:val="18"/>
                <w:lang w:eastAsia="id-ID"/>
              </w:rPr>
            </w:pPr>
          </w:p>
        </w:tc>
        <w:tc>
          <w:tcPr>
            <w:tcW w:w="4230" w:type="dxa"/>
            <w:tcBorders>
              <w:top w:val="single" w:sz="4" w:space="0" w:color="auto"/>
              <w:bottom w:val="single" w:sz="4" w:space="0" w:color="auto"/>
            </w:tcBorders>
            <w:vAlign w:val="center"/>
          </w:tcPr>
          <w:p w:rsidR="00A06E67" w:rsidRPr="007972CD" w:rsidRDefault="00A06E67" w:rsidP="00B56E94">
            <w:pPr>
              <w:pStyle w:val="CommentText"/>
              <w:tabs>
                <w:tab w:val="left" w:pos="2977"/>
              </w:tabs>
              <w:spacing w:after="80"/>
              <w:jc w:val="both"/>
              <w:rPr>
                <w:rFonts w:ascii="Garamond" w:eastAsia="Times New Roman" w:hAnsi="Garamond"/>
                <w:iCs/>
                <w:sz w:val="18"/>
                <w:szCs w:val="18"/>
                <w:lang w:eastAsia="id-ID"/>
              </w:rPr>
            </w:pPr>
            <w:r w:rsidRPr="007972CD">
              <w:rPr>
                <w:rFonts w:ascii="Garamond" w:eastAsia="Times New Roman" w:hAnsi="Garamond"/>
                <w:iCs/>
                <w:sz w:val="18"/>
                <w:szCs w:val="18"/>
                <w:lang w:eastAsia="id-ID"/>
              </w:rPr>
              <w:t>Type of cost/parameters used</w:t>
            </w:r>
          </w:p>
        </w:tc>
        <w:tc>
          <w:tcPr>
            <w:tcW w:w="270" w:type="dxa"/>
            <w:tcBorders>
              <w:top w:val="single" w:sz="4" w:space="0" w:color="auto"/>
            </w:tcBorders>
            <w:vAlign w:val="center"/>
          </w:tcPr>
          <w:p w:rsidR="00A06E67" w:rsidRPr="007972CD" w:rsidRDefault="00A06E67" w:rsidP="00B56E94">
            <w:pPr>
              <w:pStyle w:val="CommentText"/>
              <w:tabs>
                <w:tab w:val="left" w:pos="2977"/>
              </w:tabs>
              <w:spacing w:after="80"/>
              <w:jc w:val="both"/>
              <w:rPr>
                <w:rFonts w:ascii="Garamond" w:eastAsia="Times New Roman" w:hAnsi="Garamond"/>
                <w:iCs/>
                <w:sz w:val="18"/>
                <w:szCs w:val="18"/>
                <w:lang w:eastAsia="id-ID"/>
              </w:rPr>
            </w:pPr>
          </w:p>
        </w:tc>
        <w:tc>
          <w:tcPr>
            <w:tcW w:w="2610" w:type="dxa"/>
            <w:tcBorders>
              <w:top w:val="single" w:sz="4" w:space="0" w:color="auto"/>
              <w:bottom w:val="single" w:sz="4" w:space="0" w:color="auto"/>
            </w:tcBorders>
            <w:vAlign w:val="center"/>
          </w:tcPr>
          <w:p w:rsidR="00A06E67" w:rsidRPr="007972CD" w:rsidRDefault="00A06E67" w:rsidP="00B56E94">
            <w:pPr>
              <w:pStyle w:val="CommentText"/>
              <w:tabs>
                <w:tab w:val="left" w:pos="2977"/>
              </w:tabs>
              <w:spacing w:after="80"/>
              <w:jc w:val="both"/>
              <w:rPr>
                <w:rFonts w:ascii="Garamond" w:eastAsia="Times New Roman" w:hAnsi="Garamond"/>
                <w:iCs/>
                <w:sz w:val="18"/>
                <w:szCs w:val="18"/>
                <w:lang w:eastAsia="id-ID"/>
              </w:rPr>
            </w:pPr>
            <w:r w:rsidRPr="007972CD">
              <w:rPr>
                <w:rFonts w:ascii="Garamond" w:eastAsia="Times New Roman" w:hAnsi="Garamond"/>
                <w:iCs/>
                <w:sz w:val="18"/>
                <w:szCs w:val="18"/>
                <w:lang w:eastAsia="id-ID"/>
              </w:rPr>
              <w:t>Values/sources</w:t>
            </w:r>
          </w:p>
        </w:tc>
      </w:tr>
      <w:tr w:rsidR="00A06E67" w:rsidRPr="007972CD" w:rsidTr="00B56E94">
        <w:tc>
          <w:tcPr>
            <w:tcW w:w="2160" w:type="dxa"/>
            <w:tcBorders>
              <w:top w:val="single" w:sz="4" w:space="0" w:color="auto"/>
            </w:tcBorders>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Provider perspective costs</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Borders>
              <w:top w:val="single" w:sz="4" w:space="0" w:color="auto"/>
            </w:tcBorders>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Recurrent resources used for treatment (e.g. medicine, syringe)</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val="restart"/>
            <w:tcBorders>
              <w:top w:val="single" w:sz="4" w:space="0" w:color="auto"/>
            </w:tcBorders>
            <w:vAlign w:val="center"/>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Patient billing data, hospital record on resource utilization, interview with HCW</w:t>
            </w: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Capital resources used for treatment (e.g. equipment, furniture) </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Costs of capital and recurrent resources </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Patient billing data, market price</w:t>
            </w: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Pr>
                <w:rFonts w:ascii="Garamond" w:eastAsia="Times New Roman" w:hAnsi="Garamond"/>
                <w:iCs/>
                <w:sz w:val="18"/>
                <w:szCs w:val="18"/>
                <w:lang w:eastAsia="id-ID"/>
              </w:rPr>
              <w:t>Discount rate</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Pr>
                <w:rFonts w:ascii="Garamond" w:eastAsia="Times New Roman" w:hAnsi="Garamond"/>
                <w:iCs/>
                <w:sz w:val="18"/>
                <w:szCs w:val="18"/>
                <w:lang w:eastAsia="id-ID"/>
              </w:rPr>
              <w:t xml:space="preserve">3% </w:t>
            </w:r>
            <w:r>
              <w:rPr>
                <w:rFonts w:ascii="Garamond" w:eastAsia="Times New Roman" w:hAnsi="Garamond"/>
                <w:iCs/>
                <w:sz w:val="18"/>
                <w:szCs w:val="18"/>
                <w:lang w:eastAsia="id-ID"/>
              </w:rPr>
              <w:fldChar w:fldCharType="begin" w:fldLock="1"/>
            </w:r>
            <w:r>
              <w:rPr>
                <w:rFonts w:ascii="Garamond" w:eastAsia="Times New Roman" w:hAnsi="Garamond"/>
                <w:iCs/>
                <w:sz w:val="18"/>
                <w:szCs w:val="18"/>
                <w:lang w:eastAsia="id-ID"/>
              </w:rPr>
              <w:instrText>ADDIN CSL_CITATION { "citationItems" : [ { "id" : "ITEM-1", "itemData" : { "author" : [ { "dropping-particle" : "", "family" : "Drummond", "given" : "M.F.", "non-dropping-particle" : "", "parse-names" : false, "suffix" : "" }, { "dropping-particle" : "", "family" : "Sculpher", "given" : "M.J.", "non-dropping-particle" : "", "parse-names" : false, "suffix" : "" }, { "dropping-particle" : "", "family" : "Torrance", "given" : "G.W.", "non-dropping-particle" : "", "parse-names" : false, "suffix" : "" } ], "id" : "ITEM-1", "issued" : { "date-parts" : [ [ "2005" ] ] }, "publisher" : "Oxford University Press", "publisher-place" : "New York", "title" : "Methods for the Economic Evaluation of Health Care Programmes.", "type" : "book" }, "uris" : [ "http://www.mendeley.com/documents/?uuid=a712c965-3f5e-4678-a971-c7550f6f52f7" ] } ], "mendeley" : { "formattedCitation" : "[38]", "plainTextFormattedCitation" : "[38]", "previouslyFormattedCitation" : "[37]" }, "properties" : { "noteIndex" : 0 }, "schema" : "https://github.com/citation-style-language/schema/raw/master/csl-citation.json" }</w:instrText>
            </w:r>
            <w:r>
              <w:rPr>
                <w:rFonts w:ascii="Garamond" w:eastAsia="Times New Roman" w:hAnsi="Garamond"/>
                <w:iCs/>
                <w:sz w:val="18"/>
                <w:szCs w:val="18"/>
                <w:lang w:eastAsia="id-ID"/>
              </w:rPr>
              <w:fldChar w:fldCharType="separate"/>
            </w:r>
            <w:r w:rsidRPr="00130CD1">
              <w:rPr>
                <w:rFonts w:ascii="Garamond" w:eastAsia="Times New Roman" w:hAnsi="Garamond"/>
                <w:iCs/>
                <w:noProof/>
                <w:sz w:val="18"/>
                <w:szCs w:val="18"/>
                <w:lang w:eastAsia="id-ID"/>
              </w:rPr>
              <w:t>[38]</w:t>
            </w:r>
            <w:r>
              <w:rPr>
                <w:rFonts w:ascii="Garamond" w:eastAsia="Times New Roman" w:hAnsi="Garamond"/>
                <w:iCs/>
                <w:sz w:val="18"/>
                <w:szCs w:val="18"/>
                <w:lang w:eastAsia="id-ID"/>
              </w:rPr>
              <w:fldChar w:fldCharType="end"/>
            </w:r>
            <w:r>
              <w:rPr>
                <w:rFonts w:ascii="Garamond" w:eastAsia="Times New Roman" w:hAnsi="Garamond"/>
                <w:iCs/>
                <w:sz w:val="18"/>
                <w:szCs w:val="18"/>
                <w:lang w:eastAsia="id-ID"/>
              </w:rPr>
              <w:t xml:space="preserve"> </w:t>
            </w: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Patient perspective costs*</w:t>
            </w: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Time spent accessing treatment (two ways transport time, waiting time, time spent receiving treatment, time spent as inpatient) </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val="restart"/>
            <w:vAlign w:val="center"/>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Interview with patients’ family member(s)</w:t>
            </w: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Administration/registration cost</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Treatment related cost (e.g. lab cost, medicine)</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Pr>
                <w:rFonts w:ascii="Garamond" w:eastAsia="Times New Roman" w:hAnsi="Garamond"/>
                <w:iCs/>
                <w:sz w:val="18"/>
                <w:szCs w:val="18"/>
                <w:lang w:eastAsia="id-ID"/>
              </w:rPr>
              <w:t>Non-medical costs (i.e. productivity loss, transport cots)</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Wage/expenditure per month (to estimate productivity)</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rPr>
          <w:trHeight w:val="80"/>
        </w:trPr>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Time of work per week (days) </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Type of transport used</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vMerge/>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Health</w:t>
            </w:r>
            <w:r w:rsidR="006D13EF">
              <w:rPr>
                <w:rFonts w:ascii="Garamond" w:eastAsia="Times New Roman" w:hAnsi="Garamond"/>
                <w:iCs/>
                <w:sz w:val="18"/>
                <w:szCs w:val="18"/>
                <w:lang w:eastAsia="id-ID"/>
              </w:rPr>
              <w:t>care</w:t>
            </w:r>
            <w:r w:rsidRPr="007972CD">
              <w:rPr>
                <w:rFonts w:ascii="Garamond" w:eastAsia="Times New Roman" w:hAnsi="Garamond"/>
                <w:iCs/>
                <w:sz w:val="18"/>
                <w:szCs w:val="18"/>
                <w:lang w:eastAsia="id-ID"/>
              </w:rPr>
              <w:t xml:space="preserve"> system costs</w:t>
            </w: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Prevalence rate</w:t>
            </w:r>
            <w:r>
              <w:rPr>
                <w:rFonts w:ascii="Garamond" w:eastAsia="Times New Roman" w:hAnsi="Garamond"/>
                <w:iCs/>
                <w:sz w:val="18"/>
                <w:szCs w:val="18"/>
                <w:lang w:eastAsia="id-ID"/>
              </w:rPr>
              <w:t xml:space="preserve"> </w:t>
            </w:r>
            <w:r w:rsidRPr="007972CD">
              <w:rPr>
                <w:rFonts w:ascii="Garamond" w:eastAsia="Times New Roman" w:hAnsi="Garamond"/>
                <w:iCs/>
                <w:sz w:val="18"/>
                <w:szCs w:val="18"/>
                <w:lang w:eastAsia="id-ID"/>
              </w:rPr>
              <w:fldChar w:fldCharType="begin" w:fldLock="1"/>
            </w:r>
            <w:r>
              <w:rPr>
                <w:rFonts w:ascii="Garamond" w:eastAsia="Times New Roman" w:hAnsi="Garamond"/>
                <w:iCs/>
                <w:sz w:val="18"/>
                <w:szCs w:val="18"/>
                <w:lang w:eastAsia="id-ID"/>
              </w:rPr>
              <w:instrText>ADDIN CSL_CITATION { "citationItems" : [ { "id" : "ITEM-1", "itemData" : { "author" : [ { "dropping-particle" : "", "family" : "Statistics Indonesia (Badan Pusat Statistik\u2014BPS)", "given" : "", "non-dropping-particle" : "", "parse-names" : false, "suffix" : "" }, { "dropping-particle" : "", "family" : "National Population and Family Planning Board (BKKBN)", "given" : "", "non-dropping-particle" : "", "parse-names" : false, "suffix" : "" }, { "dropping-particle" : "", "family" : "Kementrian Kesehatan (Kemenkes-MOH)", "given" : "", "non-dropping-particle" : "", "parse-names" : false, "suffix" : "" }, { "dropping-particle" : "", "family" : "ICF International", "given" : "", "non-dropping-particle" : "", "parse-names" : false, "suffix" : "" } ], "id" : "ITEM-1", "issued" : { "date-parts" : [ [ "2013" ] ] }, "publisher-place" : "Jakarta, Indonesia", "title" : "Indonesia Demographic and Health Survey (IDHS) 2012", "type" : "book" }, "uris" : [ "http://www.mendeley.com/documents/?uuid=76b23ac3-bfa8-45e9-876e-27f6c8f0f420" ] } ], "mendeley" : { "formattedCitation" : "[9]", "plainTextFormattedCitation" : "[9]", "previouslyFormattedCitation" : "[9]" }, "properties" : { "noteIndex" : 1 }, "schema" : "https://github.com/citation-style-language/schema/raw/master/csl-citation.json" }</w:instrText>
            </w:r>
            <w:r w:rsidRPr="007972CD">
              <w:rPr>
                <w:rFonts w:ascii="Garamond" w:eastAsia="Times New Roman" w:hAnsi="Garamond"/>
                <w:iCs/>
                <w:sz w:val="18"/>
                <w:szCs w:val="18"/>
                <w:lang w:eastAsia="id-ID"/>
              </w:rPr>
              <w:fldChar w:fldCharType="separate"/>
            </w:r>
            <w:r w:rsidRPr="00E604C4">
              <w:rPr>
                <w:rFonts w:ascii="Garamond" w:eastAsia="Times New Roman" w:hAnsi="Garamond"/>
                <w:iCs/>
                <w:noProof/>
                <w:sz w:val="18"/>
                <w:szCs w:val="18"/>
                <w:lang w:eastAsia="id-ID"/>
              </w:rPr>
              <w:t>[9]</w:t>
            </w:r>
            <w:r w:rsidRPr="007972CD">
              <w:rPr>
                <w:rFonts w:ascii="Garamond" w:eastAsia="Times New Roman" w:hAnsi="Garamond"/>
                <w:iCs/>
                <w:sz w:val="18"/>
                <w:szCs w:val="18"/>
                <w:lang w:eastAsia="id-ID"/>
              </w:rPr>
              <w:fldChar w:fldCharType="end"/>
            </w:r>
            <w:r w:rsidRPr="007972CD">
              <w:rPr>
                <w:rFonts w:ascii="Garamond" w:eastAsia="Times New Roman" w:hAnsi="Garamond"/>
                <w:iCs/>
                <w:sz w:val="18"/>
                <w:szCs w:val="18"/>
                <w:lang w:eastAsia="id-ID"/>
              </w:rPr>
              <w:t xml:space="preserve"> </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      Diarrhea</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11.80% (under 6 months), 20.61% (6 – 23 months) </w:t>
            </w: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r w:rsidRPr="007972CD">
              <w:rPr>
                <w:rFonts w:ascii="Garamond" w:eastAsia="Times New Roman" w:hAnsi="Garamond"/>
                <w:iCs/>
                <w:sz w:val="18"/>
                <w:szCs w:val="18"/>
                <w:lang w:eastAsia="id-ID"/>
              </w:rPr>
              <w:t>PRD</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2.30% (under 6 months), 5.39% (6 – 23 months)</w:t>
            </w: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Population attributable risk of diarrhea and PRD due to </w:t>
            </w:r>
            <w:r>
              <w:rPr>
                <w:rFonts w:ascii="Garamond" w:eastAsia="Times New Roman" w:hAnsi="Garamond"/>
                <w:iCs/>
                <w:sz w:val="18"/>
                <w:szCs w:val="18"/>
                <w:lang w:eastAsia="id-ID"/>
              </w:rPr>
              <w:t>not BAR</w:t>
            </w:r>
            <w:r w:rsidRPr="007972CD">
              <w:rPr>
                <w:rFonts w:ascii="Garamond" w:eastAsia="Times New Roman" w:hAnsi="Garamond"/>
                <w:iCs/>
                <w:sz w:val="18"/>
                <w:szCs w:val="18"/>
                <w:lang w:eastAsia="id-ID"/>
              </w:rPr>
              <w:t xml:space="preserve"> </w:t>
            </w:r>
            <w:r w:rsidRPr="007972CD">
              <w:rPr>
                <w:rFonts w:ascii="Garamond" w:eastAsia="Times New Roman" w:hAnsi="Garamond"/>
                <w:iCs/>
                <w:sz w:val="18"/>
                <w:szCs w:val="18"/>
                <w:lang w:eastAsia="id-ID"/>
              </w:rPr>
              <w:fldChar w:fldCharType="begin" w:fldLock="1"/>
            </w:r>
            <w:r>
              <w:rPr>
                <w:rFonts w:ascii="Garamond" w:eastAsia="Times New Roman" w:hAnsi="Garamond"/>
                <w:iCs/>
                <w:sz w:val="18"/>
                <w:szCs w:val="18"/>
                <w:lang w:eastAsia="id-ID"/>
              </w:rPr>
              <w:instrText>ADDIN CSL_CITATION { "citationItems" : [ { "id" : "ITEM-1", "itemData" : { "DOI" : "10.1093/heapol/czw044", "ISSN" : "1460-2237", "PMID" : "27107295", "abstract" : "Rates of exclusive breastfeeding are slowly increasing, but remain suboptimal globally despite the health and economic benefits. This study estimates the costs of not breastfeeding across seven countries in Southeast Asia and presents a cost-benefit analysis of a modeled comprehensive breastfeeding strategy in Viet Nam, based on a large programme. There have been very few such studies previously for low- and middle-income countries. The estimates used published data on disease prevalence and breastfeeding patterns for the seven countries, supplemented by information on healthcare costs from representative institutions. Modelling of costs of not breastfeeding used estimated effects obtained from systematic reviews and meta-analyses. Modelling of cost-benefit for Viet Nam used programme data on costs combined with effects from a large-scale cluster randomized breastfeeding promotion intervention with controls. This study found that over 12 400 preventable child and maternal deaths per year in the seven countries could be attributed to inadequate breastfeeding. The economic benefits associated with potential improvements in cognition alone, through higher IQ and earnings, total $1.6 billion annually. The loss exceeds 0.5% of Gross National Income in the country with the lowest exclusive breastfeeding rate (Thailand). The potential savings in health care treatment costs ($0.3 billion annually) from reducing the incidence of diarrhoea and pneumonia could help offset the cost of breastfeeding promotion. Based on the data available and authors' assumptions, investing in a national breastfeeding promotion strategy in Viet Nam could result in preventing 200 child deaths per year and generate monetary benefits of US$2.39 for every US$1, or a 139% return on investment. These encouraging results suggest that there are feasible and affordable opportunities to accelerate progress towards achieving the Global Nutrition Target for exclusive breastfeeding by 2025.", "author" : [ { "dropping-particle" : "", "family" : "Walters", "given" : "Dylan", "non-dropping-particle" : "", "parse-names" : false, "suffix" : "" }, { "dropping-particle" : "", "family" : "Horton", "given" : "Susan", "non-dropping-particle" : "", "parse-names" : false, "suffix" : "" }, { "dropping-particle" : "", "family" : "Siregar", "given" : "Adiatma Yudistira Manogar", "non-dropping-particle" : "", "parse-names" : false, "suffix" : "" }, { "dropping-particle" : "", "family" : "Pitriyan", "given" : "Pipit", "non-dropping-particle" : "", "parse-names" : false, "suffix" : "" }, { "dropping-particle" : "", "family" : "Hajeebhoy", "given" : "Nemat", "non-dropping-particle" : "", "parse-names" : false, "suffix" : "" }, { "dropping-particle" : "", "family" : "Mathisen", "given" : "Roger", "non-dropping-particle" : "", "parse-names" : false, "suffix" : "" }, { "dropping-particle" : "", "family" : "Phan", "given" : "Linh Thi Hong", "non-dropping-particle" : "", "parse-names" : false, "suffix" : "" }, { "dropping-particle" : "", "family" : "Rudert", "given" : "Christiane", "non-dropping-particle" : "", "parse-names" : false, "suffix" : "" } ], "container-title" : "Health policy and planning", "id" : "ITEM-1", "issue" : "8", "issued" : { "date-parts" : [ [ "2016", "10", "23" ] ] }, "page" : "1107-16", "title" : "The cost of not breastfeeding in Southeast Asia.", "type" : "article-journal", "volume" : "31" }, "uris" : [ "http://www.mendeley.com/documents/?uuid=c4c28708-6db2-4452-a9ab-4486699d87d7" ] }, { "id" : "ITEM-2", "itemData" : { "DOI" : "10.1186/1471-2458-13-S3-S18", "abstract" : "Background: Suboptimal breastfeeding practices among infants and young children &lt;24 months of age are associated with elevated risk of pneumonia morbidity and mortality. We conducted a systematic review and metaanalysis to quantify the protective effects of breastfeeding exposure against pneumonia incidence, prevalence, hospitalizations and mortality. Met hods: We conducted a systematic literature review of studies assessing the risk of selected pneumonia morbidity and mortality outcomes by varying levels of breastfeeding exposure among infants and young children &lt;24 months of age. We used random effects meta-analyses to generate pooled effect estimates by outcome, age and exposure level. Res ults: Suboptimal breastfeeding elevated the risk of pneumonia morbidity and mortality outcomes across age groups. In particular, pneumonia mortality was higher among not breastfed compared to exclusively breastfed infants 0-5 months of age (RR: 14.97; 95% CI: 0.67-332.74) and among not breastfed compared to breastfed infants and young children 6-23 months of age (RR: 1.92; 95% CI: 0.79-4.68). Conc lusions : Our results highlight the importance of breastfeeding during the first 23 months of life as a key intervention for reducing pneumonia morbidity and mortality", "author" : [ { "dropping-particle" : "", "family" : "Lamberti", "given" : "Laura M", "non-dropping-particle" : "", "parse-names" : false, "suffix" : "" }, { "dropping-particle" : "", "family" : "Zakarija-grkovi", "given" : "Irena", "non-dropping-particle" : "", "parse-names" : false, "suffix" : "" }, { "dropping-particle" : "", "family" : "Walker", "given" : "Christa L Fischer", "non-dropping-particle" : "", "parse-names" : false, "suffix" : "" }, { "dropping-particle" : "", "family" : "Theodoratou", "given" : "Evropi", "non-dropping-particle" : "", "parse-names" : false, "suffix" : "" }, { "dropping-particle" : "", "family" : "Nair", "given" : "Harish", "non-dropping-particle" : "", "parse-names" : false, "suffix" : "" }, { "dropping-particle" : "", "family" : "Campbell", "given" : "Harry", "non-dropping-particle" : "", "parse-names" : false, "suffix" : "" }, { "dropping-particle" : "", "family" : "Black", "given" : "Robert E", "non-dropping-particle" : "", "parse-names" : false, "suffix" : "" } ], "container-title" : "BMC public health", "id" : "ITEM-2", "issue" : "Suppl 3", "issued" : { "date-parts" : [ [ "2013" ] ] }, "page" : "S18", "title" : "Breastfeeding for reducing the risk of pneumonia morbidity and mortality in children under two: a systematic literature review and meta-analysis", "type" : "article-journal", "volume" : "13" }, "uris" : [ "http://www.mendeley.com/documents/?uuid=df09adf4-b356-4a1b-9475-190f06357585" ] }, { "id" : "ITEM-3", "itemData" : { "DOI" : "10.1186/1471-2458-11-S3-S15", "ISSN" : "1471-2458", "abstract" : "Backg round: Lack of exclusive breastfeeding among infants 0-5 months of age and no breastfeeding among children 6-23 months of age are associated with increased diarrhea morbidity and mortality in developing countries. We estimate the protective effects conferred by varying levels of breastfeeding exposure against diarrhea incidence, diarrhea prevalence, diarrhea mortality, all-cause mortality, and hospitalization for diarrhea illness. Met hods: We systematically reviewed all literature published from 1980 to 2009 assessing levels of suboptimal breastfeeding as a risk factor for selected diarrhea morbidity and mortality outcomes. We conducted random effects meta-analyses to generate pooled relative risks by outcome and age category. Res ults: We found a large body of evidence for the protective effects of breastfeeding against diarrhea incidence, prevalence, hospitalizations, diarrhea mortality, and all-cause mortality. The results of random effects meta-analyses of eighteen included studies indicated varying degrees of protection across levels of breastfeeding exposure with the greatest protection conferred by exclusive breastfeeding among infants 0-5 months of age and by any breastfeeding among infants and young children 6-23 months of age. Specifically, not breastfeeding resulted in an excess risk of diarrhea mortality in comparison to exclusive breastfeeding among infants 0-5 months of age (RR: 10.52) and to any breastfeeding among children aged 6-23 months (RR: 2.18). Conc lusions : Our findings support the current WHO recommendation for exclusive breastfeeding during the first 6 months of life as a key child survival intervention. Our findings also highlight the importance of breastfeeding to protect against diarrhea-specific morbidity and mortality throughout the first 2 years of life.", "author" : [ { "dropping-particle" : "", "family" : "Lamberti", "given" : "Laura M", "non-dropping-particle" : "", "parse-names" : false, "suffix" : "" }, { "dropping-particle" : "", "family" : "Walker", "given" : "Christa L Fischer", "non-dropping-particle" : "", "parse-names" : false, "suffix" : "" }, { "dropping-particle" : "", "family" : "Noiman", "given" : "Adi", "non-dropping-particle" : "", "parse-names" : false, "suffix" : "" }, { "dropping-particle" : "", "family" : "Victora", "given" : "Cesar", "non-dropping-particle" : "", "parse-names" : false, "suffix" : "" }, { "dropping-particle" : "", "family" : "Black", "given" : "Robert E", "non-dropping-particle" : "", "parse-names" : false, "suffix" : "" } ], "container-title" : "BMC Public Health", "id" : "ITEM-3", "issue" : "Suppl 3", "issued" : { "date-parts" : [ [ "2011" ] ] }, "page" : "S15", "publisher" : "BioMed Central Ltd", "title" : "Breastfeeding and the risk for diarrhea morbidity and mortality", "type" : "article-journal", "volume" : "11" }, "uris" : [ "http://www.mendeley.com/documents/?uuid=fce62cb4-afc8-47f9-ad67-ed0665d56495" ] }, { "id" : "ITEM-4", "itemData" : { "URL" : "http://cherg.org/projects/List-summaries/breastfeeding.html", "accessed" : { "date-parts" : [ [ "2017", "2", "1" ] ] }, "author" : [ { "dropping-particle" : "", "family" : "CHERG", "given" : "", "non-dropping-particle" : "", "parse-names" : false, "suffix" : "" } ], "container-title" : "CHERG", "id" : "ITEM-4", "issued" : { "date-parts" : [ [ "2011" ] ] }, "title" : "Breastfeeding and the Risk for Diarrhea Morbidity and Mortality", "type" : "webpage" }, "uris" : [ "http://www.mendeley.com/documents/?uuid=9599a39a-2f79-4fad-857f-012d59cac60b" ] } ], "mendeley" : { "formattedCitation" : "[5,8,10,39]", "plainTextFormattedCitation" : "[5,8,10,39]", "previouslyFormattedCitation" : "[5,8,10,38]" }, "properties" : { "noteIndex" : 1 }, "schema" : "https://github.com/citation-style-language/schema/raw/master/csl-citation.json" }</w:instrText>
            </w:r>
            <w:r w:rsidRPr="007972CD">
              <w:rPr>
                <w:rFonts w:ascii="Garamond" w:eastAsia="Times New Roman" w:hAnsi="Garamond"/>
                <w:iCs/>
                <w:sz w:val="18"/>
                <w:szCs w:val="18"/>
                <w:lang w:eastAsia="id-ID"/>
              </w:rPr>
              <w:fldChar w:fldCharType="separate"/>
            </w:r>
            <w:r w:rsidRPr="00130CD1">
              <w:rPr>
                <w:rFonts w:ascii="Garamond" w:eastAsia="Times New Roman" w:hAnsi="Garamond"/>
                <w:iCs/>
                <w:noProof/>
                <w:sz w:val="18"/>
                <w:szCs w:val="18"/>
                <w:lang w:eastAsia="id-ID"/>
              </w:rPr>
              <w:t>[5,8,10,39]</w:t>
            </w:r>
            <w:r w:rsidRPr="007972CD">
              <w:rPr>
                <w:rFonts w:ascii="Garamond" w:eastAsia="Times New Roman" w:hAnsi="Garamond"/>
                <w:iCs/>
                <w:sz w:val="18"/>
                <w:szCs w:val="18"/>
                <w:lang w:eastAsia="id-ID"/>
              </w:rPr>
              <w:fldChar w:fldCharType="end"/>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r w:rsidRPr="007972CD">
              <w:rPr>
                <w:rFonts w:ascii="Garamond" w:eastAsia="Times New Roman" w:hAnsi="Garamond"/>
                <w:iCs/>
                <w:sz w:val="18"/>
                <w:szCs w:val="18"/>
                <w:lang w:eastAsia="id-ID"/>
              </w:rPr>
              <w:t>Diarrhea</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25.85%</w:t>
            </w: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r w:rsidRPr="007972CD">
              <w:rPr>
                <w:rFonts w:ascii="Garamond" w:eastAsia="Times New Roman" w:hAnsi="Garamond"/>
                <w:iCs/>
                <w:sz w:val="18"/>
                <w:szCs w:val="18"/>
                <w:lang w:eastAsia="id-ID"/>
              </w:rPr>
              <w:t>PRD</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39.33%</w:t>
            </w:r>
          </w:p>
        </w:tc>
      </w:tr>
      <w:tr w:rsidR="00A06E67" w:rsidRPr="007972CD" w:rsidTr="00B56E94">
        <w:tc>
          <w:tcPr>
            <w:tcW w:w="216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xml:space="preserve">Proportion of inpatient and outpatient for those visiting public and private hospitals </w:t>
            </w:r>
            <w:r w:rsidRPr="007972CD">
              <w:rPr>
                <w:rFonts w:ascii="Garamond" w:eastAsia="Times New Roman" w:hAnsi="Garamond"/>
                <w:iCs/>
                <w:sz w:val="18"/>
                <w:szCs w:val="18"/>
                <w:lang w:eastAsia="id-ID"/>
              </w:rPr>
              <w:fldChar w:fldCharType="begin" w:fldLock="1"/>
            </w:r>
            <w:r>
              <w:rPr>
                <w:rFonts w:ascii="Garamond" w:eastAsia="Times New Roman" w:hAnsi="Garamond"/>
                <w:iCs/>
                <w:sz w:val="18"/>
                <w:szCs w:val="18"/>
                <w:lang w:eastAsia="id-ID"/>
              </w:rPr>
              <w:instrText>ADDIN CSL_CITATION { "citationItems" : [ { "id" : "ITEM-1", "itemData" : { "ISBN" : "9786028937184", "author" : [ { "dropping-particle" : "", "family" : "Kementrian Kesehatan Republik Indonesia", "given" : "", "non-dropping-particle" : "", "parse-names" : false, "suffix" : "" } ], "id" : "ITEM-1", "issued" : { "date-parts" : [ [ "2010" ] ] }, "publisher-place" : "Jakarta", "title" : "Profil Kesehatan Indonesia tahun 2009", "type" : "book" }, "uris" : [ "http://www.mendeley.com/documents/?uuid=eb2fb04e-634a-4515-b349-7cc89a67cfe1" ] } ], "mendeley" : { "formattedCitation" : "[41]", "plainTextFormattedCitation" : "[41]", "previouslyFormattedCitation" : "[40]" }, "properties" : { "noteIndex" : 1 }, "schema" : "https://github.com/citation-style-language/schema/raw/master/csl-citation.json" }</w:instrText>
            </w:r>
            <w:r w:rsidRPr="007972CD">
              <w:rPr>
                <w:rFonts w:ascii="Garamond" w:eastAsia="Times New Roman" w:hAnsi="Garamond"/>
                <w:iCs/>
                <w:sz w:val="18"/>
                <w:szCs w:val="18"/>
                <w:lang w:eastAsia="id-ID"/>
              </w:rPr>
              <w:fldChar w:fldCharType="separate"/>
            </w:r>
            <w:r w:rsidRPr="00130CD1">
              <w:rPr>
                <w:rFonts w:ascii="Garamond" w:eastAsia="Times New Roman" w:hAnsi="Garamond"/>
                <w:iCs/>
                <w:noProof/>
                <w:sz w:val="18"/>
                <w:szCs w:val="18"/>
                <w:lang w:eastAsia="id-ID"/>
              </w:rPr>
              <w:t>[41]</w:t>
            </w:r>
            <w:r w:rsidRPr="007972CD">
              <w:rPr>
                <w:rFonts w:ascii="Garamond" w:eastAsia="Times New Roman" w:hAnsi="Garamond"/>
                <w:iCs/>
                <w:sz w:val="18"/>
                <w:szCs w:val="18"/>
                <w:lang w:eastAsia="id-ID"/>
              </w:rPr>
              <w:fldChar w:fldCharType="end"/>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r w:rsidRPr="007972CD">
              <w:rPr>
                <w:rFonts w:ascii="Garamond" w:eastAsia="Times New Roman" w:hAnsi="Garamond"/>
                <w:iCs/>
                <w:sz w:val="18"/>
                <w:szCs w:val="18"/>
                <w:lang w:eastAsia="id-ID"/>
              </w:rPr>
              <w:t>Diarrhea</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60.85% outpatient, 39.15% inpatient</w:t>
            </w:r>
          </w:p>
        </w:tc>
      </w:tr>
      <w:tr w:rsidR="00A06E67" w:rsidRPr="007972CD" w:rsidTr="00B56E94">
        <w:tc>
          <w:tcPr>
            <w:tcW w:w="216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27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p>
        </w:tc>
        <w:tc>
          <w:tcPr>
            <w:tcW w:w="4230" w:type="dxa"/>
          </w:tcPr>
          <w:p w:rsidR="00A06E67" w:rsidRPr="007972CD" w:rsidRDefault="00A06E67" w:rsidP="00B56E94">
            <w:pPr>
              <w:pStyle w:val="CommentText"/>
              <w:tabs>
                <w:tab w:val="left" w:pos="2977"/>
              </w:tabs>
              <w:spacing w:after="80"/>
              <w:ind w:left="270"/>
              <w:rPr>
                <w:rFonts w:ascii="Garamond" w:eastAsia="Times New Roman" w:hAnsi="Garamond"/>
                <w:iCs/>
                <w:sz w:val="18"/>
                <w:szCs w:val="18"/>
                <w:lang w:eastAsia="id-ID"/>
              </w:rPr>
            </w:pPr>
            <w:r w:rsidRPr="007972CD">
              <w:rPr>
                <w:rFonts w:ascii="Garamond" w:eastAsia="Times New Roman" w:hAnsi="Garamond"/>
                <w:iCs/>
                <w:sz w:val="18"/>
                <w:szCs w:val="18"/>
                <w:lang w:eastAsia="id-ID"/>
              </w:rPr>
              <w:t>PRD</w:t>
            </w:r>
          </w:p>
        </w:tc>
        <w:tc>
          <w:tcPr>
            <w:tcW w:w="27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p>
        </w:tc>
        <w:tc>
          <w:tcPr>
            <w:tcW w:w="2610" w:type="dxa"/>
          </w:tcPr>
          <w:p w:rsidR="00A06E67" w:rsidRPr="007972CD" w:rsidRDefault="00A06E67" w:rsidP="00B56E94">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91.60% outpatient, 8.40% inpatient</w:t>
            </w:r>
          </w:p>
        </w:tc>
      </w:tr>
      <w:tr w:rsidR="00A06E67" w:rsidRPr="007972CD" w:rsidTr="00B56E94">
        <w:tc>
          <w:tcPr>
            <w:tcW w:w="2160" w:type="dxa"/>
            <w:tcBorders>
              <w:bottom w:val="single" w:sz="4" w:space="0" w:color="auto"/>
            </w:tcBorders>
          </w:tcPr>
          <w:p w:rsidR="00A06E67" w:rsidRPr="007972CD" w:rsidRDefault="00A06E67" w:rsidP="00B56E94">
            <w:pPr>
              <w:pStyle w:val="CommentText"/>
              <w:tabs>
                <w:tab w:val="left" w:pos="2977"/>
              </w:tabs>
              <w:spacing w:after="80"/>
              <w:jc w:val="both"/>
              <w:rPr>
                <w:rFonts w:ascii="Garamond" w:eastAsia="Times New Roman" w:hAnsi="Garamond"/>
                <w:iCs/>
                <w:sz w:val="18"/>
                <w:szCs w:val="18"/>
                <w:lang w:eastAsia="id-ID"/>
              </w:rPr>
            </w:pPr>
          </w:p>
        </w:tc>
        <w:tc>
          <w:tcPr>
            <w:tcW w:w="270" w:type="dxa"/>
            <w:tcBorders>
              <w:bottom w:val="single" w:sz="4" w:space="0" w:color="auto"/>
            </w:tcBorders>
          </w:tcPr>
          <w:p w:rsidR="00A06E67" w:rsidRPr="007972CD" w:rsidRDefault="00A06E67" w:rsidP="00B56E94">
            <w:pPr>
              <w:pStyle w:val="CommentText"/>
              <w:tabs>
                <w:tab w:val="left" w:pos="2977"/>
              </w:tabs>
              <w:spacing w:after="80"/>
              <w:jc w:val="both"/>
              <w:rPr>
                <w:rFonts w:ascii="Garamond" w:eastAsia="Times New Roman" w:hAnsi="Garamond"/>
                <w:iCs/>
                <w:sz w:val="18"/>
                <w:szCs w:val="18"/>
                <w:lang w:eastAsia="id-ID"/>
              </w:rPr>
            </w:pPr>
          </w:p>
        </w:tc>
        <w:tc>
          <w:tcPr>
            <w:tcW w:w="4230" w:type="dxa"/>
            <w:tcBorders>
              <w:bottom w:val="single" w:sz="4" w:space="0" w:color="auto"/>
            </w:tcBorders>
            <w:vAlign w:val="center"/>
          </w:tcPr>
          <w:p w:rsidR="00A06E67" w:rsidRPr="007972CD" w:rsidRDefault="00A06E67" w:rsidP="00B56E94">
            <w:pPr>
              <w:pStyle w:val="CommentText"/>
              <w:tabs>
                <w:tab w:val="left" w:pos="2977"/>
              </w:tabs>
              <w:spacing w:after="80"/>
              <w:jc w:val="both"/>
              <w:rPr>
                <w:rFonts w:ascii="Garamond" w:eastAsia="Times New Roman" w:hAnsi="Garamond"/>
                <w:i/>
                <w:iCs/>
                <w:sz w:val="18"/>
                <w:szCs w:val="18"/>
                <w:lang w:eastAsia="id-ID"/>
              </w:rPr>
            </w:pPr>
          </w:p>
        </w:tc>
        <w:tc>
          <w:tcPr>
            <w:tcW w:w="270" w:type="dxa"/>
            <w:tcBorders>
              <w:bottom w:val="single" w:sz="4" w:space="0" w:color="auto"/>
            </w:tcBorders>
            <w:vAlign w:val="center"/>
          </w:tcPr>
          <w:p w:rsidR="00A06E67" w:rsidRPr="007972CD" w:rsidRDefault="00A06E67" w:rsidP="00B56E94">
            <w:pPr>
              <w:pStyle w:val="CommentText"/>
              <w:tabs>
                <w:tab w:val="left" w:pos="2977"/>
              </w:tabs>
              <w:spacing w:after="80"/>
              <w:jc w:val="both"/>
              <w:rPr>
                <w:rFonts w:ascii="Garamond" w:eastAsia="Times New Roman" w:hAnsi="Garamond"/>
                <w:i/>
                <w:iCs/>
                <w:sz w:val="18"/>
                <w:szCs w:val="18"/>
                <w:lang w:eastAsia="id-ID"/>
              </w:rPr>
            </w:pPr>
          </w:p>
        </w:tc>
        <w:tc>
          <w:tcPr>
            <w:tcW w:w="2610" w:type="dxa"/>
            <w:tcBorders>
              <w:bottom w:val="single" w:sz="4" w:space="0" w:color="auto"/>
            </w:tcBorders>
            <w:vAlign w:val="center"/>
          </w:tcPr>
          <w:p w:rsidR="00A06E67" w:rsidRPr="007972CD" w:rsidRDefault="00A06E67" w:rsidP="00B56E94">
            <w:pPr>
              <w:pStyle w:val="CommentText"/>
              <w:tabs>
                <w:tab w:val="left" w:pos="2977"/>
              </w:tabs>
              <w:spacing w:after="80"/>
              <w:jc w:val="both"/>
              <w:rPr>
                <w:rFonts w:ascii="Garamond" w:eastAsia="Times New Roman" w:hAnsi="Garamond"/>
                <w:i/>
                <w:iCs/>
                <w:sz w:val="18"/>
                <w:szCs w:val="18"/>
                <w:lang w:eastAsia="id-ID"/>
              </w:rPr>
            </w:pPr>
          </w:p>
        </w:tc>
      </w:tr>
      <w:tr w:rsidR="00A06E67" w:rsidRPr="007972CD" w:rsidTr="00B56E94">
        <w:tc>
          <w:tcPr>
            <w:tcW w:w="9540" w:type="dxa"/>
            <w:gridSpan w:val="5"/>
            <w:tcBorders>
              <w:top w:val="single" w:sz="4" w:space="0" w:color="auto"/>
            </w:tcBorders>
          </w:tcPr>
          <w:p w:rsidR="00A06E67" w:rsidRPr="007972CD" w:rsidRDefault="00A06E67" w:rsidP="00A06E67">
            <w:pPr>
              <w:pStyle w:val="CommentText"/>
              <w:tabs>
                <w:tab w:val="left" w:pos="2977"/>
              </w:tabs>
              <w:spacing w:after="80"/>
              <w:rPr>
                <w:rFonts w:ascii="Garamond" w:eastAsia="Times New Roman" w:hAnsi="Garamond"/>
                <w:iCs/>
                <w:sz w:val="18"/>
                <w:szCs w:val="18"/>
                <w:lang w:eastAsia="id-ID"/>
              </w:rPr>
            </w:pPr>
            <w:r w:rsidRPr="007972CD">
              <w:rPr>
                <w:rFonts w:ascii="Garamond" w:eastAsia="Times New Roman" w:hAnsi="Garamond"/>
                <w:iCs/>
                <w:sz w:val="18"/>
                <w:szCs w:val="18"/>
                <w:lang w:eastAsia="id-ID"/>
              </w:rPr>
              <w:t>* information obtained from and comprises of all patients’ family member(s)accompanying patients</w:t>
            </w:r>
          </w:p>
        </w:tc>
      </w:tr>
    </w:tbl>
    <w:p w:rsidR="00A06E67" w:rsidRDefault="00A06E67" w:rsidP="00A06E67"/>
    <w:p w:rsidR="00D546CF" w:rsidRDefault="00D546CF"/>
    <w:sectPr w:rsidR="00D546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A06E67"/>
    <w:rsid w:val="006C0677"/>
    <w:rsid w:val="006D13EF"/>
    <w:rsid w:val="00A06E67"/>
    <w:rsid w:val="00D546CF"/>
    <w:rsid w:val="00FF2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E67"/>
    <w:pPr>
      <w:widowControl w:val="0"/>
      <w:spacing w:after="0"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6E6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06E67"/>
    <w:rPr>
      <w:sz w:val="24"/>
      <w:szCs w:val="24"/>
    </w:rPr>
  </w:style>
  <w:style w:type="character" w:customStyle="1" w:styleId="CommentTextChar">
    <w:name w:val="Comment Text Char"/>
    <w:basedOn w:val="DefaultParagraphFont"/>
    <w:link w:val="CommentText"/>
    <w:uiPriority w:val="99"/>
    <w:rsid w:val="00A06E67"/>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E67"/>
    <w:pPr>
      <w:widowControl w:val="0"/>
      <w:spacing w:after="0"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6E6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06E67"/>
    <w:rPr>
      <w:sz w:val="24"/>
      <w:szCs w:val="24"/>
    </w:rPr>
  </w:style>
  <w:style w:type="character" w:customStyle="1" w:styleId="CommentTextChar">
    <w:name w:val="Comment Text Char"/>
    <w:basedOn w:val="DefaultParagraphFont"/>
    <w:link w:val="CommentText"/>
    <w:uiPriority w:val="99"/>
    <w:rsid w:val="00A06E67"/>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2067</Words>
  <Characters>13085</Characters>
  <Application>Microsoft Office Word</Application>
  <DocSecurity>0</DocSecurity>
  <Lines>1635</Lines>
  <Paragraphs>459</Paragraphs>
  <ScaleCrop>false</ScaleCrop>
  <Company/>
  <LinksUpToDate>false</LinksUpToDate>
  <CharactersWithSpaces>14693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T101HA</dc:creator>
  <cp:keywords/>
  <dc:description/>
  <cp:lastModifiedBy>CABRENICA</cp:lastModifiedBy>
  <cp:revision>5</cp:revision>
  <dcterms:created xsi:type="dcterms:W3CDTF">2017-11-25T05:26:00Z</dcterms:created>
  <dcterms:modified xsi:type="dcterms:W3CDTF">2018-02-13T11:29:00Z</dcterms:modified>
</cp:coreProperties>
</file>