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FF8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8"/>
          <w:szCs w:val="28"/>
          <w:u w:val="none"/>
          <w:lang w:val="en-US" w:eastAsia="zh-CN" w:bidi="ar"/>
        </w:rPr>
      </w:pPr>
      <w:r>
        <w:rPr>
          <w:rFonts w:hint="default" w:ascii="Times New Roman" w:hAnsi="Times New Roman" w:eastAsia="宋体" w:cs="Times New Roman"/>
          <w:b/>
          <w:bCs/>
          <w:i w:val="0"/>
          <w:iCs w:val="0"/>
          <w:color w:val="000000"/>
          <w:kern w:val="0"/>
          <w:sz w:val="28"/>
          <w:szCs w:val="28"/>
          <w:u w:val="none"/>
          <w:lang w:val="en-US" w:eastAsia="zh-CN" w:bidi="ar"/>
        </w:rPr>
        <w:t>Supplementary Table S1. Detailed characteristics of included studies.</w:t>
      </w:r>
    </w:p>
    <w:p w14:paraId="18B73353">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宋体" w:cs="Times New Roman"/>
          <w:b/>
          <w:bCs/>
          <w:i w:val="0"/>
          <w:iCs w:val="0"/>
          <w:color w:val="000000"/>
          <w:kern w:val="0"/>
          <w:sz w:val="28"/>
          <w:szCs w:val="28"/>
          <w:u w:val="none"/>
          <w:lang w:val="en-US" w:eastAsia="zh-CN" w:bidi="ar"/>
        </w:rPr>
      </w:pPr>
      <w:bookmarkStart w:id="0" w:name="_GoBack"/>
      <w:bookmarkEnd w:id="0"/>
    </w:p>
    <w:p w14:paraId="0FE6F6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28"/>
          <w:szCs w:val="28"/>
          <w:u w:val="none"/>
          <w:lang w:val="en-US" w:eastAsia="zh-CN" w:bidi="ar"/>
        </w:rPr>
      </w:pPr>
    </w:p>
    <w:tbl>
      <w:tblPr>
        <w:tblStyle w:val="2"/>
        <w:tblW w:w="98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779"/>
        <w:gridCol w:w="618"/>
        <w:gridCol w:w="768"/>
        <w:gridCol w:w="676"/>
        <w:gridCol w:w="1391"/>
        <w:gridCol w:w="1084"/>
        <w:gridCol w:w="1551"/>
        <w:gridCol w:w="480"/>
        <w:gridCol w:w="852"/>
      </w:tblGrid>
      <w:tr w14:paraId="181B2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658"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A0D95FB">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Author</w:t>
            </w:r>
          </w:p>
        </w:tc>
        <w:tc>
          <w:tcPr>
            <w:tcW w:w="1779"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55AD6A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F1115"/>
                <w:kern w:val="0"/>
                <w:sz w:val="13"/>
                <w:szCs w:val="13"/>
                <w:u w:val="none"/>
                <w:lang w:val="en-US" w:eastAsia="zh-CN" w:bidi="ar"/>
              </w:rPr>
            </w:pPr>
            <w:r>
              <w:rPr>
                <w:rFonts w:hint="default" w:ascii="Times New Roman" w:hAnsi="Times New Roman" w:eastAsia="宋体" w:cs="Times New Roman"/>
                <w:b/>
                <w:bCs/>
                <w:i w:val="0"/>
                <w:iCs w:val="0"/>
                <w:color w:val="0F1115"/>
                <w:kern w:val="0"/>
                <w:sz w:val="13"/>
                <w:szCs w:val="13"/>
                <w:u w:val="none"/>
                <w:lang w:val="en-US" w:eastAsia="zh-CN" w:bidi="ar"/>
              </w:rPr>
              <w:t>Population Characteristics</w:t>
            </w:r>
          </w:p>
          <w:p w14:paraId="1DDC66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F1115"/>
                <w:sz w:val="13"/>
                <w:szCs w:val="13"/>
                <w:u w:val="none"/>
              </w:rPr>
            </w:pPr>
            <w:r>
              <w:rPr>
                <w:rFonts w:hint="default" w:ascii="Times New Roman" w:hAnsi="Times New Roman" w:eastAsia="宋体" w:cs="Times New Roman"/>
                <w:b/>
                <w:bCs/>
                <w:i w:val="0"/>
                <w:iCs w:val="0"/>
                <w:color w:val="0F1115"/>
                <w:kern w:val="0"/>
                <w:sz w:val="13"/>
                <w:szCs w:val="13"/>
                <w:u w:val="none"/>
                <w:lang w:val="en-US" w:eastAsia="zh-CN" w:bidi="ar"/>
              </w:rPr>
              <w:t>（GA,BW，CGA, Key Comorbidities)</w:t>
            </w:r>
          </w:p>
        </w:tc>
        <w:tc>
          <w:tcPr>
            <w:tcW w:w="618"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BF05A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Study Design</w:t>
            </w:r>
          </w:p>
        </w:tc>
        <w:tc>
          <w:tcPr>
            <w:tcW w:w="768"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176A6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F1115"/>
                <w:sz w:val="13"/>
                <w:szCs w:val="13"/>
                <w:u w:val="none"/>
              </w:rPr>
            </w:pPr>
            <w:r>
              <w:rPr>
                <w:rFonts w:hint="default" w:ascii="Times New Roman" w:hAnsi="Times New Roman" w:eastAsia="宋体" w:cs="Times New Roman"/>
                <w:b/>
                <w:bCs/>
                <w:i w:val="0"/>
                <w:iCs w:val="0"/>
                <w:color w:val="0F1115"/>
                <w:kern w:val="0"/>
                <w:sz w:val="13"/>
                <w:szCs w:val="13"/>
                <w:u w:val="none"/>
                <w:lang w:val="en-US" w:eastAsia="zh-CN" w:bidi="ar"/>
              </w:rPr>
              <w:t>Evidence Type</w:t>
            </w:r>
          </w:p>
        </w:tc>
        <w:tc>
          <w:tcPr>
            <w:tcW w:w="676"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78320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Sample Size</w:t>
            </w:r>
          </w:p>
        </w:tc>
        <w:tc>
          <w:tcPr>
            <w:tcW w:w="1391"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6B9AD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Intervention/Exposure Details</w:t>
            </w:r>
          </w:p>
        </w:tc>
        <w:tc>
          <w:tcPr>
            <w:tcW w:w="1084"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B2703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F1115"/>
                <w:sz w:val="13"/>
                <w:szCs w:val="13"/>
                <w:u w:val="none"/>
              </w:rPr>
            </w:pPr>
            <w:r>
              <w:rPr>
                <w:rFonts w:hint="default" w:ascii="Times New Roman" w:hAnsi="Times New Roman" w:eastAsia="宋体" w:cs="Times New Roman"/>
                <w:b/>
                <w:bCs/>
                <w:i w:val="0"/>
                <w:iCs w:val="0"/>
                <w:color w:val="0F1115"/>
                <w:kern w:val="0"/>
                <w:sz w:val="13"/>
                <w:szCs w:val="13"/>
                <w:u w:val="none"/>
                <w:lang w:val="en-US" w:eastAsia="zh-CN" w:bidi="ar"/>
              </w:rPr>
              <w:t>Key Outcomes Measured</w:t>
            </w:r>
          </w:p>
        </w:tc>
        <w:tc>
          <w:tcPr>
            <w:tcW w:w="1551"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96DBA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F1115"/>
                <w:sz w:val="13"/>
                <w:szCs w:val="13"/>
                <w:u w:val="none"/>
              </w:rPr>
            </w:pPr>
            <w:r>
              <w:rPr>
                <w:rFonts w:hint="default" w:ascii="Times New Roman" w:hAnsi="Times New Roman" w:eastAsia="宋体" w:cs="Times New Roman"/>
                <w:b/>
                <w:bCs/>
                <w:i w:val="0"/>
                <w:iCs w:val="0"/>
                <w:color w:val="0F1115"/>
                <w:kern w:val="0"/>
                <w:sz w:val="13"/>
                <w:szCs w:val="13"/>
                <w:u w:val="none"/>
                <w:lang w:val="en-US" w:eastAsia="zh-CN" w:bidi="ar"/>
              </w:rPr>
              <w:t>Effect</w:t>
            </w:r>
            <w:r>
              <w:rPr>
                <w:rFonts w:hint="eastAsia" w:ascii="Times New Roman" w:hAnsi="Times New Roman" w:eastAsia="宋体" w:cs="Times New Roman"/>
                <w:b/>
                <w:bCs/>
                <w:i w:val="0"/>
                <w:iCs w:val="0"/>
                <w:color w:val="0F1115"/>
                <w:kern w:val="0"/>
                <w:sz w:val="13"/>
                <w:szCs w:val="13"/>
                <w:u w:val="none"/>
                <w:lang w:val="en-US" w:eastAsia="zh-CN" w:bidi="ar"/>
              </w:rPr>
              <w:t xml:space="preserve"> </w:t>
            </w:r>
            <w:r>
              <w:rPr>
                <w:rFonts w:hint="default" w:ascii="Times New Roman" w:hAnsi="Times New Roman" w:eastAsia="宋体" w:cs="Times New Roman"/>
                <w:b/>
                <w:bCs/>
                <w:i w:val="0"/>
                <w:iCs w:val="0"/>
                <w:color w:val="0F1115"/>
                <w:kern w:val="0"/>
                <w:sz w:val="13"/>
                <w:szCs w:val="13"/>
                <w:u w:val="none"/>
                <w:lang w:val="en-US" w:eastAsia="zh-CN" w:bidi="ar"/>
              </w:rPr>
              <w:t>On Key Outcomes</w:t>
            </w:r>
          </w:p>
        </w:tc>
        <w:tc>
          <w:tcPr>
            <w:tcW w:w="480"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15862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Country</w:t>
            </w:r>
          </w:p>
        </w:tc>
        <w:tc>
          <w:tcPr>
            <w:tcW w:w="852"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49CBD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setting</w:t>
            </w:r>
          </w:p>
        </w:tc>
      </w:tr>
      <w:tr w14:paraId="1B0F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095FC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Aloysius and Lozano（2007）</w:t>
            </w:r>
          </w:p>
        </w:tc>
        <w:tc>
          <w:tcPr>
            <w:tcW w:w="1779"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55C144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25</w:t>
            </w:r>
            <w:r>
              <w:rPr>
                <w:rFonts w:hint="default" w:ascii="Times New Roman" w:hAnsi="Times New Roman" w:eastAsia="宋体" w:cs="Times New Roman"/>
                <w:i w:val="0"/>
                <w:iCs w:val="0"/>
                <w:color w:val="000000"/>
                <w:sz w:val="13"/>
                <w:szCs w:val="13"/>
                <w:u w:val="none"/>
                <w:vertAlign w:val="superscript"/>
              </w:rPr>
              <w:t>+5</w:t>
            </w:r>
            <w:r>
              <w:rPr>
                <w:rFonts w:hint="default" w:ascii="Times New Roman" w:hAnsi="Times New Roman" w:eastAsia="宋体" w:cs="Times New Roman"/>
                <w:i w:val="0"/>
                <w:iCs w:val="0"/>
                <w:color w:val="000000"/>
                <w:sz w:val="13"/>
                <w:szCs w:val="13"/>
                <w:u w:val="none"/>
              </w:rPr>
              <w:t>–40 wks (mean 32</w:t>
            </w:r>
            <w:r>
              <w:rPr>
                <w:rFonts w:hint="default" w:ascii="Times New Roman" w:hAnsi="Times New Roman" w:eastAsia="宋体" w:cs="Times New Roman"/>
                <w:i w:val="0"/>
                <w:iCs w:val="0"/>
                <w:color w:val="000000"/>
                <w:sz w:val="13"/>
                <w:szCs w:val="13"/>
                <w:u w:val="none"/>
                <w:vertAlign w:val="superscript"/>
              </w:rPr>
              <w:t>+3</w:t>
            </w:r>
            <w:r>
              <w:rPr>
                <w:rFonts w:hint="default" w:ascii="Times New Roman" w:hAnsi="Times New Roman" w:eastAsia="宋体" w:cs="Times New Roman"/>
                <w:i w:val="0"/>
                <w:iCs w:val="0"/>
                <w:color w:val="000000"/>
                <w:sz w:val="13"/>
                <w:szCs w:val="13"/>
                <w:u w:val="none"/>
              </w:rPr>
              <w:t xml:space="preserve"> wks); BW: NR; CGA at shield: 33</w:t>
            </w:r>
            <w:r>
              <w:rPr>
                <w:rFonts w:hint="default" w:ascii="Times New Roman" w:hAnsi="Times New Roman" w:eastAsia="宋体" w:cs="Times New Roman"/>
                <w:i w:val="0"/>
                <w:iCs w:val="0"/>
                <w:color w:val="000000"/>
                <w:sz w:val="13"/>
                <w:szCs w:val="13"/>
                <w:u w:val="none"/>
                <w:vertAlign w:val="superscript"/>
              </w:rPr>
              <w:t>+6</w:t>
            </w:r>
            <w:r>
              <w:rPr>
                <w:rFonts w:hint="default" w:ascii="Times New Roman" w:hAnsi="Times New Roman" w:eastAsia="宋体" w:cs="Times New Roman"/>
                <w:i w:val="0"/>
                <w:iCs w:val="0"/>
                <w:color w:val="000000"/>
                <w:sz w:val="13"/>
                <w:szCs w:val="13"/>
                <w:u w:val="none"/>
              </w:rPr>
              <w:t>–40</w:t>
            </w:r>
            <w:r>
              <w:rPr>
                <w:rFonts w:hint="default" w:ascii="Times New Roman" w:hAnsi="Times New Roman" w:eastAsia="宋体" w:cs="Times New Roman"/>
                <w:i w:val="0"/>
                <w:iCs w:val="0"/>
                <w:color w:val="000000"/>
                <w:sz w:val="13"/>
                <w:szCs w:val="13"/>
                <w:u w:val="none"/>
                <w:vertAlign w:val="superscript"/>
              </w:rPr>
              <w:t xml:space="preserve">+2 </w:t>
            </w:r>
            <w:r>
              <w:rPr>
                <w:rFonts w:hint="default" w:ascii="Times New Roman" w:hAnsi="Times New Roman" w:eastAsia="宋体" w:cs="Times New Roman"/>
                <w:i w:val="0"/>
                <w:iCs w:val="0"/>
                <w:color w:val="000000"/>
                <w:sz w:val="13"/>
                <w:szCs w:val="13"/>
                <w:u w:val="none"/>
              </w:rPr>
              <w:t>wks (mean 36</w:t>
            </w:r>
            <w:r>
              <w:rPr>
                <w:rFonts w:hint="default" w:ascii="Times New Roman" w:hAnsi="Times New Roman" w:eastAsia="宋体" w:cs="Times New Roman"/>
                <w:i w:val="0"/>
                <w:iCs w:val="0"/>
                <w:color w:val="000000"/>
                <w:sz w:val="13"/>
                <w:szCs w:val="13"/>
                <w:u w:val="none"/>
                <w:vertAlign w:val="superscript"/>
              </w:rPr>
              <w:t>+4</w:t>
            </w:r>
            <w:r>
              <w:rPr>
                <w:rFonts w:hint="default" w:ascii="Times New Roman" w:hAnsi="Times New Roman" w:eastAsia="宋体" w:cs="Times New Roman"/>
                <w:i w:val="0"/>
                <w:iCs w:val="0"/>
                <w:color w:val="000000"/>
                <w:sz w:val="13"/>
                <w:szCs w:val="13"/>
                <w:u w:val="none"/>
              </w:rPr>
              <w:t xml:space="preserve"> wks). Key comorbidities: 1 IUGR. Neurological status: No severe complications reported.</w:t>
            </w:r>
          </w:p>
        </w:tc>
        <w:tc>
          <w:tcPr>
            <w:tcW w:w="618"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33EF23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Survey</w:t>
            </w:r>
          </w:p>
        </w:tc>
        <w:tc>
          <w:tcPr>
            <w:tcW w:w="768"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858A6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88CDEC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12 preterm infants</w:t>
            </w:r>
          </w:p>
        </w:tc>
        <w:tc>
          <w:tcPr>
            <w:tcW w:w="1391"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505CA45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Nipple shields used for preterm infants with breastfeeding difficulties</w:t>
            </w:r>
          </w:p>
        </w:tc>
        <w:tc>
          <w:tcPr>
            <w:tcW w:w="1084"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4EA9E5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Latch success, Feeding transition (formula to breast), Long-term breastfeeding status at discharge</w:t>
            </w:r>
          </w:p>
        </w:tc>
        <w:tc>
          <w:tcPr>
            <w:tcW w:w="1551"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1F38093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Short-term: 11/12 achieved effective latch; 1/12 transitioned to formula. Long-term: 10/12 discharged on partial/exclusive breastfeeding</w:t>
            </w:r>
          </w:p>
        </w:tc>
        <w:tc>
          <w:tcPr>
            <w:tcW w:w="480"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792F81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UK</w:t>
            </w:r>
          </w:p>
        </w:tc>
        <w:tc>
          <w:tcPr>
            <w:tcW w:w="852"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0D04D9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Neonatal intensive care unit</w:t>
            </w:r>
          </w:p>
        </w:tc>
      </w:tr>
      <w:tr w14:paraId="372A2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33BBE7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Bodley and Powers（1996）</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50846C9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GA/BW/CGA: NR. Primary issues: 9 infants had latching difficulty, 1 due to severe nipple soreness.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5EBDBD4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Case report</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1FD0408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27511C1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10</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6DC23F7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Use of a thin, silicone nipple shield. Duration varied from 2 weeks to 3.5 months. Indications: to assist latch and for nipple pain</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2D611E1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Infant weight gain (comparison of actual weight at 3 weeks, 2 months, 4 months with expected weight).</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Age at cessation of shield use.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Final feeding method (direct breastfeeding/bottle-feeding).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Maternal perceptions of the experience.</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2866DC6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Weight Gain: All 10 infants had weight gain that was appropriate or above expected for age at 3 weeks, 2 months, and 4 months.</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Cessation of Use: All infants ceased using the shield by 3.5 months of age.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Feeding Outcome: 9 infants (9/10) successfully transitioned to direct breastfeeding; 1 infant (1/10) transitioned to bottle-feeding.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Maternal Experience: 9 mothers reported a positive experience, stating the shield enabled continued breastfeeding; 1 mother found it helpful but inconvenient.</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5A3A6D9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22C7F45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Private lactation consultation practice</w:t>
            </w:r>
          </w:p>
        </w:tc>
      </w:tr>
      <w:tr w14:paraId="7D9DD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71E195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Clum and Primomo（1996）</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4FBD868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25-36 wks (mean 31 wks); BW: 820-3280 g (mean 1550.8 g); CGA at 1st breastfeeding: 32-39 wks (mean 34.2 wks); Age at 1st shield use: 7-66 days (mean 29 days).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55710E6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Clinical review</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289490D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6E2A5FF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15 (from 30 charts reviewed)</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347E495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Use of a small, newborn-size silicone nipple shield. Introduced after mothers attempted breastfeeding for an average of 5 days without success (inadequate intake or inability to latch)</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56A8F0B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Milk intake volume (cc) at first use​ of nipple shield, measured by test weighing.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Intake as a percentage of prescribed feeding amount.</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Breastfeeding status at discharge (full/partial).</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Continued nipple shield use at discharge.</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0B50435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Milk Intake: At first use, 9/15 infants (60%) consumed ≥50% of prescribed amount; 6/15 consumed &lt;50%.</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Feeding Outcome at Discharge: 14/15 infants (93%) were breastfeeding (full or partial). 10/14 were exclusively/almost exclusively breastfed.</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Shield Use at Discharge: 3/14 infants were partially using or weaning from the shield.</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Observation: Infants with higher intake tended to have higher BW, attempted feeding at earlier age, and larger prescribed amounts.</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7D1D895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3EB5A50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Neonatal intensive care unit</w:t>
            </w:r>
          </w:p>
        </w:tc>
      </w:tr>
      <w:tr w14:paraId="72885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6CDB145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Dougherty et al.（2008）</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7CF3F1D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Population: ELBW infants. Specific GA/BW/CGA: NR (Framework description).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306FCE5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Evidence-based quality improvement project / clinical care map development</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19AB36D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Secondary Evidence</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7163D7C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 (Describes framework, not a study)</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47B321F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Development and description of a Feeding Care Map​ for ELBW infants in the NICU. The map outlines a structured, multi-phase approach from admission to discharge, integrating key practices: Kangaroo Care, transition from tube to breast (5 phases), use of nipple shields, test weighing, positioning, etc.</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5D52D83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 xml:space="preserve">The article aims to describe a framework for clinical practice, not to measure specific outcomes in a study. </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4047E28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 xml:space="preserve">It synthesizes existing evidence to propose that the systematic application of the Feeding Care Map can help overcome barriers, optimize breast milk use, and lay the groundwork for successful breastfeeding in ELBW infants. </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5C8FED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Canada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7A1BAAA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Neonatal intensive care unit</w:t>
            </w:r>
          </w:p>
        </w:tc>
      </w:tr>
      <w:tr w14:paraId="520DE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4C97E4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Eglash et al.（2010）</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01FC2E0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Population: Health professionals. Infant GA/BW/CGA/Comorbidities: Not applicable.</w:t>
            </w:r>
          </w:p>
          <w:p w14:paraId="70D1E4D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151F90C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Investigative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117486D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6B29D44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490</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478BC4E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Web-based survey assessing health professionals' self-reported practices, attitudes, and concerns regarding the use of nipple shields.</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7E37635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Most common reasons for recommending nipple shields.</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Frequency of use in different infant populations (e.g., &lt;35 weeks GA, &gt;35 weeks GA &amp; &lt;3 days old).</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Level of concern regarding various issues (e.g., lack of follow-up).</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Most frequently heard maternal feedback.</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1CAD304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High usage: 92% of respondents used nipple shields in practice.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Primary reason: To help infants &lt;35 weeks GA​ latch and nurse.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Common maternal feedback: Most frequently reported that shields "are helpful". Mothers also commonly desired to stop using them.</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1FFD9D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670E7E1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National online survey across clinical settings</w:t>
            </w:r>
          </w:p>
        </w:tc>
      </w:tr>
      <w:tr w14:paraId="77293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5BAB51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Flacking and Dykes（2017）</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73B2CC7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Median 31 wks; BW: Mean 1599 g; 3 sets of twins. CGA at intervention: NR.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73318C1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Ethnographic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74AE882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6509850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74 participants (12 mothers, 3 fathers, 9 staff)</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0682AE5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Observations and in-depth interviews exploring perceptions and experiences of nipple shield use in neonatal units</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190A28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Parent and staff perceptions of the nipple shield (benefits, drawbacks, emotional impact).</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Experiences of using the nipple shield in the breastfeeding process.</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0C96791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1.Nipple shield was both a physical/emotional barrier (“something in between”)​ undermining maternal confidence, and at times a facilitator of tranquil moments​ when feeding succeeded.</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2.Nipple shield was viewed as a tool to help infants “learn quicker”, as a short-term solution​ for latch issues, and as a “rescue remedy”​ to prevent breastfeeding cessation, but also as a potential hindrance to weaning.</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1A2976C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UK+Sweden</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440A0AE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hospital neonatal units and postnatal wards</w:t>
            </w:r>
          </w:p>
        </w:tc>
      </w:tr>
      <w:tr w14:paraId="2E96D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765373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Geddes et al.（2017）</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26FB3CF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23.6-33.3 wks (mean: 29.9 wks); BW: 540-2080 g (mean: 1364 g); CGA at study: 32.7-39.9 wks (mean: 35.8 wks).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5B0D2D8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Cross-sectional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0B04075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15C7B04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38 (mother-infant dyads)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26535CC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Monitoring a single breastfeed using synchronized ultrasound imaging, intra-oral vacuum measurement, and test weighing. 32/38 infants fed with a nipple shield.</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66DF326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Infant intra-oral vacuum generation, pattern, and strength.</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Tongue movement during breastfeeding.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Milk intake (via test weighing).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Relationships between sucking dynamics and milk intake.</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1603A17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Nipple Shield Effect: Mean and peak intra-oral vacuums were significantly weaker​ when infants fed with a nipple shield (M: p=0.012; P: p=0.021).</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Milk Intake Factors: Milk intake was higher with longer sucking time, a greater proportion of feed spent sucking, and higher sucking efficiency. Vacuum strength itself was not associated with milk intake.</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069C069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Australia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38343F2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tertiary care hospital neonatal unit and paediatric outpatient clinic</w:t>
            </w:r>
          </w:p>
        </w:tc>
      </w:tr>
      <w:tr w14:paraId="7FE4E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47C418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Geddes et al.（2018）</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42595E4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 xml:space="preserve">GA: 23.6–33.3 wks (mean: 29.2 wks); BW: 540–1940 g (mean: 1218 g); CGA: 35.9–40.1 wks (mean: 37.1 wks). Key comorbidities: 15/17 required respiratory support. Neurological status: NR. </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113581B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Experimental comparative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2590DE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444CAD9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17 (mother-infant dyads)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6D961B8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 xml:space="preserve">Mechanistic comparison of a single breastfeed (15/17 used a nipple shield) vs. a single feed with a novel teat designed to release milk only upon vacuum application. </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27AEB6D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Tongue movement pattern (N-HSPJ distance, intra-oral depth, nipple diameter).</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Intra-oral vacuum strength (baseline, mean, peak).</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Milk intake (volume, transfer rate).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Cardiorespiratory events (bradycardia, desaturation).</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23FFDC1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Tongue Movement: Pattern was similar​ between breastfeeding (with/without nipple shield) and the novel teat.</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Intra-oral Vacuum: Strength was significantly weaker​ with the novel teat.</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Milk Intake: Significantly higher​ with the novel teat (33 mL vs. 12 mL, p=0.007) and closer to prescribed volume.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Cardiorespiratory Events: Few events; no clear pattern of difference between feed types.</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50B6CF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Australia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1AB1C2F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Neonatal intensive care unit</w:t>
            </w:r>
          </w:p>
        </w:tc>
      </w:tr>
      <w:tr w14:paraId="15724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0CA44D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Hallowell et al.（2012）</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7F6C148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Population: Late-preterm infants (GA 34 0/7 – 36 6/7 wks). GA/BW/CGA (specific): NR (Narrative review).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68E07D4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Narrative review/evidence-based guideline</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23F7DB9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Secondary Evidence</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233A673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 (Review article)</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7BA30FD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It discusses a 10-step care model for vulnerable infants, which includes the use of nipple shields as a supportive tool for latching.</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1C7EBBF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Relationship between brain development and feeding in late-preterm infants.</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Challenges in establishing breastfeeding (e.g., weak suck, poor coordination).</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Strategies to promote and protect breastfeeding in this population.</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4C4B153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Brain immaturity (esp. in white matter growth) underpins feeding difficulties in late-preterm infants.</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The use of nipple shield can help compensate for weak intra-oral vacuum and encourage latching.</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5C5BFB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3D55825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Neonatal clinical settings, guideline development</w:t>
            </w:r>
          </w:p>
        </w:tc>
      </w:tr>
      <w:tr w14:paraId="1153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3F0CE8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Isaacson et al.（2006）</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7698A3A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Population: Premature infants. Specific GA/BW/CGA: NR (Review article).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4E29879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Narrative review/evidence-based guideline</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635815E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Secondary Evidence</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36B7F34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 (Review/Guideline article)</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7AF40B4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 structured, multi-factorial approach for NICU breastfeeding,  including using supportive positions, and employing the nipple shield as a compensatory tool for infants with latch or suck difficulties.</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6B0C9C2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Establishment of a successful breastfeeding process for premature infants in the NICU.</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Identification and management of obstacles to breastfeeding.</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41A87CC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1.The paper does not report new quantitative findings. 2. Nipple shield is recommended until approximately the infant's expected due date.</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036B28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40E4107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Neonatal clinical guideline setting</w:t>
            </w:r>
          </w:p>
        </w:tc>
      </w:tr>
      <w:tr w14:paraId="7B088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1C4989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Jonsdottir et al.（2019）</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17C2D9B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LPT infants.GA: 34</w:t>
            </w:r>
            <w:r>
              <w:rPr>
                <w:rFonts w:hint="default" w:ascii="Times New Roman" w:hAnsi="Times New Roman" w:eastAsia="宋体" w:cs="Times New Roman"/>
                <w:i w:val="0"/>
                <w:iCs w:val="0"/>
                <w:color w:val="000000"/>
                <w:kern w:val="0"/>
                <w:sz w:val="13"/>
                <w:szCs w:val="13"/>
                <w:u w:val="none"/>
                <w:vertAlign w:val="superscript"/>
                <w:lang w:val="en-US" w:eastAsia="zh-CN" w:bidi="ar"/>
              </w:rPr>
              <w:t>+0</w:t>
            </w:r>
            <w:r>
              <w:rPr>
                <w:rFonts w:hint="default" w:ascii="Times New Roman" w:hAnsi="Times New Roman" w:eastAsia="宋体" w:cs="Times New Roman"/>
                <w:i w:val="0"/>
                <w:iCs w:val="0"/>
                <w:color w:val="000000"/>
                <w:kern w:val="0"/>
                <w:sz w:val="13"/>
                <w:szCs w:val="13"/>
                <w:u w:val="none"/>
                <w:lang w:val="en-US" w:eastAsia="zh-CN" w:bidi="ar"/>
              </w:rPr>
              <w:t>–36</w:t>
            </w:r>
            <w:r>
              <w:rPr>
                <w:rFonts w:hint="default" w:ascii="Times New Roman" w:hAnsi="Times New Roman" w:eastAsia="宋体" w:cs="Times New Roman"/>
                <w:i w:val="0"/>
                <w:iCs w:val="0"/>
                <w:color w:val="000000"/>
                <w:kern w:val="0"/>
                <w:sz w:val="13"/>
                <w:szCs w:val="13"/>
                <w:u w:val="none"/>
                <w:vertAlign w:val="superscript"/>
                <w:lang w:val="en-US" w:eastAsia="zh-CN" w:bidi="ar"/>
              </w:rPr>
              <w:t>+6</w:t>
            </w:r>
            <w:r>
              <w:rPr>
                <w:rFonts w:hint="default" w:ascii="Times New Roman" w:hAnsi="Times New Roman" w:eastAsia="宋体" w:cs="Times New Roman"/>
                <w:i w:val="0"/>
                <w:iCs w:val="0"/>
                <w:color w:val="000000"/>
                <w:kern w:val="0"/>
                <w:sz w:val="13"/>
                <w:szCs w:val="13"/>
                <w:u w:val="none"/>
                <w:lang w:val="en-US" w:eastAsia="zh-CN" w:bidi="ar"/>
              </w:rPr>
              <w:t xml:space="preserve"> wks (LPT infants). CGA at assessment: NR. Key comorbidities: NR. Neurological status: No severe complications.</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4D1289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Cohort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4B8A55E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13170A6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391 (mother-infant dyads)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53DFE00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Observational study comparing breastfeeding practices and outcomes. Exposure/Intervention: Mothers' self-reported use of nipple shields, test-weighing, pacifiers, and other methods.</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4E128ED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Primary Outcome: Exclusive breastfeeding at breast (EBFB) at 1 week and 1 month.</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Breast milk feeding (exclusive/partial/none).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Infant feeding behaviour (weak suck, stamina, wakefulness).</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Maternal feeding difficulties.</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12EC451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Nipple Shield Use at 1 Week:​ More common in LPT infants than in term infants (17%).</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6E250C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Iceland</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1DF5D51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National maternity and community health settings</w:t>
            </w:r>
          </w:p>
        </w:tc>
      </w:tr>
      <w:tr w14:paraId="28BD2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274507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Kronborg et al.（2017）</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5D107A9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GA/BW/CGA: NR.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64BF827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Cross-sectional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341A43B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 xml:space="preserve">Primary Study </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44C7D0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4815 （mother-infant pairs）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30B7629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Maternal self-reported use of nipple shields (“never”, “in the beginning”, “all the time”) via a questionnaire at 6 months postpartum.</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3DC930E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Prevalence and reasons for nipple shield use.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Maternal and infant characteristics associated with nipple shield use.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Duration of exclusive breastfeeding.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Association between nipple shield use and EBF duration.</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0D522F9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1.22% of mothers used nipple shields “in the beginning”; 7% used them “all the time”.2.Shield use was linked to: Primiparity, younger maternal age, lower infant GA/BW, pacifier use, and early breastfeeding problems (latching, pain).</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445CED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Denmark</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52F2C9A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National maternity and community health settings</w:t>
            </w:r>
          </w:p>
        </w:tc>
      </w:tr>
      <w:tr w14:paraId="7FCF3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6C14A6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Laura R. Kair et al.（2015）</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57BBCF7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Mean 35.4 wks; BW: NR; CGA at intervention: NR (Interviews post-weaning).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329DD0C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Qualitative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6107F8D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0E63606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44 mothers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78E1012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Interviews explored the overall breastfeeding experience, reasons for weaning, and satisfaction with weaning.</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7613E59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1.Mothers' overall feelings and experiences regarding breastfeeding their LPT infant.</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2.Identification of perceived barriers and facilitators.</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76387F4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The authors suggest interventions including: (1) nipple shields to assist with latching, (2) strategies to reduce pumping burden, (3) improved provider lactation support post-discharge.</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293CED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12400B0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Hospital neonatal units &amp; community settings</w:t>
            </w:r>
          </w:p>
        </w:tc>
      </w:tr>
      <w:tr w14:paraId="22815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4559DB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Lina Palmér, Jenny Ericson（2019）</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2B6E1B7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&lt; 37 wks. Specific GA/BW/CGA: NR.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5E43CBD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Qualitative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6A34F1C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5555DF9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270 mothers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04F47AC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 xml:space="preserve">Data derived from written comments (n=496) provided by mothers in follow-up questionnaires at 8 weeks, 6 months, and 12 months postpartum. </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6C3B701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Mothers' experiences and perceptions of breastfeeding their preterm infants during the first 12 months postpartum.</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Themes describing the nature and challenges of the breastfeeding journey.</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54E1EDE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Navigating in ambiguity: The experience was mixed. Regarding nipple shields, they were described as either a “saving solution”​ that helped latch or a “hindrance”​ that was bothersome and from which mothers wished to wean.</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409E88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Sweden</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70AE308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Hospital neonatal units &amp; postnatal wards</w:t>
            </w:r>
          </w:p>
        </w:tc>
      </w:tr>
      <w:tr w14:paraId="6CA8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39A9A0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Meier et al.（2000）</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1765347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31.9±3.0 wks; BW: 1702±521 g; CGA at intervention: NR. Key comorbidities: NR. Neurological status: No severe complications.</w:t>
            </w:r>
          </w:p>
          <w:p w14:paraId="68A5967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330099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Retrospective analysis</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3BA53A5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0E6F5C0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34</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1D5895F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Use of an ultrathin silicone nipple shield introduced by advanced practice nurses for specific indications (e.g., poor latch, slipping off, falling asleep) to increase milk intake.</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78DF139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Primary: Milk intake (mL) during consecutive feedings (without vs. with nipple shield), measured by test-weighing.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Secondary: Duration of nipple shield use (days); Total duration of breastfeeding.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Association between nipple shield use duration and total breastfeeding duration.</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00026E8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 xml:space="preserve">1. Milk Transfer: Mean intake increased significantly with nipple shield use (18.4 mL vs. 3.9 mL, p=0.0001). </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Nipple Shield Use Duration: Mean 32.5 days ;Breastfeeding Duration: Mean 169.4 days .</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Association: No significant correlation​ found between duration of nipple shield use and total breastfeeding duration (r=0.1206, p=0.50).</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0CD298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331AFC4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Neonatal intensive care unit</w:t>
            </w:r>
          </w:p>
        </w:tc>
      </w:tr>
      <w:tr w14:paraId="71FD9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1FBBF5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Meier, et al.（2007）</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103147F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Population: Late preterm infants (GA 34</w:t>
            </w:r>
            <w:r>
              <w:rPr>
                <w:rFonts w:hint="default" w:ascii="Times New Roman" w:hAnsi="Times New Roman" w:eastAsia="宋体" w:cs="Times New Roman"/>
                <w:i w:val="0"/>
                <w:iCs w:val="0"/>
                <w:color w:val="000000"/>
                <w:sz w:val="13"/>
                <w:szCs w:val="13"/>
                <w:u w:val="none"/>
                <w:vertAlign w:val="superscript"/>
              </w:rPr>
              <w:t>+0</w:t>
            </w:r>
            <w:r>
              <w:rPr>
                <w:rFonts w:hint="default" w:ascii="Times New Roman" w:hAnsi="Times New Roman" w:eastAsia="宋体" w:cs="Times New Roman"/>
                <w:i w:val="0"/>
                <w:iCs w:val="0"/>
                <w:color w:val="000000"/>
                <w:sz w:val="13"/>
                <w:szCs w:val="13"/>
                <w:u w:val="none"/>
              </w:rPr>
              <w:t>–36</w:t>
            </w:r>
            <w:r>
              <w:rPr>
                <w:rFonts w:hint="default" w:ascii="Times New Roman" w:hAnsi="Times New Roman" w:eastAsia="宋体" w:cs="Times New Roman"/>
                <w:i w:val="0"/>
                <w:iCs w:val="0"/>
                <w:color w:val="000000"/>
                <w:sz w:val="13"/>
                <w:szCs w:val="13"/>
                <w:u w:val="none"/>
                <w:vertAlign w:val="superscript"/>
              </w:rPr>
              <w:t>+6</w:t>
            </w:r>
            <w:r>
              <w:rPr>
                <w:rFonts w:hint="default" w:ascii="Times New Roman" w:hAnsi="Times New Roman" w:eastAsia="宋体" w:cs="Times New Roman"/>
                <w:i w:val="0"/>
                <w:iCs w:val="0"/>
                <w:color w:val="000000"/>
                <w:sz w:val="13"/>
                <w:szCs w:val="13"/>
                <w:u w:val="none"/>
              </w:rPr>
              <w:t xml:space="preserve"> wks) and mothers. Specific GA/BW/CGA: NR (Review).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7B6A0E1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Narrative review/evidence-based guideline</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753F6F7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Secondary Evidence</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26363A8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 (Review article)</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7852316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 review of evidence and proposed management strategies to protect breastfeeding for late preterm dyads</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50BB63E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Assessment of risk factors (e.g., delayed lactogenesis, weak infant suck).</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Evaluation of strategies to mitigate these risks and support successful breastfeeding.</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63E128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Combined with in-home test-weighing, nipple shield use can be part of a safe discharge plan to ensure adequate infant intake and prevent morbidity.</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It should be used as a temporary aid​ until the infant matures.</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408994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5E4512D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Neonatal clinical guideline setting</w:t>
            </w:r>
          </w:p>
        </w:tc>
      </w:tr>
      <w:tr w14:paraId="40F9A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749E91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Maastrup et al.（2014）</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350D2AD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Median 34</w:t>
            </w:r>
            <w:r>
              <w:rPr>
                <w:rFonts w:hint="default" w:ascii="Times New Roman" w:hAnsi="Times New Roman" w:eastAsia="宋体" w:cs="Times New Roman"/>
                <w:i w:val="0"/>
                <w:iCs w:val="0"/>
                <w:color w:val="000000"/>
                <w:sz w:val="13"/>
                <w:szCs w:val="13"/>
                <w:u w:val="none"/>
                <w:vertAlign w:val="superscript"/>
              </w:rPr>
              <w:t>+1</w:t>
            </w:r>
            <w:r>
              <w:rPr>
                <w:rFonts w:hint="default" w:ascii="Times New Roman" w:hAnsi="Times New Roman" w:eastAsia="宋体" w:cs="Times New Roman"/>
                <w:i w:val="0"/>
                <w:iCs w:val="0"/>
                <w:color w:val="000000"/>
                <w:sz w:val="13"/>
                <w:szCs w:val="13"/>
                <w:u w:val="none"/>
              </w:rPr>
              <w:t xml:space="preserve"> wks; BW: 2094±582 g; CGA at EBF establishment: 36.7±1.2 wks. Key comorbidities: NR. Neurological status: NR.</w:t>
            </w:r>
          </w:p>
          <w:p w14:paraId="0AA16B3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77AA88A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cohort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34883D3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6BD6D9D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858 (for regression analysis)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3ED4D68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The use of a nipple shield was one of the clinical practices analyzed as an explanatory variable​ (exposure factor) to see if it was associated with the timing of establishing exclusive breastfeeding.</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4BA22D7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Postmenstrual age (PMA)​ at the establishment of exclusive breastfeeding.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Whether nipple shield use​ was a factor associated with the PMA at establishment of exclusive breastfeeding.</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319117E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Association with Timing of EBF: In the univariate linear regression analysis, nipple shield use showed no statistically significant association​ with the PMA at the establishment of exclusive breastfeeding (difference of 0.2 days, 95% CI: -0.9 to 1.3, p=0.743).</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301D84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Denmark</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5643E5D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National neonatal units &amp; community health settings</w:t>
            </w:r>
          </w:p>
        </w:tc>
      </w:tr>
      <w:tr w14:paraId="2EBA2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430123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Maastrup et al.（2014)</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5ECE6B2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Median 34</w:t>
            </w:r>
            <w:r>
              <w:rPr>
                <w:rFonts w:hint="default" w:ascii="Times New Roman" w:hAnsi="Times New Roman" w:eastAsia="宋体" w:cs="Times New Roman"/>
                <w:i w:val="0"/>
                <w:iCs w:val="0"/>
                <w:color w:val="000000"/>
                <w:sz w:val="13"/>
                <w:szCs w:val="13"/>
                <w:u w:val="none"/>
                <w:vertAlign w:val="superscript"/>
              </w:rPr>
              <w:t xml:space="preserve">+1 </w:t>
            </w:r>
            <w:r>
              <w:rPr>
                <w:rFonts w:hint="default" w:ascii="Times New Roman" w:hAnsi="Times New Roman" w:eastAsia="宋体" w:cs="Times New Roman"/>
                <w:i w:val="0"/>
                <w:iCs w:val="0"/>
                <w:color w:val="000000"/>
                <w:sz w:val="13"/>
                <w:szCs w:val="13"/>
                <w:u w:val="none"/>
              </w:rPr>
              <w:t>wks; BW: 2094±582 g; CGA: (initiation: 34.4±1.8 wks; first complete breastfeeding: 36.1±1.2 wks).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208746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cohort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17624A1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3A05A17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1488 infants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2F1B998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The use of a nipple shield during hospitalization was one of the clinical practices analyzed as an exposure factor</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04E559A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Primary Outcome: Exclusive breastfeeding at discharge.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Secondary Outcome: Adequate duration of exclusive breastfeeding (as per national guidelines).</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Association between nipple shield use and the above outcomes.</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3F38E15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Association with Exclusive Breastfeeding at Discharge: In adjusted analysis, nipple shield use was associated with a 2.3-fold increased risk​ (OR 2.3, 95% CI 1.6-3.2, p&lt;0.0001) of failure​ to be exclusively breastfed at discharge.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Association with Breastfeeding Duration: Nipple shield use was also associated with a higher risk of inadequate duration​ of exclusive breastfeeding (OR 1.4, 95% CI 1.1-1.9, p&lt;0.05).</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09A2C9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Denmark</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586F483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National neonatal units &amp; community health settings</w:t>
            </w:r>
          </w:p>
        </w:tc>
      </w:tr>
      <w:tr w14:paraId="363C4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1222F8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Maastrup et al.（2019）</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378E443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 24-36 wks; BW: NR; CGA at intervention: 35.3 wks (mean). 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6074ED0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cohort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29AED04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34D6271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1407 infants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3D9200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The use of a nipple shield was the main exposure variable. Initiated at a mean of 4 days (median, IQR 1-10) after the first breastfeeding attempt.</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0CD355D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Motives for nipple shield use (mother-reported).</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Exclusive breastfeeding at discharge from NICU.</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Association between specific motives for nipple shield use and exclusive breastfeeding.</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2C8C9F8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Prevalence: 54% of mother-infant dyads used nipple shields.</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Top Motive: Most common motive was "infant slipped the nipple" (52%). Motives were more often infant-related (57%) than mother-related (19%).3.Risk Factor: The motive "infant fell asleep at the breast" was associated with a higher risk of not breastfeeding exclusively at discharge (OR 1.90, 95% CI 1.15;3.13, p=0.012).4.Protective Factor: The motive "breast too engorged" was associated with a lower risk (OR 0.32, 95% CI 0.16;0.63, p=0.001).</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1F5B25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Denmark</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384E1F6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National neonatal units &amp; community health settings</w:t>
            </w:r>
          </w:p>
        </w:tc>
      </w:tr>
      <w:tr w14:paraId="2933D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04F03E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Maastrup et al. （2021）</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2724B0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Control group (n=421):​ GA: 24</w:t>
            </w:r>
            <w:r>
              <w:rPr>
                <w:rFonts w:hint="default" w:ascii="Times New Roman" w:hAnsi="Times New Roman" w:eastAsia="宋体" w:cs="Times New Roman"/>
                <w:i w:val="0"/>
                <w:iCs w:val="0"/>
                <w:color w:val="000000"/>
                <w:sz w:val="13"/>
                <w:szCs w:val="13"/>
                <w:u w:val="none"/>
                <w:vertAlign w:val="superscript"/>
              </w:rPr>
              <w:t>+3</w:t>
            </w:r>
            <w:r>
              <w:rPr>
                <w:rFonts w:hint="default" w:ascii="Times New Roman" w:hAnsi="Times New Roman" w:eastAsia="宋体" w:cs="Times New Roman"/>
                <w:i w:val="0"/>
                <w:iCs w:val="0"/>
                <w:color w:val="000000"/>
                <w:sz w:val="13"/>
                <w:szCs w:val="13"/>
                <w:u w:val="none"/>
              </w:rPr>
              <w:t>–36</w:t>
            </w:r>
            <w:r>
              <w:rPr>
                <w:rFonts w:hint="default" w:ascii="Times New Roman" w:hAnsi="Times New Roman" w:eastAsia="宋体" w:cs="Times New Roman"/>
                <w:i w:val="0"/>
                <w:iCs w:val="0"/>
                <w:color w:val="000000"/>
                <w:sz w:val="13"/>
                <w:szCs w:val="13"/>
                <w:u w:val="none"/>
                <w:vertAlign w:val="superscript"/>
              </w:rPr>
              <w:t>+6</w:t>
            </w:r>
            <w:r>
              <w:rPr>
                <w:rFonts w:hint="default" w:ascii="Times New Roman" w:hAnsi="Times New Roman" w:eastAsia="宋体" w:cs="Times New Roman"/>
                <w:i w:val="0"/>
                <w:iCs w:val="0"/>
                <w:color w:val="000000"/>
                <w:sz w:val="13"/>
                <w:szCs w:val="13"/>
                <w:u w:val="none"/>
              </w:rPr>
              <w:t xml:space="preserve"> wks; Mean GA/BW: NR; CGA at EBF establishment: 37.6 wks. Intervention group (n=494):​ GA: 23</w:t>
            </w:r>
            <w:r>
              <w:rPr>
                <w:rFonts w:hint="default" w:ascii="Times New Roman" w:hAnsi="Times New Roman" w:eastAsia="宋体" w:cs="Times New Roman"/>
                <w:i w:val="0"/>
                <w:iCs w:val="0"/>
                <w:color w:val="000000"/>
                <w:sz w:val="13"/>
                <w:szCs w:val="13"/>
                <w:u w:val="none"/>
                <w:vertAlign w:val="superscript"/>
              </w:rPr>
              <w:t>+2</w:t>
            </w:r>
            <w:r>
              <w:rPr>
                <w:rFonts w:hint="default" w:ascii="Times New Roman" w:hAnsi="Times New Roman" w:eastAsia="宋体" w:cs="Times New Roman"/>
                <w:i w:val="0"/>
                <w:iCs w:val="0"/>
                <w:color w:val="000000"/>
                <w:sz w:val="13"/>
                <w:szCs w:val="13"/>
                <w:u w:val="none"/>
              </w:rPr>
              <w:t>–36</w:t>
            </w:r>
            <w:r>
              <w:rPr>
                <w:rFonts w:hint="default" w:ascii="Times New Roman" w:hAnsi="Times New Roman" w:eastAsia="宋体" w:cs="Times New Roman"/>
                <w:i w:val="0"/>
                <w:iCs w:val="0"/>
                <w:color w:val="000000"/>
                <w:sz w:val="13"/>
                <w:szCs w:val="13"/>
                <w:u w:val="none"/>
                <w:vertAlign w:val="superscript"/>
              </w:rPr>
              <w:t xml:space="preserve">+6 </w:t>
            </w:r>
            <w:r>
              <w:rPr>
                <w:rFonts w:hint="default" w:ascii="Times New Roman" w:hAnsi="Times New Roman" w:eastAsia="宋体" w:cs="Times New Roman"/>
                <w:i w:val="0"/>
                <w:iCs w:val="0"/>
                <w:color w:val="000000"/>
                <w:sz w:val="13"/>
                <w:szCs w:val="13"/>
                <w:u w:val="none"/>
              </w:rPr>
              <w:t>wks; Mean GA/BW: NR; CGA at EBF establishment: 37.8 wks. Combined:Key comorbidities: NR. Neurological status: NR.</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307B05B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Quasi-experimental multicenter intervention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16EB7C1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3AF25F6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Control: 390; Intervention: 460</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6905C6E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Multi-component training program for neonatal nurses targeting six breastfeeding-supportive clinical practices, including minimizing the use of nipple shields. Nurses were trained to limit its use.</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26A1250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Primary Outcome: Exclusive breastfeeding rates at discharge.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Secondary Outcome: Changes in maternal self-reported use of the nipple shield.</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Association between changes in shield use and EBF rates.</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70DD94C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Maternal self-reported use of a nipple shield decreased significantly​ from 61.5% (control) to 53.9% (intervention) (p=0.025).</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Exclusive breastfeeding rates at discharge increased significantly​ from 58.0% (control) to 66.6% (intervention) (p=0.007).</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A targeted intervention to minimize nipple shield use​ is feasible and is associated with increased exclusive breastfeeding rates at discharge.</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19743E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Denmark</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1E5A0B0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Neonatal clinical practices, multicenter study</w:t>
            </w:r>
          </w:p>
        </w:tc>
      </w:tr>
      <w:tr w14:paraId="4C1EC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7E0BD2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Powers et al.（2004）</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7B031A5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ab/>
            </w:r>
          </w:p>
          <w:p w14:paraId="2D9623A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p>
          <w:p w14:paraId="53B3002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GA:32-42 wks; BW:NR; CGA:NR; Key comorbidities: NR; Neurological status:​ No severe complications reported.</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5B6922B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Retrospective telephone survey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3C32DC7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69581A8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202 mothers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78E172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Mothers retrospectively reported their use of a silicone nipple shield​ for various indications.</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260F69C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Mothers' reported reasons for using a nipple shield.</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Duration of nipple shield use.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Whether mothers continued breastfeeding after transitioning off the shield.</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Maternal perceptions of the shield's role in breastfeeding success.</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5. Maternal overall satisfaction and willingness to use the shield again.</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0F536A5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Top Reasons for Use: Flat nipples (62%), infant with disorganized suck (43%), sore nipples (23%), engorgement (15%), prematurity (12%).</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Duration of Use: Median duration: 2 weeks. 33% used the shield for the entire duration of breastfeeding (1 day to 15 months).</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Feeding Outcome: 67% of mothers transitioned off the shield and continued breastfeeding.</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4. Maternal Perception: 88% of mothers felt the shield helped them succeed at breastfeeding. 98% reported they would use it again if necessary.</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162AA1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USA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25C63E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Community &amp; clinical postnatal settings, telephone survey</w:t>
            </w:r>
          </w:p>
        </w:tc>
      </w:tr>
      <w:tr w14:paraId="05C05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nil"/>
              <w:right w:val="nil"/>
            </w:tcBorders>
            <w:shd w:val="clear" w:color="auto" w:fill="auto"/>
            <w:noWrap w:val="0"/>
            <w:tcMar>
              <w:top w:w="-1" w:type="dxa"/>
              <w:left w:w="-1" w:type="dxa"/>
              <w:bottom w:w="-1" w:type="dxa"/>
              <w:right w:w="-1" w:type="dxa"/>
            </w:tcMar>
            <w:vAlign w:val="center"/>
          </w:tcPr>
          <w:p w14:paraId="7BA0D2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Perrella et al.（2021）</w:t>
            </w:r>
          </w:p>
        </w:tc>
        <w:tc>
          <w:tcPr>
            <w:tcW w:w="1779" w:type="dxa"/>
            <w:tcBorders>
              <w:top w:val="nil"/>
              <w:left w:val="nil"/>
              <w:bottom w:val="nil"/>
              <w:right w:val="nil"/>
            </w:tcBorders>
            <w:shd w:val="clear" w:color="auto" w:fill="auto"/>
            <w:noWrap w:val="0"/>
            <w:tcMar>
              <w:top w:w="-1" w:type="dxa"/>
              <w:left w:w="-1" w:type="dxa"/>
              <w:bottom w:w="-1" w:type="dxa"/>
              <w:right w:w="-1" w:type="dxa"/>
            </w:tcMar>
            <w:vAlign w:val="center"/>
          </w:tcPr>
          <w:p w14:paraId="46D1697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GA:30.6±1.6 wks; BW:​ 1530±340 g; CGA at discharge:37.3±1.2 wks; CGA at 12 wk follow-up:​ 50.3±1.2 wks; Key comorbidities: NR; Neurological status: No severe complications.</w:t>
            </w:r>
          </w:p>
        </w:tc>
        <w:tc>
          <w:tcPr>
            <w:tcW w:w="618" w:type="dxa"/>
            <w:tcBorders>
              <w:top w:val="nil"/>
              <w:left w:val="nil"/>
              <w:bottom w:val="nil"/>
              <w:right w:val="nil"/>
            </w:tcBorders>
            <w:shd w:val="clear" w:color="auto" w:fill="auto"/>
            <w:noWrap w:val="0"/>
            <w:tcMar>
              <w:top w:w="-1" w:type="dxa"/>
              <w:left w:w="-1" w:type="dxa"/>
              <w:bottom w:w="-1" w:type="dxa"/>
              <w:right w:w="-1" w:type="dxa"/>
            </w:tcMar>
            <w:vAlign w:val="center"/>
          </w:tcPr>
          <w:p w14:paraId="7146CFA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Longitudinal follow-up study</w:t>
            </w:r>
          </w:p>
        </w:tc>
        <w:tc>
          <w:tcPr>
            <w:tcW w:w="768" w:type="dxa"/>
            <w:tcBorders>
              <w:top w:val="nil"/>
              <w:left w:val="nil"/>
              <w:bottom w:val="nil"/>
              <w:right w:val="nil"/>
            </w:tcBorders>
            <w:shd w:val="clear" w:color="auto" w:fill="auto"/>
            <w:noWrap w:val="0"/>
            <w:tcMar>
              <w:top w:w="-1" w:type="dxa"/>
              <w:left w:w="-1" w:type="dxa"/>
              <w:bottom w:w="-1" w:type="dxa"/>
              <w:right w:w="-1" w:type="dxa"/>
            </w:tcMar>
            <w:vAlign w:val="center"/>
          </w:tcPr>
          <w:p w14:paraId="6574929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Primary Study</w:t>
            </w:r>
          </w:p>
        </w:tc>
        <w:tc>
          <w:tcPr>
            <w:tcW w:w="676" w:type="dxa"/>
            <w:tcBorders>
              <w:top w:val="nil"/>
              <w:left w:val="nil"/>
              <w:bottom w:val="nil"/>
              <w:right w:val="nil"/>
            </w:tcBorders>
            <w:shd w:val="clear" w:color="auto" w:fill="auto"/>
            <w:noWrap w:val="0"/>
            <w:tcMar>
              <w:top w:w="-1" w:type="dxa"/>
              <w:left w:w="-1" w:type="dxa"/>
              <w:bottom w:w="-1" w:type="dxa"/>
              <w:right w:w="-1" w:type="dxa"/>
            </w:tcMar>
            <w:vAlign w:val="center"/>
          </w:tcPr>
          <w:p w14:paraId="6713E83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49 mothers (56 infants, including twins)</w:t>
            </w:r>
          </w:p>
        </w:tc>
        <w:tc>
          <w:tcPr>
            <w:tcW w:w="1391" w:type="dxa"/>
            <w:tcBorders>
              <w:top w:val="nil"/>
              <w:left w:val="nil"/>
              <w:bottom w:val="nil"/>
              <w:right w:val="nil"/>
            </w:tcBorders>
            <w:shd w:val="clear" w:color="auto" w:fill="auto"/>
            <w:noWrap w:val="0"/>
            <w:tcMar>
              <w:top w:w="-1" w:type="dxa"/>
              <w:left w:w="-1" w:type="dxa"/>
              <w:bottom w:w="-1" w:type="dxa"/>
              <w:right w:w="-1" w:type="dxa"/>
            </w:tcMar>
            <w:vAlign w:val="center"/>
          </w:tcPr>
          <w:p w14:paraId="0D91812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The use of a nipple shield was self-reported by mothers, not introduced as an intervention.</w:t>
            </w:r>
          </w:p>
        </w:tc>
        <w:tc>
          <w:tcPr>
            <w:tcW w:w="1084" w:type="dxa"/>
            <w:tcBorders>
              <w:top w:val="nil"/>
              <w:left w:val="nil"/>
              <w:bottom w:val="nil"/>
              <w:right w:val="nil"/>
            </w:tcBorders>
            <w:shd w:val="clear" w:color="auto" w:fill="auto"/>
            <w:noWrap w:val="0"/>
            <w:tcMar>
              <w:top w:w="-1" w:type="dxa"/>
              <w:left w:w="-1" w:type="dxa"/>
              <w:bottom w:w="-1" w:type="dxa"/>
              <w:right w:w="-1" w:type="dxa"/>
            </w:tcMar>
            <w:vAlign w:val="center"/>
          </w:tcPr>
          <w:p w14:paraId="34ED551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Nipple shield use at 2, 6, and 12 weeks CGA.</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Comparison of breastfeeding outcomes at 12 weeks CGA between dyads who used a nipple shield at 2 weeks CGA and those who did not.</w:t>
            </w:r>
          </w:p>
        </w:tc>
        <w:tc>
          <w:tcPr>
            <w:tcW w:w="1551" w:type="dxa"/>
            <w:tcBorders>
              <w:top w:val="nil"/>
              <w:left w:val="nil"/>
              <w:bottom w:val="nil"/>
              <w:right w:val="nil"/>
            </w:tcBorders>
            <w:shd w:val="clear" w:color="auto" w:fill="auto"/>
            <w:noWrap w:val="0"/>
            <w:tcMar>
              <w:top w:w="-1" w:type="dxa"/>
              <w:left w:w="-1" w:type="dxa"/>
              <w:bottom w:w="-1" w:type="dxa"/>
              <w:right w:w="-1" w:type="dxa"/>
            </w:tcMar>
            <w:vAlign w:val="center"/>
          </w:tcPr>
          <w:p w14:paraId="3C9BC3E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Prevalence of Nipple Shield Use: High at 2 weeks CGA (42%), decreased to 19% at 6 weeks, and 11% at 12 weeks CGA.</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Weaning from the Shield: Of the 13 dyads who used a shield at 2 weeks CGA and continued breastfeeding to 12 weeks, 10 (78%) had weaned from the shield.</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3. Association with Breastfeeding Outcomes: The proportions of infants who were fully or partially breastfeeding at 12 weeks CGA were not statistically different between the group that used a nipple shield at 2 weeks CGA and the group that did not</w:t>
            </w:r>
          </w:p>
        </w:tc>
        <w:tc>
          <w:tcPr>
            <w:tcW w:w="480" w:type="dxa"/>
            <w:tcBorders>
              <w:top w:val="nil"/>
              <w:left w:val="nil"/>
              <w:bottom w:val="nil"/>
              <w:right w:val="nil"/>
            </w:tcBorders>
            <w:shd w:val="clear" w:color="auto" w:fill="auto"/>
            <w:noWrap w:val="0"/>
            <w:tcMar>
              <w:top w:w="-1" w:type="dxa"/>
              <w:left w:w="-1" w:type="dxa"/>
              <w:bottom w:w="-1" w:type="dxa"/>
              <w:right w:w="-1" w:type="dxa"/>
            </w:tcMar>
            <w:vAlign w:val="center"/>
          </w:tcPr>
          <w:p w14:paraId="1CB999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Australia</w:t>
            </w:r>
          </w:p>
        </w:tc>
        <w:tc>
          <w:tcPr>
            <w:tcW w:w="852" w:type="dxa"/>
            <w:tcBorders>
              <w:top w:val="nil"/>
              <w:left w:val="nil"/>
              <w:bottom w:val="nil"/>
              <w:right w:val="nil"/>
            </w:tcBorders>
            <w:shd w:val="clear" w:color="auto" w:fill="auto"/>
            <w:noWrap w:val="0"/>
            <w:tcMar>
              <w:top w:w="-1" w:type="dxa"/>
              <w:left w:w="-1" w:type="dxa"/>
              <w:bottom w:w="-1" w:type="dxa"/>
              <w:right w:w="-1" w:type="dxa"/>
            </w:tcMar>
            <w:vAlign w:val="center"/>
          </w:tcPr>
          <w:p w14:paraId="6E17C4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Hospital neonatal unit &amp; community follow-up</w:t>
            </w:r>
          </w:p>
        </w:tc>
      </w:tr>
      <w:tr w14:paraId="7D229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58"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42ADE0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Rakel et al.（2020）</w:t>
            </w:r>
          </w:p>
        </w:tc>
        <w:tc>
          <w:tcPr>
            <w:tcW w:w="1779"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27EF112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Population:Late preterm infants (GA 34</w:t>
            </w:r>
            <w:r>
              <w:rPr>
                <w:rFonts w:hint="default" w:ascii="Times New Roman" w:hAnsi="Times New Roman" w:eastAsia="宋体" w:cs="Times New Roman"/>
                <w:i w:val="0"/>
                <w:iCs w:val="0"/>
                <w:color w:val="000000"/>
                <w:kern w:val="0"/>
                <w:sz w:val="13"/>
                <w:szCs w:val="13"/>
                <w:u w:val="none"/>
                <w:vertAlign w:val="superscript"/>
                <w:lang w:val="en-US" w:eastAsia="zh-CN" w:bidi="ar"/>
              </w:rPr>
              <w:t>+0</w:t>
            </w:r>
            <w:r>
              <w:rPr>
                <w:rFonts w:hint="default" w:ascii="Times New Roman" w:hAnsi="Times New Roman" w:eastAsia="宋体" w:cs="Times New Roman"/>
                <w:i w:val="0"/>
                <w:iCs w:val="0"/>
                <w:color w:val="000000"/>
                <w:kern w:val="0"/>
                <w:sz w:val="13"/>
                <w:szCs w:val="13"/>
                <w:u w:val="none"/>
                <w:lang w:val="en-US" w:eastAsia="zh-CN" w:bidi="ar"/>
              </w:rPr>
              <w:t>–36</w:t>
            </w:r>
            <w:r>
              <w:rPr>
                <w:rFonts w:hint="default" w:ascii="Times New Roman" w:hAnsi="Times New Roman" w:eastAsia="宋体" w:cs="Times New Roman"/>
                <w:i w:val="0"/>
                <w:iCs w:val="0"/>
                <w:color w:val="000000"/>
                <w:kern w:val="0"/>
                <w:sz w:val="13"/>
                <w:szCs w:val="13"/>
                <w:u w:val="none"/>
                <w:vertAlign w:val="superscript"/>
                <w:lang w:val="en-US" w:eastAsia="zh-CN" w:bidi="ar"/>
              </w:rPr>
              <w:t>+6</w:t>
            </w:r>
            <w:r>
              <w:rPr>
                <w:rFonts w:hint="default" w:ascii="Times New Roman" w:hAnsi="Times New Roman" w:eastAsia="宋体" w:cs="Times New Roman"/>
                <w:i w:val="0"/>
                <w:iCs w:val="0"/>
                <w:color w:val="000000"/>
                <w:kern w:val="0"/>
                <w:sz w:val="13"/>
                <w:szCs w:val="13"/>
                <w:u w:val="none"/>
                <w:lang w:val="en-US" w:eastAsia="zh-CN" w:bidi="ar"/>
              </w:rPr>
              <w:t xml:space="preserve"> wks). LPT NICU subgroup:GA: 34.6 wks; BW: 2570 g. LPT MU subgroup:​ GA: 36.3 wks; BW: 2821 g. Both subgroups:CGA at assessment: NR; Key comorbidities: NR; Neurological status: No severe complications.​</w:t>
            </w:r>
          </w:p>
        </w:tc>
        <w:tc>
          <w:tcPr>
            <w:tcW w:w="618"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B49B68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cohort study</w:t>
            </w:r>
          </w:p>
        </w:tc>
        <w:tc>
          <w:tcPr>
            <w:tcW w:w="768"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412892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 xml:space="preserve">Primary Study </w:t>
            </w:r>
          </w:p>
        </w:tc>
        <w:tc>
          <w:tcPr>
            <w:tcW w:w="676"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291F53F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391 (mother-infant dyads)</w:t>
            </w:r>
          </w:p>
        </w:tc>
        <w:tc>
          <w:tcPr>
            <w:tcW w:w="1391"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D01D01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The use of a nipple shield was a self-reported practice analyzed as a factor associated with exclusive breastfeeding at breast (EBFB) at 1 month.</w:t>
            </w:r>
          </w:p>
        </w:tc>
        <w:tc>
          <w:tcPr>
            <w:tcW w:w="1084"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B99518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Exclusive breastfeeding at breast (EBFB) at 1 week and 1 month of age.</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Factors associated with not achieving EBFB at 1 month in LPT infants.</w:t>
            </w:r>
          </w:p>
        </w:tc>
        <w:tc>
          <w:tcPr>
            <w:tcW w:w="1551"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2BBCB71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1. Nipple Shield Use: More common in LPT infants (NICU: 43%; MU: 31%) than in term infants (17%) at 1 week.</w:t>
            </w:r>
            <w:r>
              <w:rPr>
                <w:rFonts w:hint="default" w:ascii="Times New Roman" w:hAnsi="Times New Roman" w:eastAsia="宋体" w:cs="Times New Roman"/>
                <w:i w:val="0"/>
                <w:iCs w:val="0"/>
                <w:color w:val="000000"/>
                <w:kern w:val="0"/>
                <w:sz w:val="13"/>
                <w:szCs w:val="13"/>
                <w:u w:val="none"/>
                <w:lang w:val="en-US" w:eastAsia="zh-CN" w:bidi="ar"/>
              </w:rPr>
              <w:br w:type="textWrapping"/>
            </w:r>
            <w:r>
              <w:rPr>
                <w:rFonts w:hint="default" w:ascii="Times New Roman" w:hAnsi="Times New Roman" w:eastAsia="宋体" w:cs="Times New Roman"/>
                <w:i w:val="0"/>
                <w:iCs w:val="0"/>
                <w:color w:val="000000"/>
                <w:kern w:val="0"/>
                <w:sz w:val="13"/>
                <w:szCs w:val="13"/>
                <w:u w:val="none"/>
                <w:lang w:val="en-US" w:eastAsia="zh-CN" w:bidi="ar"/>
              </w:rPr>
              <w:t>2. In multivariate analysis, nipple shield use​ (OR 3.16, 95% CI 1.01–9.89) was a statistically significant factor associated with NOT​ being exclusively breastfed at breast at 1 month in LPT infants, after adjusting for other variables.</w:t>
            </w:r>
          </w:p>
        </w:tc>
        <w:tc>
          <w:tcPr>
            <w:tcW w:w="480" w:type="dxa"/>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31E90B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Iceland</w:t>
            </w:r>
          </w:p>
        </w:tc>
        <w:tc>
          <w:tcPr>
            <w:tcW w:w="852"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CA9549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Hospital maternity &amp; neonatal units</w:t>
            </w:r>
          </w:p>
        </w:tc>
      </w:tr>
    </w:tbl>
    <w:p w14:paraId="32D84765"/>
    <w:p w14:paraId="3A7A7AC2">
      <w:pPr>
        <w:keepNext w:val="0"/>
        <w:keepLines w:val="0"/>
        <w:pageBreakBefore w:val="0"/>
        <w:widowControl w:val="0"/>
        <w:kinsoku/>
        <w:wordWrap w:val="0"/>
        <w:overflowPunct/>
        <w:topLinePunct w:val="0"/>
        <w:autoSpaceDE/>
        <w:autoSpaceDN/>
        <w:bidi w:val="0"/>
        <w:adjustRightInd/>
        <w:snapToGrid/>
        <w:spacing w:after="0" w:line="240" w:lineRule="auto"/>
        <w:jc w:val="left"/>
        <w:textAlignment w:val="auto"/>
        <w:rPr>
          <w:rFonts w:hint="default" w:ascii="Times New Roman" w:hAnsi="Times New Roman" w:eastAsia="宋体" w:cs="Times New Roman"/>
          <w:i w:val="0"/>
          <w:color w:val="auto"/>
          <w:kern w:val="2"/>
          <w:sz w:val="18"/>
          <w:szCs w:val="18"/>
          <w:u w:val="none"/>
          <w:lang w:val="en-US" w:eastAsia="zh-CN" w:bidi="ar-SA"/>
        </w:rPr>
      </w:pPr>
      <w:r>
        <w:rPr>
          <w:rFonts w:hint="default" w:ascii="Times New Roman" w:hAnsi="Times New Roman" w:eastAsia="宋体" w:cs="Times New Roman"/>
          <w:i w:val="0"/>
          <w:color w:val="auto"/>
          <w:kern w:val="2"/>
          <w:sz w:val="18"/>
          <w:szCs w:val="18"/>
          <w:u w:val="none"/>
          <w:lang w:val="en-US" w:eastAsia="zh-CN" w:bidi="ar-SA"/>
        </w:rPr>
        <w:t>Note: GA, gestational age;CGA, corrected gestational age; NR, not reported; WKS, weeks.</w:t>
      </w:r>
    </w:p>
    <w:p w14:paraId="45ED35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8101D4"/>
    <w:rsid w:val="15724254"/>
    <w:rsid w:val="4A810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2026-05-08T01:55:00Z</dcterms:created>
  <dc:creator>구멍</dc:creator>
  <cp:lastModifiedBy>구멍</cp:lastModifiedBy>
  <dcterms:modified xsi:type="dcterms:W3CDTF">2026-05-08T02:17:38Z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4417E975F6E64A039C56583D415296D2_11</vt:lpwstr>
  </property>
  <property fmtid="{D5CDD505-2E9C-101B-9397-08002B2CF9AE}" pid="4" name="KSOTemplateDocerSaveRecord">
    <vt:lpwstr>eyJoZGlkIjoiYjk5ODM0YmMxOWJiYWQyNDU4MGIzYWRmYTA0ZmI5NDciLCJ1c2VySWQiOiI2Mzg3NDg4MTcifQ==</vt:lpwstr>
  </property>
</Properties>
</file>