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5DB" w:rsidRDefault="009725DB" w:rsidP="009725DB">
      <w:pPr>
        <w:spacing w:line="360" w:lineRule="auto"/>
        <w:jc w:val="both"/>
      </w:pPr>
      <w:r w:rsidRPr="000F347F">
        <w:rPr>
          <w:noProof/>
          <w:lang w:eastAsia="en-NZ"/>
        </w:rPr>
        <w:drawing>
          <wp:inline distT="0" distB="0" distL="0" distR="0" wp14:anchorId="2A531A7B" wp14:editId="512BA431">
            <wp:extent cx="8863330" cy="5732666"/>
            <wp:effectExtent l="0" t="0" r="0" b="1905"/>
            <wp:docPr id="6" name="Picture 6" descr="C:\Users\Donna Bond\Desktop\Pictur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nna Bond\Desktop\Picture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5732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5DB" w:rsidRDefault="009725DB" w:rsidP="009725DB">
      <w:pPr>
        <w:spacing w:line="360" w:lineRule="auto"/>
        <w:rPr>
          <w:b/>
        </w:rPr>
      </w:pPr>
      <w:r>
        <w:rPr>
          <w:b/>
        </w:rPr>
        <w:lastRenderedPageBreak/>
        <w:t xml:space="preserve">Figure S3 Potential </w:t>
      </w:r>
      <w:proofErr w:type="spellStart"/>
      <w:r>
        <w:rPr>
          <w:b/>
        </w:rPr>
        <w:t>Chalcone</w:t>
      </w:r>
      <w:proofErr w:type="spellEnd"/>
      <w:r>
        <w:rPr>
          <w:b/>
        </w:rPr>
        <w:t xml:space="preserve"> Synthase genes in </w:t>
      </w:r>
      <w:r>
        <w:rPr>
          <w:b/>
          <w:i/>
        </w:rPr>
        <w:t>Medicago truncatula.</w:t>
      </w:r>
      <w:r>
        <w:rPr>
          <w:b/>
        </w:rPr>
        <w:t xml:space="preserve"> </w:t>
      </w:r>
    </w:p>
    <w:p w:rsidR="00C3228C" w:rsidRDefault="009725DB" w:rsidP="009725DB">
      <w:pPr>
        <w:spacing w:line="360" w:lineRule="auto"/>
        <w:rPr>
          <w:color w:val="000000" w:themeColor="text1"/>
        </w:rPr>
      </w:pPr>
      <w:r w:rsidRPr="005D7626">
        <w:rPr>
          <w:rFonts w:cs="Open Sans"/>
          <w:color w:val="000000" w:themeColor="text1"/>
          <w:shd w:val="clear" w:color="auto" w:fill="FFFFFF"/>
        </w:rPr>
        <w:t xml:space="preserve">Phylogenetic tree of </w:t>
      </w:r>
      <w:r w:rsidRPr="005D7626">
        <w:rPr>
          <w:i/>
          <w:color w:val="000000" w:themeColor="text1"/>
        </w:rPr>
        <w:t>Medicago truncatula</w:t>
      </w:r>
      <w:r w:rsidRPr="005D7626">
        <w:rPr>
          <w:color w:val="000000" w:themeColor="text1"/>
        </w:rPr>
        <w:t xml:space="preserve"> genes annotated as ‘</w:t>
      </w:r>
      <w:proofErr w:type="spellStart"/>
      <w:r w:rsidRPr="005D7626">
        <w:rPr>
          <w:color w:val="000000" w:themeColor="text1"/>
        </w:rPr>
        <w:t>Chalcone</w:t>
      </w:r>
      <w:proofErr w:type="spellEnd"/>
      <w:r w:rsidRPr="005D7626">
        <w:rPr>
          <w:color w:val="000000" w:themeColor="text1"/>
        </w:rPr>
        <w:t xml:space="preserve"> and Stilbene Synthase family protein’ (left)</w:t>
      </w:r>
      <w:r w:rsidRPr="005D7626">
        <w:rPr>
          <w:rFonts w:cs="Open Sans"/>
          <w:color w:val="000000" w:themeColor="text1"/>
          <w:shd w:val="clear" w:color="auto" w:fill="FFFFFF"/>
        </w:rPr>
        <w:t xml:space="preserve">. Bootstrap support for key branches is presented (%).  Transcripts that are </w:t>
      </w:r>
      <w:r>
        <w:rPr>
          <w:rFonts w:cs="Open Sans"/>
          <w:color w:val="000000" w:themeColor="text1"/>
          <w:shd w:val="clear" w:color="auto" w:fill="FFFFFF"/>
        </w:rPr>
        <w:t xml:space="preserve">significantly </w:t>
      </w:r>
      <w:r w:rsidRPr="005D7626">
        <w:rPr>
          <w:rFonts w:cs="Open Sans"/>
          <w:color w:val="000000" w:themeColor="text1"/>
          <w:shd w:val="clear" w:color="auto" w:fill="FFFFFF"/>
        </w:rPr>
        <w:t xml:space="preserve">differentially expressed </w:t>
      </w:r>
      <w:r>
        <w:rPr>
          <w:rFonts w:cs="Open Sans"/>
          <w:color w:val="000000" w:themeColor="text1"/>
          <w:shd w:val="clear" w:color="auto" w:fill="FFFFFF"/>
        </w:rPr>
        <w:t>(</w:t>
      </w:r>
      <w:r>
        <w:rPr>
          <w:rFonts w:cs="Open Sans"/>
          <w:i/>
          <w:color w:val="000000" w:themeColor="text1"/>
          <w:shd w:val="clear" w:color="auto" w:fill="FFFFFF"/>
        </w:rPr>
        <w:t>P</w:t>
      </w:r>
      <w:r>
        <w:rPr>
          <w:rFonts w:cs="Open Sans"/>
          <w:color w:val="000000" w:themeColor="text1"/>
          <w:shd w:val="clear" w:color="auto" w:fill="FFFFFF"/>
        </w:rPr>
        <w:t xml:space="preserve">-value &lt;0.05) </w:t>
      </w:r>
      <w:r w:rsidRPr="005D7626">
        <w:rPr>
          <w:rFonts w:cs="Open Sans"/>
          <w:color w:val="000000" w:themeColor="text1"/>
          <w:shd w:val="clear" w:color="auto" w:fill="FFFFFF"/>
        </w:rPr>
        <w:t>between Control and LAP1 conditions are underlined. N</w:t>
      </w:r>
      <w:r w:rsidRPr="005D7626">
        <w:rPr>
          <w:color w:val="000000" w:themeColor="text1"/>
        </w:rPr>
        <w:t xml:space="preserve">umbers in green are the fold change of expression observed for each </w:t>
      </w:r>
      <w:r>
        <w:rPr>
          <w:rFonts w:cs="Open Sans"/>
          <w:color w:val="000000" w:themeColor="text1"/>
          <w:shd w:val="clear" w:color="auto" w:fill="FFFFFF"/>
        </w:rPr>
        <w:t>significantly</w:t>
      </w:r>
      <w:r w:rsidRPr="005D7626">
        <w:rPr>
          <w:color w:val="000000" w:themeColor="text1"/>
        </w:rPr>
        <w:t xml:space="preserve"> differentially expressed </w:t>
      </w:r>
      <w:r>
        <w:rPr>
          <w:rFonts w:cs="Open Sans"/>
          <w:color w:val="000000" w:themeColor="text1"/>
          <w:shd w:val="clear" w:color="auto" w:fill="FFFFFF"/>
        </w:rPr>
        <w:t>(</w:t>
      </w:r>
      <w:r>
        <w:rPr>
          <w:rFonts w:cs="Open Sans"/>
          <w:i/>
          <w:color w:val="000000" w:themeColor="text1"/>
          <w:shd w:val="clear" w:color="auto" w:fill="FFFFFF"/>
        </w:rPr>
        <w:t>P</w:t>
      </w:r>
      <w:r>
        <w:rPr>
          <w:rFonts w:cs="Open Sans"/>
          <w:color w:val="000000" w:themeColor="text1"/>
          <w:shd w:val="clear" w:color="auto" w:fill="FFFFFF"/>
        </w:rPr>
        <w:t xml:space="preserve">-value &lt;0.05) </w:t>
      </w:r>
      <w:r w:rsidRPr="005D7626">
        <w:rPr>
          <w:color w:val="000000" w:themeColor="text1"/>
        </w:rPr>
        <w:t xml:space="preserve">gene between Control and LAP1 conditions (Table S1); green </w:t>
      </w:r>
      <w:r w:rsidRPr="005D7626">
        <w:rPr>
          <w:rStyle w:val="apple-converted-space"/>
          <w:rFonts w:ascii="Wingdings" w:hAnsi="Wingdings"/>
          <w:color w:val="000000" w:themeColor="text1"/>
        </w:rPr>
        <w:sym w:font="Wingdings" w:char="F0E1"/>
      </w:r>
      <w:r w:rsidRPr="005D7626">
        <w:rPr>
          <w:color w:val="000000" w:themeColor="text1"/>
        </w:rPr>
        <w:t xml:space="preserve"> represents upregulation. Potential </w:t>
      </w:r>
      <w:proofErr w:type="spellStart"/>
      <w:r w:rsidRPr="005D7626">
        <w:rPr>
          <w:color w:val="000000" w:themeColor="text1"/>
        </w:rPr>
        <w:t>Chalcone</w:t>
      </w:r>
      <w:proofErr w:type="spellEnd"/>
      <w:r w:rsidRPr="005D7626">
        <w:rPr>
          <w:color w:val="000000" w:themeColor="text1"/>
        </w:rPr>
        <w:t xml:space="preserve"> Synthase genes display different patterns of expression (right). Expression patterns of three genes (</w:t>
      </w:r>
      <w:r w:rsidRPr="005D7626">
        <w:rPr>
          <w:i/>
          <w:color w:val="000000" w:themeColor="text1"/>
        </w:rPr>
        <w:t>Medtr5g007730</w:t>
      </w:r>
      <w:r w:rsidRPr="005D7626">
        <w:rPr>
          <w:color w:val="000000" w:themeColor="text1"/>
        </w:rPr>
        <w:t xml:space="preserve">, </w:t>
      </w:r>
      <w:r w:rsidRPr="005D7626">
        <w:rPr>
          <w:i/>
          <w:color w:val="000000" w:themeColor="text1"/>
        </w:rPr>
        <w:t>Medtr3g083920</w:t>
      </w:r>
      <w:r w:rsidRPr="005D7626">
        <w:rPr>
          <w:color w:val="000000" w:themeColor="text1"/>
        </w:rPr>
        <w:t xml:space="preserve"> and </w:t>
      </w:r>
      <w:r w:rsidRPr="005D7626">
        <w:rPr>
          <w:i/>
          <w:color w:val="000000" w:themeColor="text1"/>
        </w:rPr>
        <w:t>Medtr3g083910</w:t>
      </w:r>
      <w:r w:rsidRPr="005D7626">
        <w:rPr>
          <w:color w:val="000000" w:themeColor="text1"/>
        </w:rPr>
        <w:t xml:space="preserve">) that are </w:t>
      </w:r>
      <w:r>
        <w:rPr>
          <w:rFonts w:cs="Open Sans"/>
          <w:color w:val="000000" w:themeColor="text1"/>
          <w:shd w:val="clear" w:color="auto" w:fill="FFFFFF"/>
        </w:rPr>
        <w:t>significantly</w:t>
      </w:r>
      <w:r w:rsidRPr="005D7626">
        <w:rPr>
          <w:color w:val="000000" w:themeColor="text1"/>
        </w:rPr>
        <w:t xml:space="preserve"> differentially expressed </w:t>
      </w:r>
      <w:r>
        <w:rPr>
          <w:rFonts w:cs="Open Sans"/>
          <w:color w:val="000000" w:themeColor="text1"/>
          <w:shd w:val="clear" w:color="auto" w:fill="FFFFFF"/>
        </w:rPr>
        <w:t>(</w:t>
      </w:r>
      <w:r>
        <w:rPr>
          <w:rFonts w:cs="Open Sans"/>
          <w:i/>
          <w:color w:val="000000" w:themeColor="text1"/>
          <w:shd w:val="clear" w:color="auto" w:fill="FFFFFF"/>
        </w:rPr>
        <w:t>P</w:t>
      </w:r>
      <w:r>
        <w:rPr>
          <w:rFonts w:cs="Open Sans"/>
          <w:color w:val="000000" w:themeColor="text1"/>
          <w:shd w:val="clear" w:color="auto" w:fill="FFFFFF"/>
        </w:rPr>
        <w:t xml:space="preserve">-value &lt;0.05) </w:t>
      </w:r>
      <w:r w:rsidRPr="005D7626">
        <w:rPr>
          <w:color w:val="000000" w:themeColor="text1"/>
        </w:rPr>
        <w:t>between Control and LAP1 conditions (red *) are predominantly expressed in leaf, floral and seed tissue. In contrast, expression patterns of three other genes (</w:t>
      </w:r>
      <w:r w:rsidRPr="005D7626">
        <w:rPr>
          <w:i/>
          <w:color w:val="000000" w:themeColor="text1"/>
        </w:rPr>
        <w:t>Medtr1g016780</w:t>
      </w:r>
      <w:r w:rsidRPr="005D7626">
        <w:rPr>
          <w:color w:val="000000" w:themeColor="text1"/>
        </w:rPr>
        <w:t xml:space="preserve">, </w:t>
      </w:r>
      <w:r w:rsidRPr="005D7626">
        <w:rPr>
          <w:i/>
          <w:color w:val="000000" w:themeColor="text1"/>
        </w:rPr>
        <w:t>Medtr3g086260</w:t>
      </w:r>
      <w:r w:rsidRPr="005D7626">
        <w:rPr>
          <w:color w:val="000000" w:themeColor="text1"/>
        </w:rPr>
        <w:t xml:space="preserve"> and </w:t>
      </w:r>
      <w:r w:rsidRPr="005D7626">
        <w:rPr>
          <w:i/>
          <w:color w:val="000000" w:themeColor="text1"/>
        </w:rPr>
        <w:t>Medtr5g007770</w:t>
      </w:r>
      <w:r w:rsidRPr="005D7626">
        <w:rPr>
          <w:color w:val="000000" w:themeColor="text1"/>
        </w:rPr>
        <w:t xml:space="preserve">), which are not differentially expressed between Control and LAP1 conditions (blue *), are predominately expressed in roots or show a more general expression pattern. The </w:t>
      </w:r>
      <w:r w:rsidRPr="005D7626">
        <w:rPr>
          <w:i/>
          <w:color w:val="000000" w:themeColor="text1"/>
        </w:rPr>
        <w:t xml:space="preserve">Medicago </w:t>
      </w:r>
      <w:r w:rsidRPr="005D7626">
        <w:rPr>
          <w:color w:val="000000" w:themeColor="text1"/>
        </w:rPr>
        <w:t>electronic fluorescence pictographic (</w:t>
      </w:r>
      <w:proofErr w:type="spellStart"/>
      <w:r w:rsidRPr="005D7626">
        <w:rPr>
          <w:color w:val="000000" w:themeColor="text1"/>
        </w:rPr>
        <w:t>eFP</w:t>
      </w:r>
      <w:proofErr w:type="spellEnd"/>
      <w:r w:rsidRPr="005D7626">
        <w:rPr>
          <w:color w:val="000000" w:themeColor="text1"/>
        </w:rPr>
        <w:t xml:space="preserve">) browser </w:t>
      </w:r>
      <w:r w:rsidRPr="005D7626">
        <w:rPr>
          <w:color w:val="000000" w:themeColor="text1"/>
        </w:rPr>
        <w:fldChar w:fldCharType="begin" w:fldLock="1"/>
      </w:r>
      <w:r>
        <w:rPr>
          <w:color w:val="000000" w:themeColor="text1"/>
        </w:rPr>
        <w:instrText>ADDIN CSL_CITATION { "citationItems" : [ { "id" : "ITEM-1", "itemData" : { "DOI" : "10.1111/j.1365-313X.2008.03519.x", "ISSN" : "1365-313X", "author" : [ { "dropping-particle" : "", "family" : "Benedito", "given" : "Vagner A", "non-dropping-particle" : "", "parse-names" : false, "suffix" : "" }, { "dropping-particle" : "", "family" : "Torres-Jerez", "given" : "Ivone", "non-dropping-particle" : "", "parse-names" : false, "suffix" : "" }, { "dropping-particle" : "", "family" : "Murray", "given" : "Jeremy D", "non-dropping-particle" : "", "parse-names" : false, "suffix" : "" }, { "dropping-particle" : "", "family" : "Andriankaja", "given" : "Andry", "non-dropping-particle" : "", "parse-names" : false, "suffix" : "" }, { "dropping-particle" : "", "family" : "Allen", "given" : "Stacy", "non-dropping-particle" : "", "parse-names" : false, "suffix" : "" }, { "dropping-particle" : "", "family" : "Kakar", "given" : "Klementina", "non-dropping-particle" : "", "parse-names" : false, "suffix" : "" }, { "dropping-particle" : "", "family" : "Wandrey", "given" : "Maren", "non-dropping-particle" : "", "parse-names" : false, "suffix" : "" }, { "dropping-particle" : "", "family" : "Verdier", "given" : "J\u00e9r\u00f4me", "non-dropping-particle" : "", "parse-names" : false, "suffix" : "" }, { "dropping-particle" : "", "family" : "Zuber", "given" : "H\u00e9l\u00e8ne", "non-dropping-particle" : "", "parse-names" : false, "suffix" : "" }, { "dropping-particle" : "", "family" : "Ott", "given" : "Thomas", "non-dropping-particle" : "", "parse-names" : false, "suffix" : "" }, { "dropping-particle" : "", "family" : "Moreau", "given" : "Sandra", "non-dropping-particle" : "", "parse-names" : false, "suffix" : "" }, { "dropping-particle" : "", "family" : "Niebel", "given" : "Andreas", "non-dropping-particle" : "", "parse-names" : false, "suffix" : "" }, { "dropping-particle" : "", "family" : "Frickey", "given" : "Tancred", "non-dropping-particle" : "", "parse-names" : false, "suffix" : "" }, { "dropping-particle" : "", "family" : "Weiller", "given" : "Georg", "non-dropping-particle" : "", "parse-names" : false, "suffix" : "" }, { "dropping-particle" : "", "family" : "He", "given" : "Ji", "non-dropping-particle" : "", "parse-names" : false, "suffix" : "" }, { "dropping-particle" : "", "family" : "Dai", "given" : "Xinbin", "non-dropping-particle" : "", "parse-names" : false, "suffix" : "" }, { "dropping-particle" : "", "family" : "Zhao", "given" : "Patrick X", "non-dropping-particle" : "", "parse-names" : false, "suffix" : "" }, { "dropping-particle" : "", "family" : "Tang", "given" : "Yuhong", "non-dropping-particle" : "", "parse-names" : false, "suffix" : "" }, { "dropping-particle" : "", "family" : "Udvardi", "given" : "Michael K", "non-dropping-particle" : "", "parse-names" : false, "suffix" : "" } ], "container-title" : "The Plant Journal", "id" : "ITEM-1", "issue" : "3", "issued" : { "date-parts" : [ [ "2008" ] ] }, "page" : "504-513", "title" : "A gene expression atlas of the model legume Medicago truncatula", "type" : "article-journal", "volume" : "55" }, "uris" : [ "http://www.mendeley.com/documents/?uuid=9269cd05-b11a-4df9-a6e9-1952ab0d88c9" ] }, { "id" : "ITEM-2", "itemData" : { "DOI" : "10.1111/j.1365-313X.2012.05055.x", "ISSN" : "1365-313X", "author" : [ { "dropping-particle" : "V", "family" : "Patel", "given" : "Rohan", "non-dropping-particle" : "", "parse-names" : false, "suffix" : "" }, { "dropping-particle" : "", "family" : "Nahal", "given" : "Hardeep K", "non-dropping-particle" : "", "parse-names" : false, "suffix" : "" }, { "dropping-particle" : "", "family" : "Breit", "given" : "Robert", "non-dropping-particle" : "", "parse-names" : false, "suffix" : "" }, { "dropping-particle" : "", "family" : "Provart", "given" : "Nicholas J", "non-dropping-particle" : "", "parse-names" : false, "suffix" : "" } ], "container-title" : "The Plant Journal", "id" : "ITEM-2", "issue" : "6", "issued" : { "date-parts" : [ [ "2012" ] ] }, "page" : "1038-1050", "title" : "BAR expressolog identification: expression profile similarity ranking of homologous genes in plant species", "type" : "article-journal", "volume" : "71" }, "uris" : [ "http://www.mendeley.com/documents/?uuid=360f4861-ada4-446a-bbb3-b1144d90c514" ] }, { "id" : "ITEM-3", "itemData" : { "URL" : "http://bar.utoronto.ca/efpmedicago/cgi-bin/efpWeb.cgi", "accessed" : { "date-parts" : [ [ "2016", "6", "3" ] ] }, "id" : "ITEM-3", "issued" : { "date-parts" : [ [ "0" ] ] }, "title" : "Medicago eFP Browser", "type" : "webpage" }, "uris" : [ "http://www.mendeley.com/documents/?uuid=d850eae4-6cf5-4a5c-8252-9f5accc6b824" ] } ], "mendeley" : { "formattedCitation" : "[6\u20138]", "plainTextFormattedCitation" : "[6\u20138]", "previouslyFormattedCitation" : "[16\u201318]" }, "properties" : { "noteIndex" : 0 }, "schema" : "https://github.com/citation-style-language/schema/raw/master/csl-citation.json" }</w:instrText>
      </w:r>
      <w:r w:rsidRPr="005D7626">
        <w:rPr>
          <w:color w:val="000000" w:themeColor="text1"/>
        </w:rPr>
        <w:fldChar w:fldCharType="separate"/>
      </w:r>
      <w:r w:rsidRPr="007A1562">
        <w:rPr>
          <w:noProof/>
          <w:color w:val="000000" w:themeColor="text1"/>
        </w:rPr>
        <w:t>[</w:t>
      </w:r>
      <w:r w:rsidR="00C3228C">
        <w:rPr>
          <w:noProof/>
          <w:color w:val="000000" w:themeColor="text1"/>
        </w:rPr>
        <w:t>1</w:t>
      </w:r>
      <w:r w:rsidRPr="007A1562">
        <w:rPr>
          <w:noProof/>
          <w:color w:val="000000" w:themeColor="text1"/>
        </w:rPr>
        <w:t>–</w:t>
      </w:r>
      <w:r w:rsidR="00C3228C">
        <w:rPr>
          <w:noProof/>
          <w:color w:val="000000" w:themeColor="text1"/>
        </w:rPr>
        <w:t>3</w:t>
      </w:r>
      <w:r w:rsidRPr="007A1562">
        <w:rPr>
          <w:noProof/>
          <w:color w:val="000000" w:themeColor="text1"/>
        </w:rPr>
        <w:t>]</w:t>
      </w:r>
      <w:r w:rsidRPr="005D7626">
        <w:rPr>
          <w:color w:val="000000" w:themeColor="text1"/>
        </w:rPr>
        <w:fldChar w:fldCharType="end"/>
      </w:r>
      <w:r w:rsidRPr="005D7626">
        <w:rPr>
          <w:color w:val="000000" w:themeColor="text1"/>
        </w:rPr>
        <w:t xml:space="preserve">, via the Bio-Analytic Resource (BAR) for Plant Biology </w:t>
      </w:r>
      <w:r w:rsidRPr="005D7626">
        <w:rPr>
          <w:color w:val="000000" w:themeColor="text1"/>
        </w:rPr>
        <w:fldChar w:fldCharType="begin" w:fldLock="1"/>
      </w:r>
      <w:r>
        <w:rPr>
          <w:color w:val="000000" w:themeColor="text1"/>
        </w:rPr>
        <w:instrText>ADDIN CSL_CITATION { "citationItems" : [ { "id" : "ITEM-1", "itemData" : { "URL" : "http://bar.utoronto.ca/", "accessed" : { "date-parts" : [ [ "2016", "6", "3" ] ] }, "id" : "ITEM-1", "issued" : { "date-parts" : [ [ "0" ] ] }, "title" : "The Bio-Analytic Resource (BAR) for Plant Biology", "type" : "webpage" }, "uris" : [ "http://www.mendeley.com/documents/?uuid=54a92f3f-e7cd-431c-a73f-f829444814be" ] } ], "mendeley" : { "formattedCitation" : "[9]", "plainTextFormattedCitation" : "[9]", "previouslyFormattedCitation" : "[19]" }, "properties" : { "noteIndex" : 0 }, "schema" : "https://github.com/citation-style-language/schema/raw/master/csl-citation.json" }</w:instrText>
      </w:r>
      <w:r w:rsidRPr="005D7626">
        <w:rPr>
          <w:color w:val="000000" w:themeColor="text1"/>
        </w:rPr>
        <w:fldChar w:fldCharType="separate"/>
      </w:r>
      <w:r w:rsidRPr="007A1562">
        <w:rPr>
          <w:noProof/>
          <w:color w:val="000000" w:themeColor="text1"/>
        </w:rPr>
        <w:t>[</w:t>
      </w:r>
      <w:r w:rsidR="00C3228C">
        <w:rPr>
          <w:noProof/>
          <w:color w:val="000000" w:themeColor="text1"/>
        </w:rPr>
        <w:t>4</w:t>
      </w:r>
      <w:r w:rsidRPr="007A1562">
        <w:rPr>
          <w:noProof/>
          <w:color w:val="000000" w:themeColor="text1"/>
        </w:rPr>
        <w:t>]</w:t>
      </w:r>
      <w:r w:rsidRPr="005D7626">
        <w:rPr>
          <w:color w:val="000000" w:themeColor="text1"/>
        </w:rPr>
        <w:fldChar w:fldCharType="end"/>
      </w:r>
      <w:r w:rsidRPr="005D7626">
        <w:rPr>
          <w:color w:val="000000" w:themeColor="text1"/>
        </w:rPr>
        <w:t xml:space="preserve">, was used to investigate gene expression profiles of potential </w:t>
      </w:r>
      <w:proofErr w:type="spellStart"/>
      <w:r w:rsidRPr="005D7626">
        <w:rPr>
          <w:color w:val="000000" w:themeColor="text1"/>
        </w:rPr>
        <w:t>Chalcone</w:t>
      </w:r>
      <w:proofErr w:type="spellEnd"/>
      <w:r w:rsidRPr="005D7626">
        <w:rPr>
          <w:color w:val="000000" w:themeColor="text1"/>
        </w:rPr>
        <w:t xml:space="preserve"> Synthase </w:t>
      </w:r>
      <w:r>
        <w:rPr>
          <w:color w:val="000000" w:themeColor="text1"/>
        </w:rPr>
        <w:t>genes.</w:t>
      </w:r>
    </w:p>
    <w:p w:rsidR="00C3228C" w:rsidRPr="007A1562" w:rsidRDefault="00C3228C" w:rsidP="00C3228C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Times New Roman"/>
          <w:noProof/>
          <w:szCs w:val="24"/>
        </w:rPr>
      </w:pPr>
      <w:r>
        <w:rPr>
          <w:rFonts w:ascii="Calibri" w:hAnsi="Calibri" w:cs="Times New Roman"/>
          <w:noProof/>
          <w:szCs w:val="24"/>
        </w:rPr>
        <w:t>1</w:t>
      </w:r>
      <w:r w:rsidRPr="007A1562">
        <w:rPr>
          <w:rFonts w:ascii="Calibri" w:hAnsi="Calibri" w:cs="Times New Roman"/>
          <w:noProof/>
          <w:szCs w:val="24"/>
        </w:rPr>
        <w:t xml:space="preserve">. Benedito VA, Torres-Jerez I, Murray JD, Andriankaja A, Allen S, Kakar K, et al. A gene expression atlas of the model legume Medicago truncatula. Plant J. 2008;55:504–13. </w:t>
      </w:r>
    </w:p>
    <w:p w:rsidR="00C3228C" w:rsidRPr="007A1562" w:rsidRDefault="00C3228C" w:rsidP="00C3228C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Times New Roman"/>
          <w:noProof/>
          <w:szCs w:val="24"/>
        </w:rPr>
      </w:pPr>
      <w:r>
        <w:rPr>
          <w:rFonts w:ascii="Calibri" w:hAnsi="Calibri" w:cs="Times New Roman"/>
          <w:noProof/>
          <w:szCs w:val="24"/>
        </w:rPr>
        <w:t>2</w:t>
      </w:r>
      <w:r w:rsidRPr="007A1562">
        <w:rPr>
          <w:rFonts w:ascii="Calibri" w:hAnsi="Calibri" w:cs="Times New Roman"/>
          <w:noProof/>
          <w:szCs w:val="24"/>
        </w:rPr>
        <w:t xml:space="preserve">. Patel R V, Nahal HK, Breit R, Provart NJ. BAR expressolog identification: expression profile similarity ranking of homologous genes in plant species. Plant J. 2012;71:1038–50. </w:t>
      </w:r>
    </w:p>
    <w:p w:rsidR="00C3228C" w:rsidRPr="007A1562" w:rsidRDefault="00C3228C" w:rsidP="00C3228C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Times New Roman"/>
          <w:noProof/>
          <w:szCs w:val="24"/>
        </w:rPr>
      </w:pPr>
      <w:r>
        <w:rPr>
          <w:rFonts w:ascii="Calibri" w:hAnsi="Calibri" w:cs="Times New Roman"/>
          <w:noProof/>
          <w:szCs w:val="24"/>
        </w:rPr>
        <w:t>3</w:t>
      </w:r>
      <w:r w:rsidRPr="007A1562">
        <w:rPr>
          <w:rFonts w:ascii="Calibri" w:hAnsi="Calibri" w:cs="Times New Roman"/>
          <w:noProof/>
          <w:szCs w:val="24"/>
        </w:rPr>
        <w:t>. Medicago eFP Browser [Internet]. [cited 2016 Jun 3]. Available from: http://bar.utoronto.ca/efpmedicago/cgi-bin/efpWeb.cgi</w:t>
      </w:r>
    </w:p>
    <w:p w:rsidR="00C3228C" w:rsidRPr="007A1562" w:rsidRDefault="00C3228C" w:rsidP="00C3228C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/>
          <w:noProof/>
        </w:rPr>
      </w:pPr>
      <w:r>
        <w:rPr>
          <w:rFonts w:ascii="Calibri" w:hAnsi="Calibri" w:cs="Times New Roman"/>
          <w:noProof/>
          <w:szCs w:val="24"/>
        </w:rPr>
        <w:t>4</w:t>
      </w:r>
      <w:r w:rsidRPr="007A1562">
        <w:rPr>
          <w:rFonts w:ascii="Calibri" w:hAnsi="Calibri" w:cs="Times New Roman"/>
          <w:noProof/>
          <w:szCs w:val="24"/>
        </w:rPr>
        <w:t>. The Bio-Analytic Resource (BAR) for Plant Biology [Internet]. [cited 2016 Jun 3]. Available from: http://bar.utoronto.ca/</w:t>
      </w:r>
      <w:bookmarkStart w:id="0" w:name="_GoBack"/>
      <w:bookmarkEnd w:id="0"/>
    </w:p>
    <w:p w:rsidR="00C3228C" w:rsidRDefault="00C3228C" w:rsidP="009725DB">
      <w:pPr>
        <w:spacing w:line="360" w:lineRule="auto"/>
        <w:rPr>
          <w:color w:val="000000" w:themeColor="text1"/>
        </w:rPr>
      </w:pPr>
    </w:p>
    <w:p w:rsidR="00C3228C" w:rsidRDefault="00C3228C" w:rsidP="009725DB">
      <w:pPr>
        <w:spacing w:line="360" w:lineRule="auto"/>
      </w:pPr>
    </w:p>
    <w:sectPr w:rsidR="00C3228C" w:rsidSect="009725DB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151" w:rsidRDefault="00FF6151">
      <w:pPr>
        <w:spacing w:after="0" w:line="240" w:lineRule="auto"/>
      </w:pPr>
      <w:r>
        <w:separator/>
      </w:r>
    </w:p>
  </w:endnote>
  <w:endnote w:type="continuationSeparator" w:id="0">
    <w:p w:rsidR="00FF6151" w:rsidRDefault="00FF6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 Sans">
    <w:altName w:val="Arial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151" w:rsidRDefault="00FF6151">
      <w:pPr>
        <w:spacing w:after="0" w:line="240" w:lineRule="auto"/>
      </w:pPr>
      <w:r>
        <w:separator/>
      </w:r>
    </w:p>
  </w:footnote>
  <w:footnote w:type="continuationSeparator" w:id="0">
    <w:p w:rsidR="00FF6151" w:rsidRDefault="00FF61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0620475"/>
      <w:docPartObj>
        <w:docPartGallery w:val="Page Numbers (Top of Page)"/>
        <w:docPartUnique/>
      </w:docPartObj>
    </w:sdtPr>
    <w:sdtEndPr>
      <w:rPr>
        <w:noProof/>
      </w:rPr>
    </w:sdtEndPr>
    <w:sdtContent>
      <w:p w:rsidR="00163FC5" w:rsidRDefault="009725D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228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63FC5" w:rsidRDefault="00FF61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5DB"/>
    <w:rsid w:val="009725DB"/>
    <w:rsid w:val="00A5488A"/>
    <w:rsid w:val="00C3228C"/>
    <w:rsid w:val="00FF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915ACE9-05C8-4A14-BE01-2F1114286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25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25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25DB"/>
  </w:style>
  <w:style w:type="character" w:customStyle="1" w:styleId="apple-converted-space">
    <w:name w:val="apple-converted-space"/>
    <w:rsid w:val="009725D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1132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Bond</dc:creator>
  <cp:keywords/>
  <dc:description/>
  <cp:lastModifiedBy>Donna Bond</cp:lastModifiedBy>
  <cp:revision>2</cp:revision>
  <dcterms:created xsi:type="dcterms:W3CDTF">2016-10-09T23:48:00Z</dcterms:created>
  <dcterms:modified xsi:type="dcterms:W3CDTF">2016-10-10T01:00:00Z</dcterms:modified>
</cp:coreProperties>
</file>