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574" w:rsidRDefault="00310574" w:rsidP="00310574">
      <w:pPr>
        <w:widowControl w:val="0"/>
        <w:autoSpaceDE w:val="0"/>
        <w:autoSpaceDN w:val="0"/>
        <w:adjustRightInd w:val="0"/>
        <w:spacing w:line="480" w:lineRule="auto"/>
        <w:jc w:val="center"/>
        <w:rPr>
          <w:b/>
        </w:rPr>
      </w:pPr>
      <w:r>
        <w:rPr>
          <w:noProof/>
          <w:lang w:eastAsia="en-NZ"/>
        </w:rPr>
        <w:drawing>
          <wp:inline distT="0" distB="0" distL="0" distR="0" wp14:anchorId="5D366E2B" wp14:editId="0C2D4164">
            <wp:extent cx="3885770" cy="5219700"/>
            <wp:effectExtent l="0" t="0" r="635" b="0"/>
            <wp:docPr id="1" name="Picture 1" descr="C:\Users\cfpnwa\Desktop\R3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pnwa\Desktop\R3tre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86856" cy="5221159"/>
                    </a:xfrm>
                    <a:prstGeom prst="rect">
                      <a:avLst/>
                    </a:prstGeom>
                    <a:noFill/>
                    <a:ln>
                      <a:noFill/>
                    </a:ln>
                  </pic:spPr>
                </pic:pic>
              </a:graphicData>
            </a:graphic>
          </wp:inline>
        </w:drawing>
      </w:r>
    </w:p>
    <w:p w:rsidR="00310574" w:rsidRDefault="00310574" w:rsidP="00310574">
      <w:pPr>
        <w:spacing w:line="360" w:lineRule="auto"/>
        <w:rPr>
          <w:b/>
        </w:rPr>
      </w:pPr>
      <w:r>
        <w:rPr>
          <w:b/>
        </w:rPr>
        <w:t xml:space="preserve">Figure S2 </w:t>
      </w:r>
      <w:r w:rsidRPr="00DD3A18">
        <w:rPr>
          <w:b/>
        </w:rPr>
        <w:t xml:space="preserve">Maximum likelihood phylogenetic tree of </w:t>
      </w:r>
      <w:r w:rsidR="002839BB">
        <w:rPr>
          <w:b/>
          <w:i/>
        </w:rPr>
        <w:t xml:space="preserve">Medicago truncatula </w:t>
      </w:r>
      <w:r w:rsidRPr="00DD3A18">
        <w:rPr>
          <w:b/>
        </w:rPr>
        <w:t>MYB proteins</w:t>
      </w:r>
      <w:r>
        <w:rPr>
          <w:b/>
        </w:rPr>
        <w:t>.</w:t>
      </w:r>
    </w:p>
    <w:p w:rsidR="00A5488A" w:rsidRDefault="00310574" w:rsidP="00310574">
      <w:r>
        <w:t xml:space="preserve">R3-MYB proteins from </w:t>
      </w:r>
      <w:r w:rsidRPr="00DD3A18">
        <w:rPr>
          <w:i/>
        </w:rPr>
        <w:t>Arabidopsis thaliana</w:t>
      </w:r>
      <w:r>
        <w:t xml:space="preserve"> (At), </w:t>
      </w:r>
      <w:r w:rsidRPr="00DD3A18">
        <w:rPr>
          <w:i/>
        </w:rPr>
        <w:t>Glycine max</w:t>
      </w:r>
      <w:r>
        <w:t xml:space="preserve"> (Gm), </w:t>
      </w:r>
      <w:r>
        <w:rPr>
          <w:i/>
        </w:rPr>
        <w:t>Gossy</w:t>
      </w:r>
      <w:r w:rsidRPr="00DD3A18">
        <w:rPr>
          <w:i/>
        </w:rPr>
        <w:t>pium hirsutum</w:t>
      </w:r>
      <w:r>
        <w:t xml:space="preserve"> (Gh), </w:t>
      </w:r>
      <w:r w:rsidRPr="00DD3A18">
        <w:rPr>
          <w:i/>
        </w:rPr>
        <w:t>Medicago truncatula</w:t>
      </w:r>
      <w:r>
        <w:t xml:space="preserve"> (Mt), </w:t>
      </w:r>
      <w:r w:rsidRPr="00DD3A18">
        <w:rPr>
          <w:i/>
        </w:rPr>
        <w:t>Mimulus cardinalis</w:t>
      </w:r>
      <w:r>
        <w:t xml:space="preserve"> (Mc),</w:t>
      </w:r>
      <w:r w:rsidRPr="00DD3A18">
        <w:t xml:space="preserve"> </w:t>
      </w:r>
      <w:r w:rsidRPr="00DD3A18">
        <w:rPr>
          <w:i/>
        </w:rPr>
        <w:t>Petunia hybrida</w:t>
      </w:r>
      <w:r>
        <w:t xml:space="preserve"> (Ph) and </w:t>
      </w:r>
      <w:r w:rsidRPr="00DD3A18">
        <w:rPr>
          <w:i/>
        </w:rPr>
        <w:t>Vitis vinifera</w:t>
      </w:r>
      <w:r>
        <w:t xml:space="preserve"> (Vv) were aligned and compared with R2R3-MYB proteins that regulate anthocyanin biosynthesis. The R2R3-MYB P1 from </w:t>
      </w:r>
      <w:r w:rsidRPr="00DD3A18">
        <w:rPr>
          <w:i/>
        </w:rPr>
        <w:t>Zea mays</w:t>
      </w:r>
      <w:r>
        <w:t xml:space="preserve"> (Zm) was used as an outgroup. Nodes with bootstrap support &gt;50% are shown (1000 replicates). The R3-MYB proteins MYBx from </w:t>
      </w:r>
      <w:r w:rsidRPr="00DD3A18">
        <w:rPr>
          <w:i/>
        </w:rPr>
        <w:t>Petunia</w:t>
      </w:r>
      <w:r>
        <w:t xml:space="preserve">, ROSE INTENSITY1 (ROI1) from </w:t>
      </w:r>
      <w:r w:rsidRPr="00DD3A18">
        <w:rPr>
          <w:i/>
        </w:rPr>
        <w:t>Mimulus</w:t>
      </w:r>
      <w:r>
        <w:t xml:space="preserve"> and CAPRICE (CPC) from</w:t>
      </w:r>
      <w:r w:rsidRPr="00DD3A18">
        <w:rPr>
          <w:i/>
        </w:rPr>
        <w:t xml:space="preserve"> Arabidopsis</w:t>
      </w:r>
      <w:r>
        <w:t xml:space="preserve"> have established roles inhibiting MBW activity for anthocyanin pigmentation </w:t>
      </w:r>
      <w:r>
        <w:fldChar w:fldCharType="begin" w:fldLock="1"/>
      </w:r>
      <w:r>
        <w:instrText>ADDIN CSL_CITATION { "citationItems" : [ { "id" : "ITEM-1", "itemData" : { "DOI" : "http://dx.doi.org/10.1093/mp/ssp030", "ISSN" : "1674-2052", "author" : [ { "dropping-particle" : "", "family" : "Zhu", "given" : "Hui-Fen", "non-dropping-particle" : "", "parse-names" : false, "suffix" : "" }, { "dropping-particle" : "", "family" : "Fitzsimmons", "given" : "Karen", "non-dropping-particle" : "", "parse-names" : false, "suffix" : "" }, { "dropping-particle" : "", "family" : "Khandelwal", "given" : "Abha", "non-dropping-particle" : "", "parse-names" : false, "suffix" : "" }, { "dropping-particle" : "", "family" : "Kranz", "given" : "Robert G", "non-dropping-particle" : "", "parse-names" : false, "suffix" : "" } ], "container-title" : "Molecular Plant", "id" : "ITEM-1", "issue" : "4", "issued" : { "date-parts" : [ [ "2009", "7" ] ] }, "page" : "790-802", "title" : "CPC, a Single-Repeat R3 MYB, Is a Negative Regulator of Anthocyanin Biosynthesis in Arabidopsis", "type" : "article-journal", "volume" : "2" }, "uris" : [ "http://www.mendeley.com/documents/?uuid=6e5af754-75f5-46ae-b248-9cf43af3bced" ] }, { "id" : "ITEM-2", "itemData" : { "abstract" : "Prezygotic barriers play a major role in the evolution of reproductive isolation, which is a prerequisite for speciation. However, despite considerable progress in identifying genes and mutations responsible for postzygotic isolation, little is known about the genetic and molecular basis underlying prezygotic barriers. The bumblebee-pollinated Mimulus lewisii and the hummingbird-pollinated M. cardinalis represent a classic example of pollinator-mediated prezygotic isolation between two sister species in sympatry. Flower color differences resulting from both carotenoid and anthocyanin pigments contribute to pollinator discrimination between the two species in nature. Through fine-scale genetic mapping, site-directed mutagenesis, and transgenic experiments, we demonstrate that a single-repeat R3 MYB repressor, ROSE INTENSITY1 (ROI1), is the causal gene underlying a major quantitative trait locus (QTL) with the largest effect on anthocyanin concentration and that cis-regulatory change rather than coding DNA mutations cause the allelic difference between M. lewisii and M. cardinalis. Together with the genomic resources and stable transgenic tools developed here, these results suggest that Mimulus is an excellent platform for studying the genetics of pollinator-mediated reproductive isolation and the molecular basis of morphological evolution at the most fundamental level\u2014gene by gene, mutation by mutation.", "author" : [ { "dropping-particle" : "", "family" : "Yuan", "given" : "Yao-Wu", "non-dropping-particle" : "", "parse-names" : false, "suffix" : "" }, { "dropping-particle" : "", "family" : "Sagawa", "given" : "Janelle M", "non-dropping-particle" : "", "parse-names" : false, "suffix" : "" }, { "dropping-particle" : "", "family" : "Young", "given" : "Riane C", "non-dropping-particle" : "", "parse-names" : false, "suffix" : "" }, { "dropping-particle" : "", "family" : "Christensen", "given" : "Brian J", "non-dropping-particle" : "", "parse-names" : false, "suffix" : "" }, { "dropping-particle" : "", "family" : "Bradshaw", "given" : "Harvey D", "non-dropping-particle" : "", "parse-names" : false, "suffix" : "" } ], "container-title" : "Genetics", "id" : "ITEM-2", "issue" : "1", "issued" : { "date-parts" : [ [ "2013", "4", "30" ] ] }, "page" : "255-263", "title" : "Genetic Dissection of a Major Anthocyanin QTL Contributing to Pollinator-Mediated Reproductive Isolation Between Sister Species of Mimulus", "type" : "article-journal", "volume" : "194" }, "uris" : [ "http://www.mendeley.com/documents/?uuid=4516880c-e9e3-4a9a-ade9-a498d9495aaf" ] }, { "id" : "ITEM-3", "itemData" : { "DOI" : "10.1105/tpc.113.122069", "ISBN" : "1040-4651", "ISSN" : "1532-298X", "PMID" : "24642943", "abstract" : "Plants require sophisticated regulatory mechanisms to ensure the degree of anthocyanin pigmentation is appropriate to myriad developmental and environmental signals. Central to this process are the activity of MYB-bHLH-WD repeat (MBW) complexes that regulate the transcription of anthocyanin genes. In this study, the gene regulatory network that regulates anthocyanin synthesis in petunia (Petunia hybrida) has been characterized. Genetic and molecular evidence show that the R2R3-MYB, MYB27, is an anthocyanin repressor that functions as part of the MBW complex and represses transcription through its C-terminal EAR motif. MYB27 targets both the anthocyanin pathway genes and basic-helix-loop-helix (bHLH) ANTHOCYANIN1 (AN1), itself an essential component of the MBW activation complex for pigmentation. Other features of the regulatory network identified include inhibition of AN1 activity by the competitive R3-MYB repressor MYBx and the activation of AN1, MYB27, and MYBx by the MBW activation complex, providing for both reinforcement and feedback regulation. We also demonstrate the intercellular movement of the WDR protein (AN11) and R3-repressor (MYBx), which may facilitate anthocyanin pigment pattern formation. The fundamental features of this regulatory network in the Asterid model of petunia are similar to those in the Rosid model of Arabidopsis thaliana and are thus likely to be widespread in the Eudicots.", "author" : [ { "dropping-particle" : "", "family" : "Albert", "given" : "Nick W", "non-dropping-particle" : "", "parse-names" : false, "suffix" : "" }, { "dropping-particle" : "", "family" : "Davies", "given" : "Kevin M", "non-dropping-particle" : "", "parse-names" : false, "suffix" : "" }, { "dropping-particle" : "", "family" : "Lewis", "given" : "David H", "non-dropping-particle" : "", "parse-names" : false, "suffix" : "" }, { "dropping-particle" : "", "family" : "Zhang", "given" : "Huaibi", "non-dropping-particle" : "", "parse-names" : false, "suffix" : "" }, { "dropping-particle" : "", "family" : "Montefiori", "given" : "Mirco", "non-dropping-particle" : "", "parse-names" : false, "suffix" : "" }, { "dropping-particle" : "", "family" : "Brendolise", "given" : "Cyril", "non-dropping-particle" : "", "parse-names" : false, "suffix" : "" }, { "dropping-particle" : "", "family" : "Boase", "given" : "Murray R", "non-dropping-particle" : "", "parse-names" : false, "suffix" : "" }, { "dropping-particle" : "", "family" : "Ngo", "given" : "Hanh", "non-dropping-particle" : "", "parse-names" : false, "suffix" : "" }, { "dropping-particle" : "", "family" : "Jameson", "given" : "Paula E", "non-dropping-particle" : "", "parse-names" : false, "suffix" : "" }, { "dropping-particle" : "", "family" : "Schwinn", "given" : "Kathy E", "non-dropping-particle" : "", "parse-names" : false, "suffix" : "" } ], "container-title" : "The Plant cell", "id" : "ITEM-3", "issue" : "3", "issued" : { "date-parts" : [ [ "2014" ] ] }, "page" : "962-980", "title" : "A conserved network of transcriptional activators and repressors regulates anthocyanin pigmentation in eudicots.", "type" : "article-journal", "volume" : "26" }, "uris" : [ "http://www.mendeley.com/documents/?uuid=1bf6d8e3-6418-430f-9d19-fac4cd08469b" ] } ], "mendeley" : { "formattedCitation" : "[3\u20135]", "plainTextFormattedCitation" : "[3\u20135]", "previouslyFormattedCitation" : "[13\u201315]" }, "properties" : { "noteIndex" : 0 }, "schema" : "https://github.com/citation-style-language/schema/raw/master/csl-citation.json" }</w:instrText>
      </w:r>
      <w:r>
        <w:fldChar w:fldCharType="separate"/>
      </w:r>
      <w:r w:rsidRPr="007A1562">
        <w:rPr>
          <w:noProof/>
        </w:rPr>
        <w:t>[</w:t>
      </w:r>
      <w:r w:rsidR="00B0276B">
        <w:rPr>
          <w:noProof/>
        </w:rPr>
        <w:t>1</w:t>
      </w:r>
      <w:r w:rsidR="007A5D50">
        <w:rPr>
          <w:noProof/>
        </w:rPr>
        <w:t>-3</w:t>
      </w:r>
      <w:bookmarkStart w:id="0" w:name="_GoBack"/>
      <w:bookmarkEnd w:id="0"/>
      <w:r w:rsidRPr="007A1562">
        <w:rPr>
          <w:noProof/>
        </w:rPr>
        <w:t>]</w:t>
      </w:r>
      <w:r>
        <w:fldChar w:fldCharType="end"/>
      </w:r>
      <w:r>
        <w:t>.</w:t>
      </w:r>
    </w:p>
    <w:p w:rsidR="00B0276B" w:rsidRPr="007A1562" w:rsidRDefault="00B0276B" w:rsidP="00B0276B">
      <w:pPr>
        <w:widowControl w:val="0"/>
        <w:autoSpaceDE w:val="0"/>
        <w:autoSpaceDN w:val="0"/>
        <w:adjustRightInd w:val="0"/>
        <w:spacing w:line="240" w:lineRule="auto"/>
        <w:rPr>
          <w:rFonts w:ascii="Calibri" w:hAnsi="Calibri" w:cs="Times New Roman"/>
          <w:noProof/>
          <w:szCs w:val="24"/>
        </w:rPr>
      </w:pPr>
      <w:r>
        <w:rPr>
          <w:rFonts w:ascii="Calibri" w:hAnsi="Calibri" w:cs="Times New Roman"/>
          <w:noProof/>
          <w:szCs w:val="24"/>
        </w:rPr>
        <w:t>1</w:t>
      </w:r>
      <w:r w:rsidRPr="007A1562">
        <w:rPr>
          <w:rFonts w:ascii="Calibri" w:hAnsi="Calibri" w:cs="Times New Roman"/>
          <w:noProof/>
          <w:szCs w:val="24"/>
        </w:rPr>
        <w:t xml:space="preserve">. Zhu H-F, Fitzsimmons K, Khandelwal A, Kranz RG. CPC, a Single-Repeat R3 MYB, Is a Negative Regulator of Anthocyanin Biosynthesis in Arabidopsis. Mol. Plant. 2009;2:790–802. </w:t>
      </w:r>
    </w:p>
    <w:p w:rsidR="00B0276B" w:rsidRPr="007A1562" w:rsidRDefault="00B0276B" w:rsidP="00B0276B">
      <w:pPr>
        <w:widowControl w:val="0"/>
        <w:autoSpaceDE w:val="0"/>
        <w:autoSpaceDN w:val="0"/>
        <w:adjustRightInd w:val="0"/>
        <w:spacing w:line="240" w:lineRule="auto"/>
        <w:rPr>
          <w:rFonts w:ascii="Calibri" w:hAnsi="Calibri" w:cs="Times New Roman"/>
          <w:noProof/>
          <w:szCs w:val="24"/>
        </w:rPr>
      </w:pPr>
      <w:r>
        <w:rPr>
          <w:rFonts w:ascii="Calibri" w:hAnsi="Calibri" w:cs="Times New Roman"/>
          <w:noProof/>
          <w:szCs w:val="24"/>
        </w:rPr>
        <w:t>2</w:t>
      </w:r>
      <w:r w:rsidRPr="007A1562">
        <w:rPr>
          <w:rFonts w:ascii="Calibri" w:hAnsi="Calibri" w:cs="Times New Roman"/>
          <w:noProof/>
          <w:szCs w:val="24"/>
        </w:rPr>
        <w:t xml:space="preserve">. Yuan Y-W, Sagawa JM, Young RC, Christensen BJ, Bradshaw HD. Genetic Dissection of a Major Anthocyanin QTL Contributing to Pollinator-Mediated Reproductive Isolation Between Sister Species of Mimulus. Genetics. 2013;194:255–63. </w:t>
      </w:r>
    </w:p>
    <w:p w:rsidR="00B0276B" w:rsidRDefault="00B0276B" w:rsidP="00B0276B">
      <w:pPr>
        <w:widowControl w:val="0"/>
        <w:autoSpaceDE w:val="0"/>
        <w:autoSpaceDN w:val="0"/>
        <w:adjustRightInd w:val="0"/>
        <w:spacing w:line="240" w:lineRule="auto"/>
      </w:pPr>
      <w:r>
        <w:rPr>
          <w:rFonts w:ascii="Calibri" w:hAnsi="Calibri" w:cs="Times New Roman"/>
          <w:noProof/>
          <w:szCs w:val="24"/>
        </w:rPr>
        <w:t>3</w:t>
      </w:r>
      <w:r w:rsidRPr="007A1562">
        <w:rPr>
          <w:rFonts w:ascii="Calibri" w:hAnsi="Calibri" w:cs="Times New Roman"/>
          <w:noProof/>
          <w:szCs w:val="24"/>
        </w:rPr>
        <w:t xml:space="preserve">. Albert NW, Davies KM, Lewis DH, Zhang H, Montefiori M, Brendolise C, et al. A conserved network of transcriptional activators and repressors regulates anthocyanin pigmentation in eudicots. Plant Cell. 2014;26:962–80. </w:t>
      </w:r>
    </w:p>
    <w:sectPr w:rsidR="00B027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74"/>
    <w:rsid w:val="002839BB"/>
    <w:rsid w:val="00310574"/>
    <w:rsid w:val="007A5D50"/>
    <w:rsid w:val="00A5488A"/>
    <w:rsid w:val="00B027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91AD8-1D20-4122-ABF6-05E18AFE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5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Bond</dc:creator>
  <cp:keywords/>
  <dc:description/>
  <cp:lastModifiedBy>Donna Bond</cp:lastModifiedBy>
  <cp:revision>4</cp:revision>
  <dcterms:created xsi:type="dcterms:W3CDTF">2016-10-09T23:46:00Z</dcterms:created>
  <dcterms:modified xsi:type="dcterms:W3CDTF">2016-10-10T00:58:00Z</dcterms:modified>
</cp:coreProperties>
</file>