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C0C" w:rsidRPr="00450C0C" w:rsidRDefault="00450C0C" w:rsidP="00521BD9">
      <w:pPr>
        <w:jc w:val="both"/>
        <w:rPr>
          <w:rFonts w:ascii="Arial Narrow" w:eastAsia="Times New Roman" w:hAnsi="Arial Narrow" w:cs="Arial"/>
          <w:b/>
          <w:bCs/>
          <w:sz w:val="24"/>
          <w:szCs w:val="24"/>
          <w:lang w:val="en-US" w:eastAsia="pt-BR"/>
        </w:rPr>
      </w:pPr>
      <w:r w:rsidRPr="00450C0C">
        <w:rPr>
          <w:rFonts w:ascii="Arial Narrow" w:eastAsia="Times New Roman" w:hAnsi="Arial Narrow" w:cs="Arial"/>
          <w:b/>
          <w:bCs/>
          <w:sz w:val="24"/>
          <w:szCs w:val="24"/>
          <w:lang w:val="en-US" w:eastAsia="pt-BR"/>
        </w:rPr>
        <w:t xml:space="preserve">Table </w:t>
      </w:r>
      <w:r w:rsidR="00D73E31">
        <w:rPr>
          <w:rFonts w:ascii="Arial Narrow" w:eastAsia="Times New Roman" w:hAnsi="Arial Narrow" w:cs="Arial"/>
          <w:b/>
          <w:bCs/>
          <w:sz w:val="24"/>
          <w:szCs w:val="24"/>
          <w:lang w:val="en-US" w:eastAsia="pt-BR"/>
        </w:rPr>
        <w:t>S</w:t>
      </w:r>
      <w:r w:rsidRPr="00450C0C">
        <w:rPr>
          <w:rFonts w:ascii="Arial Narrow" w:eastAsia="Times New Roman" w:hAnsi="Arial Narrow" w:cs="Arial"/>
          <w:b/>
          <w:bCs/>
          <w:sz w:val="24"/>
          <w:szCs w:val="24"/>
          <w:lang w:val="en-US" w:eastAsia="pt-BR"/>
        </w:rPr>
        <w:t xml:space="preserve">1. </w:t>
      </w:r>
      <w:r w:rsidRPr="00490106">
        <w:rPr>
          <w:rFonts w:ascii="Arial Narrow" w:eastAsia="Times New Roman" w:hAnsi="Arial Narrow" w:cs="Arial"/>
          <w:b/>
          <w:sz w:val="24"/>
          <w:szCs w:val="24"/>
          <w:lang w:val="en-US" w:eastAsia="pt-BR"/>
        </w:rPr>
        <w:t xml:space="preserve">MIQE checklist for authors, reviewers and editors. All essential information (E) </w:t>
      </w:r>
      <w:proofErr w:type="gramStart"/>
      <w:r w:rsidRPr="00490106">
        <w:rPr>
          <w:rFonts w:ascii="Arial Narrow" w:eastAsia="Times New Roman" w:hAnsi="Arial Narrow" w:cs="Arial"/>
          <w:b/>
          <w:sz w:val="24"/>
          <w:szCs w:val="24"/>
          <w:lang w:val="en-US" w:eastAsia="pt-BR"/>
        </w:rPr>
        <w:t>must be submitted</w:t>
      </w:r>
      <w:proofErr w:type="gramEnd"/>
      <w:r w:rsidRPr="00490106">
        <w:rPr>
          <w:rFonts w:ascii="Arial Narrow" w:eastAsia="Times New Roman" w:hAnsi="Arial Narrow" w:cs="Arial"/>
          <w:b/>
          <w:sz w:val="24"/>
          <w:szCs w:val="24"/>
          <w:lang w:val="en-US" w:eastAsia="pt-BR"/>
        </w:rPr>
        <w:t xml:space="preserve"> with the manuscript. Desirable information (D) </w:t>
      </w:r>
      <w:proofErr w:type="gramStart"/>
      <w:r w:rsidRPr="00490106">
        <w:rPr>
          <w:rFonts w:ascii="Arial Narrow" w:eastAsia="Times New Roman" w:hAnsi="Arial Narrow" w:cs="Arial"/>
          <w:b/>
          <w:sz w:val="24"/>
          <w:szCs w:val="24"/>
          <w:lang w:val="en-US" w:eastAsia="pt-BR"/>
        </w:rPr>
        <w:t>should be submitted</w:t>
      </w:r>
      <w:proofErr w:type="gramEnd"/>
      <w:r w:rsidRPr="00490106">
        <w:rPr>
          <w:rFonts w:ascii="Arial Narrow" w:eastAsia="Times New Roman" w:hAnsi="Arial Narrow" w:cs="Arial"/>
          <w:b/>
          <w:sz w:val="24"/>
          <w:szCs w:val="24"/>
          <w:lang w:val="en-US" w:eastAsia="pt-BR"/>
        </w:rPr>
        <w:t xml:space="preserve"> if available.</w:t>
      </w:r>
      <w:r w:rsidRPr="00450C0C">
        <w:rPr>
          <w:rFonts w:ascii="Arial Narrow" w:eastAsia="Times New Roman" w:hAnsi="Arial Narrow" w:cs="Arial"/>
          <w:sz w:val="24"/>
          <w:szCs w:val="24"/>
          <w:lang w:val="en-US" w:eastAsia="pt-BR"/>
        </w:rPr>
        <w:t xml:space="preserve"> </w:t>
      </w:r>
    </w:p>
    <w:p w:rsidR="00450C0C" w:rsidRPr="00450C0C" w:rsidRDefault="00450C0C">
      <w:pPr>
        <w:rPr>
          <w:lang w:val="en-US"/>
        </w:rPr>
      </w:pPr>
    </w:p>
    <w:tbl>
      <w:tblPr>
        <w:tblW w:w="1560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759"/>
        <w:gridCol w:w="658"/>
        <w:gridCol w:w="943"/>
        <w:gridCol w:w="10539"/>
      </w:tblGrid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ITEM TO CHECK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14"/>
                <w:szCs w:val="1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14"/>
                <w:szCs w:val="14"/>
                <w:lang w:val="en-US" w:eastAsia="pt-BR"/>
              </w:rPr>
              <w:t>Importance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14"/>
                <w:szCs w:val="1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14"/>
                <w:szCs w:val="14"/>
                <w:lang w:val="en-US" w:eastAsia="pt-BR"/>
              </w:rPr>
              <w:t>Checklist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14"/>
                <w:szCs w:val="1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14"/>
                <w:szCs w:val="14"/>
                <w:lang w:val="en-US" w:eastAsia="pt-BR"/>
              </w:rPr>
              <w:t>Yes/No/Not Applicable (NA)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lang w:val="en-US" w:eastAsia="pt-BR"/>
              </w:rPr>
              <w:t>DESCRIPTION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EXPERIMENTAL DESIGN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Definition of experimental and control groups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CE5EB0" w:rsidP="00B4281B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>
              <w:rPr>
                <w:rFonts w:ascii="Arial Narrow" w:eastAsia="Times New Roman" w:hAnsi="Arial Narrow" w:cs="Arial"/>
                <w:lang w:val="en-US" w:eastAsia="pt-BR"/>
              </w:rPr>
              <w:t>T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wo trials </w:t>
            </w:r>
            <w:proofErr w:type="gramStart"/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were 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>carried out</w:t>
            </w:r>
            <w:proofErr w:type="gramEnd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in the present work. For root dehydration, the control was maintained under constant hydration; the treatments consisted of dehydration of the roots exposed to air during the stress times employed (25, 50, 75, 100, 125, 150 min). For the qPCR, the treatme</w:t>
            </w:r>
            <w:r w:rsidR="004255D3">
              <w:rPr>
                <w:rFonts w:ascii="Arial Narrow" w:eastAsia="Times New Roman" w:hAnsi="Arial Narrow" w:cs="Arial"/>
                <w:lang w:val="en-US" w:eastAsia="pt-BR"/>
              </w:rPr>
              <w:t>nts of 25, 75 and 15</w:t>
            </w:r>
            <w:bookmarkStart w:id="0" w:name="_GoBack"/>
            <w:bookmarkEnd w:id="0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0 min were analyzed. Concerning the </w:t>
            </w:r>
            <w:r w:rsidR="00B4281B">
              <w:rPr>
                <w:rFonts w:ascii="Arial Narrow" w:eastAsia="Times New Roman" w:hAnsi="Arial Narrow" w:cs="Arial"/>
                <w:lang w:val="en-US" w:eastAsia="pt-BR"/>
              </w:rPr>
              <w:t>salt stress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trial, the control </w:t>
            </w:r>
            <w:proofErr w:type="gramStart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>was maintained</w:t>
            </w:r>
            <w:proofErr w:type="gramEnd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under irrigation with 200 m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>L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of Hoagland's Solution; for the treatments, NaCl was added to the Hoagland's Solutio</w:t>
            </w:r>
            <w:r w:rsidR="009C3988">
              <w:rPr>
                <w:rFonts w:ascii="Arial Narrow" w:eastAsia="Times New Roman" w:hAnsi="Arial Narrow" w:cs="Arial"/>
                <w:lang w:val="en-US" w:eastAsia="pt-BR"/>
              </w:rPr>
              <w:t>n to a final concentration of 15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0 </w:t>
            </w:r>
            <w:proofErr w:type="spellStart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>mM.</w:t>
            </w:r>
            <w:proofErr w:type="spellEnd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Roots were collected at 30, 60 and 90 minutes after contact with such solution. The referred times were analyzed via qPCR.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Number within each group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Three replicates were used for each treatment; each biological replicate was composed of five different plants.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Assay carried out by core lab or investigator's </w:t>
            </w:r>
            <w:proofErr w:type="gram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lab?</w:t>
            </w:r>
            <w:proofErr w:type="gramEnd"/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Investigator's lab.</w:t>
            </w:r>
          </w:p>
        </w:tc>
      </w:tr>
      <w:tr w:rsidR="00450C0C" w:rsidRPr="0048056B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Acknowledgement of authors' contributions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DD561F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Conceived and designed the experiments: AMBI, EAK, and MSG; Performed the experiments and analyzed the data:</w:t>
            </w:r>
            <w:r w:rsidR="00DD561F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LLBA, JRCFN, VP, </w:t>
            </w:r>
            <w:r w:rsidR="00463ADB">
              <w:rPr>
                <w:rFonts w:ascii="Arial Narrow" w:eastAsia="Times New Roman" w:hAnsi="Arial Narrow" w:cs="Arial"/>
                <w:lang w:val="en-US" w:eastAsia="pt-BR"/>
              </w:rPr>
              <w:t xml:space="preserve">MKSM, FTA,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MG</w:t>
            </w:r>
            <w:r w:rsidR="00463ADB">
              <w:rPr>
                <w:rFonts w:ascii="Arial Narrow" w:eastAsia="Times New Roman" w:hAnsi="Arial Narrow" w:cs="Arial"/>
                <w:lang w:val="en-US" w:eastAsia="pt-BR"/>
              </w:rPr>
              <w:t>S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, EAK and JPBN; Contributed reagents / materials / analysis tools: AMBI</w:t>
            </w:r>
            <w:r w:rsidR="0048056B">
              <w:rPr>
                <w:rFonts w:ascii="Arial Narrow" w:eastAsia="Times New Roman" w:hAnsi="Arial Narrow" w:cs="Arial"/>
                <w:lang w:val="en-US" w:eastAsia="pt-BR"/>
              </w:rPr>
              <w:t>, EAK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; Wrote the manuscript: LLBA, JCRFN, and AMBI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. AMBI coordinated the research project.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SAMPLE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Description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Each biological sample was from cowpea roots. Seeds were pre-germinated on moist filter paper, in the dark at 25°C ± 1°C, and in 65% ± 5% relative humidity. After 15 days, seedlings with the first trifoliate leaf fully developed (V2 developmental stage) were submitted to analyzed stresses (see Material and Methods section).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Volume/mass of sample processed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Microdissection or </w:t>
            </w: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macrodissection</w:t>
            </w:r>
            <w:proofErr w:type="spellEnd"/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Processing procedure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Upon collection of root tissue, 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each sample 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w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>as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packed in aluminum foil and then dipped in liquid nitrogen</w:t>
            </w:r>
            <w:proofErr w:type="gram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. 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>Next, t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he samples were 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immediately stored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a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>t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-80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proofErr w:type="spellStart"/>
            <w:r w:rsidRPr="00463ADB">
              <w:rPr>
                <w:rFonts w:ascii="Arial Narrow" w:eastAsia="Times New Roman" w:hAnsi="Arial Narrow" w:cs="Arial"/>
                <w:vertAlign w:val="superscript"/>
                <w:lang w:val="en-US" w:eastAsia="pt-BR"/>
              </w:rPr>
              <w:t>o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C</w:t>
            </w:r>
            <w:proofErr w:type="spell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in a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deep freezer. 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If frozen - how and how quickly?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The root tissue 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was collected from the control and from each treatment performed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,</w:t>
            </w:r>
            <w:proofErr w:type="gramEnd"/>
            <w:r w:rsidR="00B25A68">
              <w:rPr>
                <w:rFonts w:ascii="Arial Narrow" w:eastAsia="Times New Roman" w:hAnsi="Arial Narrow" w:cs="Arial"/>
                <w:lang w:val="en-US" w:eastAsia="pt-BR"/>
              </w:rPr>
              <w:t xml:space="preserve"> being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immediately dipped in liquid nitrogen.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If fixed - with what, how quickly?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Sample storage conditions and duration (especially for FFPE samples)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Samples were stored at -80oC 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 xml:space="preserve">in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deep freezer f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or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 xml:space="preserve">two weeks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before 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being immediately processed</w:t>
            </w:r>
            <w:proofErr w:type="gram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for RNA extraction upon removal from the deep freezer.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NUCLEIC ACID EXTRACTION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Procedure and/or </w:t>
            </w: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lastRenderedPageBreak/>
              <w:t>instrumentation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lastRenderedPageBreak/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521BD9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521BD9">
              <w:rPr>
                <w:rFonts w:ascii="Arial Narrow" w:eastAsia="Times New Roman" w:hAnsi="Arial Narrow" w:cs="Arial"/>
                <w:lang w:val="en-US" w:eastAsia="pt-BR"/>
              </w:rPr>
              <w:t>SV Total RNA Isolation System</w:t>
            </w:r>
            <w:r w:rsidR="00B25A68" w:rsidRPr="00521BD9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Name of kit and details of any modifications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Cat.#Z3105 and protocol supplied by manufacturer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Source of additional reagents used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Details of DNase or RNAse treatment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See SV Total RNA Isolation System protocol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Contamination assessment (DNA or RNA)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Using the ratio of 260 nm/280 nm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Nucleic acid quantification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Nanodrop©2000 (Thermo Scientific)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Instrument and method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Spectrophotometric analysis with measurements at 280 nm and 260 nm. Agarose gel electrophoresis at 2% agarose for each sample. 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Purity (A260/A280)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1.8 &lt; Purity &lt; 2.0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Yield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Variable, depending on the treatment investigated. Information </w:t>
            </w:r>
            <w:r w:rsidR="00CE5EB0" w:rsidRPr="00450C0C">
              <w:rPr>
                <w:rFonts w:ascii="Arial Narrow" w:eastAsia="Times New Roman" w:hAnsi="Arial Narrow" w:cs="Arial"/>
                <w:lang w:val="en-US" w:eastAsia="pt-BR"/>
              </w:rPr>
              <w:t>available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upon request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RNA integrity method/instrument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Gel electrophoresis at 2% agarose and Nanodrop©2000 (Thermo Scientific)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RIN/RQI or </w:t>
            </w: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Cq</w:t>
            </w:r>
            <w:proofErr w:type="spell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 of 3' and 5' transcripts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No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Electrophoresis traces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Pictures are 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>available upon request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4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Inhibition testing (</w:t>
            </w: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Cq</w:t>
            </w:r>
            <w:proofErr w:type="spell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 dilutions, spike or other)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Using the formula E% = [−1 + 10</w:t>
            </w:r>
            <w:r w:rsidRPr="00450C0C">
              <w:rPr>
                <w:rFonts w:ascii="Arial Narrow" w:eastAsia="Times New Roman" w:hAnsi="Arial Narrow" w:cs="Arial"/>
                <w:vertAlign w:val="superscript"/>
                <w:lang w:val="en-US" w:eastAsia="pt-BR"/>
              </w:rPr>
              <w:t>(−1/slope)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] × 100 and testing dilution series of sample cDNA, incorporating several orders of magnitude (100 – 0.1 ng) and C</w:t>
            </w:r>
            <w:r w:rsidRPr="00450C0C">
              <w:rPr>
                <w:rFonts w:ascii="Arial Narrow" w:eastAsia="Times New Roman" w:hAnsi="Arial Narrow" w:cs="Arial"/>
                <w:vertAlign w:val="subscript"/>
                <w:lang w:val="en-US" w:eastAsia="pt-BR"/>
              </w:rPr>
              <w:t>q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values were plotted against log</w:t>
            </w:r>
            <w:r w:rsidRPr="00450C0C">
              <w:rPr>
                <w:rFonts w:ascii="Arial Narrow" w:eastAsia="Times New Roman" w:hAnsi="Arial Narrow" w:cs="Arial"/>
                <w:vertAlign w:val="subscript"/>
                <w:lang w:val="en-US" w:eastAsia="pt-BR"/>
              </w:rPr>
              <w:t>10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[cDNA quantity]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REVERSE TRANSCRIPTION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Complete reaction conditions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CE5EB0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For each sample, 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>1 µg</w:t>
            </w:r>
            <w:r>
              <w:rPr>
                <w:rFonts w:ascii="Arial Narrow" w:eastAsia="Times New Roman" w:hAnsi="Arial Narrow" w:cs="Arial"/>
                <w:lang w:val="en-US" w:eastAsia="pt-BR"/>
              </w:rPr>
              <w:t xml:space="preserve"> of the RNA </w:t>
            </w:r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was reversed-transcribed into cDNA using the Improm-IITM Reverse Transcriptional System (Promega) with </w:t>
            </w:r>
            <w:proofErr w:type="gramStart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>oligo(</w:t>
            </w:r>
            <w:proofErr w:type="gramEnd"/>
            <w:r w:rsidR="00450C0C" w:rsidRPr="00450C0C">
              <w:rPr>
                <w:rFonts w:ascii="Arial Narrow" w:eastAsia="Times New Roman" w:hAnsi="Arial Narrow" w:cs="Arial"/>
                <w:lang w:val="en-US" w:eastAsia="pt-BR"/>
              </w:rPr>
              <w:t>dT) primers following the manufacture’s recommendations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Amount of RNA and reaction volume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1 μg of total RNA per 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20 </w:t>
            </w:r>
            <w:proofErr w:type="spellStart"/>
            <w:r w:rsidR="00CE5EB0" w:rsidRPr="00450C0C">
              <w:rPr>
                <w:rFonts w:ascii="Arial Narrow" w:eastAsia="Times New Roman" w:hAnsi="Arial Narrow" w:cs="Arial"/>
                <w:lang w:val="en-US" w:eastAsia="pt-BR"/>
              </w:rPr>
              <w:t>μL</w:t>
            </w:r>
            <w:proofErr w:type="spellEnd"/>
            <w:proofErr w:type="gram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reaction volume for each reverse transcription reaction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Priming oligonucleotide (if using GSP) and concentration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Reverse transcriptase and concentration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The ImProm-II™ Reverse Transcriptase (Cat.# A3803) supplied with this system is formulated for efficient first-strand cDNA synthesis or RT-PCR applications. For robust activity was used 1µ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L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of the enzyme in a 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20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µ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L</w:t>
            </w:r>
            <w:proofErr w:type="gram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reaction.</w:t>
            </w:r>
          </w:p>
        </w:tc>
      </w:tr>
      <w:tr w:rsidR="00450C0C" w:rsidRPr="00450C0C" w:rsidTr="00450C0C">
        <w:trPr>
          <w:trHeight w:val="336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Temperature and time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42 </w:t>
            </w:r>
            <w:r w:rsidRPr="00450C0C">
              <w:rPr>
                <w:rFonts w:ascii="Arial Narrow" w:eastAsia="Times New Roman" w:hAnsi="Arial Narrow" w:cs="Arial"/>
                <w:vertAlign w:val="superscript"/>
                <w:lang w:val="en-US" w:eastAsia="pt-BR"/>
              </w:rPr>
              <w:t>o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C for 60 min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Manufacturer of reagents and catalogue numbers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See </w:t>
            </w:r>
            <w:proofErr w:type="spell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ImProm</w:t>
            </w:r>
            <w:proofErr w:type="spell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-II™ Reverse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Transcription System protocol (link: https://www.promega.com/~/media/files/resources/protocols/technical%20manuals/0/improm-ii%20reverse%20transcription%20system%20protocol.pdf)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lastRenderedPageBreak/>
              <w:t>Cqs</w:t>
            </w:r>
            <w:proofErr w:type="spell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 with and without RT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See Supplementary Table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s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2 and 3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Storage conditions of cDNA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Permanently at -20 °C in sterile test tubes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qPCR TARGET INFORMATION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If multiplex, efficiency and LOD of each assay.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Sequence accession number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See Supplementary Appendix 1 and Table 1 for the sequence accession numbers of the CRGs and target genes.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Location of amplicon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B4281B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Preferably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 xml:space="preserve"> distinct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exons (Table 1)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Amplicon length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117 to 192 nt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n-US" w:eastAsia="pt-BR"/>
              </w:rPr>
              <w:t xml:space="preserve">In silico </w:t>
            </w: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specificity screen (BLAST, etc</w:t>
            </w:r>
            <w:r w:rsidR="00CE5EB0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.</w:t>
            </w: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Used primer-BLAST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 xml:space="preserve"> against Angiosperms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as target organism (data not show in the manuscript).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Pseudogenes, </w:t>
            </w: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retropseudogenes</w:t>
            </w:r>
            <w:proofErr w:type="spell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 or other homologs?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Pseudogenes were excluded from the analysis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Sequence alignment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Alignment available upon request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Secondary structure analysis of amplicon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No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Location of each primer by exon or intron (if applicable)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EB0" w:rsidRP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Care was taken to have the primer sequence spanning exon boundaries (Table 1). </w:t>
            </w:r>
            <w:r w:rsidR="00CE5EB0" w:rsidRPr="00CE5EB0">
              <w:rPr>
                <w:rFonts w:ascii="Arial Narrow" w:eastAsia="Times New Roman" w:hAnsi="Arial Narrow" w:cs="Arial"/>
                <w:lang w:val="en-US" w:eastAsia="pt-BR"/>
              </w:rPr>
              <w:t>However, not all pri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mers presented such an anchoring pattern</w:t>
            </w:r>
            <w:r w:rsidR="00CE5EB0" w:rsidRPr="00CE5EB0">
              <w:rPr>
                <w:rFonts w:ascii="Arial Narrow" w:eastAsia="Times New Roman" w:hAnsi="Arial Narrow" w:cs="Arial"/>
                <w:lang w:val="en-US" w:eastAsia="pt-BR"/>
              </w:rPr>
              <w:t>. Aiming to reinforce the analysis of quality and purity of the analyzed RNA populati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on, a pair of Actin primers (that anchors within an intron) was</w:t>
            </w:r>
            <w:r w:rsidR="00CE5EB0" w:rsidRPr="00CE5EB0">
              <w:rPr>
                <w:rFonts w:ascii="Arial Narrow" w:eastAsia="Times New Roman" w:hAnsi="Arial Narrow" w:cs="Arial"/>
                <w:lang w:val="en-US" w:eastAsia="pt-BR"/>
              </w:rPr>
              <w:t xml:space="preserve"> used. The functionality of this primer pair would indicate the presence of genomic DNA in the reaction.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What splice variants </w:t>
            </w:r>
            <w:proofErr w:type="gram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are targeted</w:t>
            </w:r>
            <w:proofErr w:type="gram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?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A68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No splice variants were targeted because there is no information about them in the 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 xml:space="preserve">analyzed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organism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450C0C" w:rsidRP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qPCR OLIGONUCLEOTIDES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Primer sequences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See Table 1 for the sequences of the 13 primer pairs used.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RTPrimerDB</w:t>
            </w:r>
            <w:proofErr w:type="spell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 Identification Number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Probe sequences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Location and identity of any modifications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No modifications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Manufacturer of oligonucleotides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Sinapse Biotecnologia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Purification method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Desalted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qPCR PROTOCOL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Complete reaction conditions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The qPCR amplifications were performed on the LineGene 9660 model (Bioer), using SYBR Green detection. Each reaction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lastRenderedPageBreak/>
              <w:t>mixture comprised 1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μL of template cDNA (diluted 5-fold), 5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μL of HotStart-IT SYBR Green qPCR Master Mix 2x (USB), 0.05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μL of ROX, 1.95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μL of water, and 1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μL primer (500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nM each) to a final volume of 10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μL. The reactions were denatured at 95°C for 2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min, followed by 40 cycles of 95</w:t>
            </w:r>
            <w:r w:rsidRPr="00450C0C">
              <w:rPr>
                <w:rFonts w:ascii="Arial Narrow" w:eastAsia="Times New Roman" w:hAnsi="Arial Narrow" w:cs="Arial Narrow"/>
                <w:lang w:val="en-US" w:eastAsia="pt-BR"/>
              </w:rPr>
              <w:t>°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C for 15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s, 58°C for 30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s, and 72</w:t>
            </w:r>
            <w:r w:rsidRPr="00450C0C">
              <w:rPr>
                <w:rFonts w:ascii="Arial Narrow" w:eastAsia="Times New Roman" w:hAnsi="Arial Narrow" w:cs="Arial Narrow"/>
                <w:lang w:val="en-US" w:eastAsia="pt-BR"/>
              </w:rPr>
              <w:t>°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C for 15</w:t>
            </w:r>
            <w:r w:rsidRPr="00450C0C">
              <w:rPr>
                <w:rFonts w:ascii="Arial" w:eastAsia="Times New Roman" w:hAnsi="Arial" w:cs="Arial"/>
                <w:lang w:val="en-US" w:eastAsia="pt-BR"/>
              </w:rPr>
              <w:t> 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s in 96-well reaction plates, with the detection of the fluorescence signal at the end of each extension step. After amplification, dissociation curves were produced (60 </w:t>
            </w:r>
            <w:r w:rsidRPr="00450C0C">
              <w:rPr>
                <w:rFonts w:ascii="Arial Narrow" w:eastAsia="Times New Roman" w:hAnsi="Arial Narrow" w:cs="Arial Narrow"/>
                <w:lang w:val="en-US" w:eastAsia="pt-BR"/>
              </w:rPr>
              <w:t>°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C to 95 </w:t>
            </w:r>
            <w:r w:rsidRPr="00450C0C">
              <w:rPr>
                <w:rFonts w:ascii="Arial Narrow" w:eastAsia="Times New Roman" w:hAnsi="Arial Narrow" w:cs="Arial Narrow"/>
                <w:lang w:val="en-US" w:eastAsia="pt-BR"/>
              </w:rPr>
              <w:t>°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C at a heating rate of 0.1 </w:t>
            </w:r>
            <w:r w:rsidRPr="00450C0C">
              <w:rPr>
                <w:rFonts w:ascii="Arial Narrow" w:eastAsia="Times New Roman" w:hAnsi="Arial Narrow" w:cs="Arial Narrow"/>
                <w:lang w:val="en-US" w:eastAsia="pt-BR"/>
              </w:rPr>
              <w:t>°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C/sec and acquiring fluorescence data every 0.3 °C) to discriminate the main reaction products from other nonspecific ones or primer-dimers.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lastRenderedPageBreak/>
              <w:t>Reaction volume and amount of cDNA/DNA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20 ng of cDNA in 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10 </w:t>
            </w:r>
            <w:proofErr w:type="spellStart"/>
            <w:r w:rsidR="00CE5EB0" w:rsidRPr="00450C0C">
              <w:rPr>
                <w:rFonts w:ascii="Arial Narrow" w:eastAsia="Times New Roman" w:hAnsi="Arial Narrow" w:cs="Arial"/>
                <w:lang w:val="en-US" w:eastAsia="pt-BR"/>
              </w:rPr>
              <w:t>μL</w:t>
            </w:r>
            <w:proofErr w:type="spellEnd"/>
            <w:proofErr w:type="gram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reaction volume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2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Primer, (probe), Mg++ and dNTP concentrations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F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i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nal concentration of 500 nM for each primer in the reaction, 2.5 mM MgCl</w:t>
            </w:r>
            <w:r w:rsidRPr="00450C0C">
              <w:rPr>
                <w:rFonts w:ascii="Arial Narrow" w:eastAsia="Times New Roman" w:hAnsi="Arial Narrow" w:cs="Arial"/>
                <w:vertAlign w:val="subscript"/>
                <w:lang w:val="en-US" w:eastAsia="pt-BR"/>
              </w:rPr>
              <w:t xml:space="preserve">2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and dNTP concentration provided with the Master mix (proprietary information)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Polymerase identity and concentration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HotStart-IT Taq DNA Polymerase [HotStart-IT SYBR Green qPCR Master Mix 2x (USB)]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Buffer/kit identity and manufacturer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HotStart-IT SYBR Green qPCR Master Mix 2x (USB)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Exact chemical constitution of the buffer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521BD9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The mix combines USB </w:t>
            </w:r>
            <w:proofErr w:type="spell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HotStart</w:t>
            </w:r>
            <w:proofErr w:type="spell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-IT Taq DNA Polymerase, </w:t>
            </w:r>
            <w:proofErr w:type="spell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heatlabile</w:t>
            </w:r>
            <w:proofErr w:type="spellEnd"/>
            <w:r w:rsidR="00CE5EB0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UDG, SYBR Green I, MgCl2, and Ultrapure nucleotides with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br/>
              <w:t>an optimized dUTP to dTTP ratio in a unique buffer formulation.</w:t>
            </w:r>
            <w:r w:rsidR="00521BD9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Magnesium and nucleotide concentrations are 5 mM and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 xml:space="preserve"> 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0.4 mM each, respectively [HotStart-IT SYBR Green qPCR Master Mix 2x (USB)]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Additives (SYBR Green I, DMSO, etc.)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SYBR Green I, ROX Passive Reference Dye, and Fluorescein Passive Reference Dye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Manufacturer of plates/tubes and catalog number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MicroAmp® Fast Optical 96-Well Reaction Plate with Barcode, 0.1 mL, Cat No.: 4346906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Complete </w:t>
            </w: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thermocycling</w:t>
            </w:r>
            <w:proofErr w:type="spell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 parameters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95 °C for 2 min as an initial step followed by 40 cycles of 95 °C for 15 s, 58 °C for 60 s and 72º for 15 s . After amplification, dissociation curves were produced (60 °C to 95 °C at a heating rate of 0.1 °C/sec and acquiring fluorescence data every 0.3 °C) to discriminate the main reaction products from other nonspecific ones or primer-dimers.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Reaction setup (manual/robotic)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Manual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Manufacturer of qPCR instrument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LineGene 9660 model (Bioer)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qPCR VALIDATION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Evidence of optimisation (from gradients)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No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No optimization steps were realized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Specificity (gel, sequence, melt, or digest)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Melting curves for each biological replicate (see Supplementary Appendix 2)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For SYBR Green I, Cq of the NTC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B4281B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B4281B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B4281B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B4281B">
              <w:rPr>
                <w:rFonts w:ascii="Arial Narrow" w:eastAsia="Times New Roman" w:hAnsi="Arial Narrow" w:cs="Arial"/>
                <w:lang w:val="en-US" w:eastAsia="pt-BR"/>
              </w:rPr>
              <w:t xml:space="preserve">See </w:t>
            </w:r>
            <w:r w:rsidR="00B4281B" w:rsidRPr="00B4281B">
              <w:rPr>
                <w:rFonts w:ascii="Arial Narrow" w:eastAsia="Times New Roman" w:hAnsi="Arial Narrow" w:cs="Arial"/>
                <w:lang w:val="en-US" w:eastAsia="pt-BR"/>
              </w:rPr>
              <w:t>Additional files 6 and 7</w:t>
            </w:r>
          </w:p>
          <w:p w:rsidR="00B25A68" w:rsidRPr="00B4281B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Standard curves with slope and y-intercept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B4281B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B4281B">
              <w:rPr>
                <w:rFonts w:ascii="Arial Narrow" w:eastAsia="Times New Roman" w:hAnsi="Arial Narrow" w:cs="Arial"/>
                <w:lang w:val="en-US" w:eastAsia="pt-BR"/>
              </w:rPr>
              <w:t>See Table 4</w:t>
            </w:r>
            <w:r w:rsidR="00B25A68" w:rsidRPr="00B4281B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B4281B" w:rsidRDefault="00B25A68" w:rsidP="00450C0C">
            <w:pPr>
              <w:rPr>
                <w:rFonts w:ascii="Arial Narrow" w:eastAsia="Times New Roman" w:hAnsi="Arial Narrow" w:cs="Arial"/>
                <w:highlight w:val="red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PCR efficiency calculated </w:t>
            </w: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lastRenderedPageBreak/>
              <w:t>from slope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lastRenderedPageBreak/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B4281B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B4281B">
              <w:rPr>
                <w:rFonts w:ascii="Arial Narrow" w:eastAsia="Times New Roman" w:hAnsi="Arial Narrow" w:cs="Arial"/>
                <w:lang w:val="en-US" w:eastAsia="pt-BR"/>
              </w:rPr>
              <w:t>See Table 4</w:t>
            </w:r>
            <w:r w:rsidR="00B25A68" w:rsidRPr="00B4281B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B4281B" w:rsidRDefault="00B25A68" w:rsidP="00450C0C">
            <w:pPr>
              <w:rPr>
                <w:rFonts w:ascii="Arial Narrow" w:eastAsia="Times New Roman" w:hAnsi="Arial Narrow" w:cs="Arial"/>
                <w:highlight w:val="red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lastRenderedPageBreak/>
              <w:t>Confidence interval for PCR efficiency or standard error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r2 of standard curve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&gt; 0.982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Linear dynamic range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13.5 to 25.9 Cycles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proofErr w:type="spellStart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Cq</w:t>
            </w:r>
            <w:proofErr w:type="spellEnd"/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 variation at lower limit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%CV=2.18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Confidence intervals throughout range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Evidence for limit of detection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If multiplex, efficiency and LOD of each assay.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NA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color w:val="FFFFFF"/>
                <w:sz w:val="24"/>
                <w:szCs w:val="24"/>
                <w:lang w:val="en-US" w:eastAsia="pt-BR"/>
              </w:rPr>
              <w:t>DATA ANALYSIS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 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 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qPCR analysis program (source, version)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A68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LineGene 9660 Software (Bioer)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Cq method determination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Manual, set for all assays at ΔRn=0.25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Outlier identification and disposition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Through standard curve: Cq= -3.225*(log10template copies) +35.25) and subsequent analysis with </w:t>
            </w:r>
            <w:proofErr w:type="spell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GraphPad</w:t>
            </w:r>
            <w:proofErr w:type="spell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Prism V.6 for Macintosh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 xml:space="preserve">Results of NTCs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&gt; 37 or no amplification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Justification of number and choice of reference genes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Although statistical data from the geNorm software indicate the use of two reference genes as suitable to obtain a normalization factor, three reference genes were used. Such quantitative was employment following the instructions of Vandesompele et al. (2002).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Description of normalisation method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Four strategies (geNorm, NormFinder, </w:t>
            </w:r>
            <w:proofErr w:type="spell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Bes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K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eeper</w:t>
            </w:r>
            <w:proofErr w:type="spell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, and Delta-Ct method) 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were used</w:t>
            </w:r>
            <w:proofErr w:type="gram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to indicate the reference genes used in the present study.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Number and concordance of biological replicates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A68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There were 3 biological replicates 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of each analyzed treatment.</w:t>
            </w:r>
          </w:p>
          <w:p w:rsidR="00450C0C" w:rsidRP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Number and stage (RT or qPCR) of technical replicates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There were 3 technical replicates 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for each biological replicate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Repeatability (intra-assay variation)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A68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Dependent of the analyzed 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transcript.</w:t>
            </w:r>
          </w:p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Reproducibility (inter-assay variation, %CV)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95% Confidence Intervals, Intercept=33</w:t>
            </w:r>
            <w:r w:rsidR="00521BD9">
              <w:rPr>
                <w:rFonts w:ascii="Arial Narrow" w:eastAsia="Times New Roman" w:hAnsi="Arial Narrow" w:cs="Arial"/>
                <w:lang w:val="en-US" w:eastAsia="pt-BR"/>
              </w:rPr>
              <w:t>.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12 to 38</w:t>
            </w:r>
            <w:r w:rsidR="00521BD9">
              <w:rPr>
                <w:rFonts w:ascii="Arial Narrow" w:eastAsia="Times New Roman" w:hAnsi="Arial Narrow" w:cs="Arial"/>
                <w:lang w:val="en-US" w:eastAsia="pt-BR"/>
              </w:rPr>
              <w:t>.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03, Slope= -3.18 to -3.43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Power analysis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Calibri"/>
                <w:lang w:val="en-US" w:eastAsia="pt-BR"/>
              </w:rPr>
            </w:pPr>
            <w:r w:rsidRPr="00450C0C">
              <w:rPr>
                <w:rFonts w:ascii="Arial Narrow" w:eastAsia="Times New Roman" w:hAnsi="Arial Narrow" w:cs="Calibri"/>
                <w:lang w:val="en-US" w:eastAsia="pt-BR"/>
              </w:rPr>
              <w:t>−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No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-</w:t>
            </w:r>
          </w:p>
        </w:tc>
      </w:tr>
      <w:tr w:rsidR="00450C0C" w:rsidRPr="004255D3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Statistical methods for result significance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For the reference gene indication, the statistical methods were contained in the geNorm, NormF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i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nder, Best</w:t>
            </w:r>
            <w:r w:rsidR="00CE5EB0">
              <w:rPr>
                <w:rFonts w:ascii="Arial Narrow" w:eastAsia="Times New Roman" w:hAnsi="Arial Narrow" w:cs="Arial"/>
                <w:lang w:val="en-US" w:eastAsia="pt-BR"/>
              </w:rPr>
              <w:t>K</w:t>
            </w: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eeper algorithms and Delta-Ct method</w:t>
            </w:r>
            <w:proofErr w:type="gramStart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;</w:t>
            </w:r>
            <w:proofErr w:type="gramEnd"/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 For relative expression analysis: REST2009 software (p&lt;0.05).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t>Software (source, version)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E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>See Material and Methods</w:t>
            </w:r>
            <w:r w:rsidR="00B25A68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</w:tc>
      </w:tr>
      <w:tr w:rsidR="00450C0C" w:rsidRPr="00450C0C" w:rsidTr="00450C0C">
        <w:trPr>
          <w:trHeight w:val="312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sz w:val="24"/>
                <w:szCs w:val="24"/>
                <w:lang w:val="en-US" w:eastAsia="pt-BR"/>
              </w:rPr>
              <w:lastRenderedPageBreak/>
              <w:t>Cq or raw data submission using RDML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D</w:t>
            </w:r>
          </w:p>
        </w:tc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ok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C0C" w:rsidRPr="00450C0C" w:rsidRDefault="00450C0C" w:rsidP="00450C0C">
            <w:pPr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val="en-US" w:eastAsia="pt-BR"/>
              </w:rPr>
              <w:t>Yes</w:t>
            </w:r>
          </w:p>
        </w:tc>
        <w:tc>
          <w:tcPr>
            <w:tcW w:w="10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C0C" w:rsidRDefault="00450C0C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  <w:r w:rsidRPr="00450C0C">
              <w:rPr>
                <w:rFonts w:ascii="Arial Narrow" w:eastAsia="Times New Roman" w:hAnsi="Arial Narrow" w:cs="Arial"/>
                <w:lang w:val="en-US" w:eastAsia="pt-BR"/>
              </w:rPr>
              <w:t xml:space="preserve">See </w:t>
            </w:r>
            <w:r w:rsidR="00D735E9" w:rsidRPr="00B4281B">
              <w:rPr>
                <w:rFonts w:ascii="Arial Narrow" w:eastAsia="Times New Roman" w:hAnsi="Arial Narrow" w:cs="Arial"/>
                <w:lang w:val="en-US" w:eastAsia="pt-BR"/>
              </w:rPr>
              <w:t>Additional files 6 and 7</w:t>
            </w:r>
            <w:r w:rsidR="00D735E9">
              <w:rPr>
                <w:rFonts w:ascii="Arial Narrow" w:eastAsia="Times New Roman" w:hAnsi="Arial Narrow" w:cs="Arial"/>
                <w:lang w:val="en-US" w:eastAsia="pt-BR"/>
              </w:rPr>
              <w:t>.</w:t>
            </w:r>
          </w:p>
          <w:p w:rsidR="00B25A68" w:rsidRPr="00450C0C" w:rsidRDefault="00B25A68" w:rsidP="00450C0C">
            <w:pPr>
              <w:rPr>
                <w:rFonts w:ascii="Arial Narrow" w:eastAsia="Times New Roman" w:hAnsi="Arial Narrow" w:cs="Arial"/>
                <w:lang w:val="en-US" w:eastAsia="pt-BR"/>
              </w:rPr>
            </w:pPr>
          </w:p>
        </w:tc>
      </w:tr>
    </w:tbl>
    <w:p w:rsidR="00450C0C" w:rsidRPr="00450C0C" w:rsidRDefault="00450C0C" w:rsidP="00450C0C">
      <w:pPr>
        <w:rPr>
          <w:rFonts w:ascii="Arial Narrow" w:hAnsi="Arial Narrow"/>
          <w:lang w:val="en-US"/>
        </w:rPr>
      </w:pPr>
      <w:r w:rsidRPr="00450C0C">
        <w:rPr>
          <w:rFonts w:ascii="Arial Narrow" w:hAnsi="Arial Narrow"/>
          <w:lang w:val="en-US"/>
        </w:rPr>
        <w:t xml:space="preserve">Legend for abbreviations: NA= not </w:t>
      </w:r>
      <w:r w:rsidR="00CE5EB0" w:rsidRPr="00450C0C">
        <w:rPr>
          <w:rFonts w:ascii="Arial Narrow" w:hAnsi="Arial Narrow"/>
          <w:lang w:val="en-US"/>
        </w:rPr>
        <w:t>applicable</w:t>
      </w:r>
      <w:r w:rsidRPr="00450C0C">
        <w:rPr>
          <w:rFonts w:ascii="Arial Narrow" w:hAnsi="Arial Narrow"/>
          <w:lang w:val="en-US"/>
        </w:rPr>
        <w:t>.</w:t>
      </w:r>
    </w:p>
    <w:p w:rsidR="00B66332" w:rsidRPr="00450C0C" w:rsidRDefault="00B66332">
      <w:pPr>
        <w:rPr>
          <w:rFonts w:ascii="Arial Narrow" w:hAnsi="Arial Narrow"/>
          <w:lang w:val="en-US"/>
        </w:rPr>
      </w:pPr>
    </w:p>
    <w:sectPr w:rsidR="00B66332" w:rsidRPr="00450C0C" w:rsidSect="00450C0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G0sDQ2MrKwNLM0tzRS0lEKTi0uzszPAykwrAUAbOdZeSwAAAA="/>
  </w:docVars>
  <w:rsids>
    <w:rsidRoot w:val="00450C0C"/>
    <w:rsid w:val="002A38E0"/>
    <w:rsid w:val="002F174F"/>
    <w:rsid w:val="004255D3"/>
    <w:rsid w:val="00450C0C"/>
    <w:rsid w:val="00463ADB"/>
    <w:rsid w:val="0048056B"/>
    <w:rsid w:val="00490106"/>
    <w:rsid w:val="00521BD9"/>
    <w:rsid w:val="005B5336"/>
    <w:rsid w:val="006624CF"/>
    <w:rsid w:val="009C3988"/>
    <w:rsid w:val="00A0487F"/>
    <w:rsid w:val="00B25A68"/>
    <w:rsid w:val="00B4281B"/>
    <w:rsid w:val="00B66332"/>
    <w:rsid w:val="00CE5EB0"/>
    <w:rsid w:val="00D735E9"/>
    <w:rsid w:val="00D73E31"/>
    <w:rsid w:val="00DD561F"/>
    <w:rsid w:val="00E1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ED4DD-BC18-4EA6-BAF4-DDFACAE5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50C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0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1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AMBI</dc:creator>
  <cp:lastModifiedBy>Neto Costa Ferreira</cp:lastModifiedBy>
  <cp:revision>15</cp:revision>
  <dcterms:created xsi:type="dcterms:W3CDTF">2017-11-03T11:55:00Z</dcterms:created>
  <dcterms:modified xsi:type="dcterms:W3CDTF">2018-09-03T15:08:00Z</dcterms:modified>
</cp:coreProperties>
</file>