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3AD" w:rsidRPr="00F0286A" w:rsidRDefault="0056619A" w:rsidP="0056619A">
      <w:pPr>
        <w:pStyle w:val="Supplements"/>
        <w:numPr>
          <w:ilvl w:val="0"/>
          <w:numId w:val="0"/>
        </w:numPr>
      </w:pPr>
      <w:r>
        <w:t xml:space="preserve">Additional file 2: </w:t>
      </w:r>
      <w:r w:rsidR="00EE43AD" w:rsidRPr="00C62BA6">
        <w:t>Literature</w:t>
      </w:r>
      <w:r w:rsidR="00EE43AD" w:rsidRPr="00F0286A">
        <w:t xml:space="preserve"> search protocol</w:t>
      </w:r>
    </w:p>
    <w:p w:rsidR="00EE43AD" w:rsidRPr="005B6F60" w:rsidRDefault="00EE43AD" w:rsidP="00EE43AD">
      <w:r w:rsidRPr="003B4C26">
        <w:t xml:space="preserve">We used the </w:t>
      </w:r>
      <w:proofErr w:type="spellStart"/>
      <w:r w:rsidRPr="003B4C26">
        <w:t>Textpresso</w:t>
      </w:r>
      <w:proofErr w:type="spellEnd"/>
      <w:r w:rsidRPr="003B4C26">
        <w:t xml:space="preserve"> tool to do a systematic literature scan searching the full text of the material and methods of 21070</w:t>
      </w:r>
      <w:r>
        <w:t xml:space="preserve"> </w:t>
      </w:r>
      <w:r w:rsidRPr="009528D3">
        <w:t xml:space="preserve">Arabidopsis articles (http://www.textpresso.org/Arabidopsis/). This returned 811 articles, screening these articles revealed that 620 actually cultivated </w:t>
      </w:r>
      <w:r w:rsidRPr="00D058E6">
        <w:t xml:space="preserve">Arabidopsis hydroponically. Based on this survey we chose the most frequently used solutions: Hoagland and </w:t>
      </w:r>
      <w:proofErr w:type="spellStart"/>
      <w:r w:rsidRPr="00D058E6">
        <w:t>Arnon</w:t>
      </w:r>
      <w:proofErr w:type="spellEnd"/>
      <w:r w:rsidRPr="00D058E6">
        <w:t xml:space="preserve"> </w:t>
      </w:r>
      <w:r w:rsidR="00B746A0" w:rsidRPr="005B6F60">
        <w:fldChar w:fldCharType="begin" w:fldLock="1"/>
      </w:r>
      <w:r w:rsidRPr="00E35BC7">
        <w:instrText>ADDIN CSL_CITATION {"citationItems":[{"id":"ITEM-1","itemData":{"DOI":"citeulike-article-id:9455435","ISBN":"347","PMID":"266","abstract":"This is a revised edition of a popular account issued in 1938 H.A., 10: 28 based on the investigations of the two authors. Since then, experience in the U.S.A. and elsewhere has failed, in the authors' opinion, to support the early exaggerated claims for the value of the technique. Their experience leads to the conclusion that for its successful operation a knowledge of plant physiology is essential, that its commercial application is only likely to be successful under limited conditions and expert supervision, and that its results are rarely superior to those of soil culture. If, despite this, the would-be \"nutriculturist\" persists, he will find much to encourage and enlighten him on pp. 23-32, which contain directions on type of container, nature of bed, aeration of root system, planting procedures, the management of solutions, selection and preparation of solution, and the use of nutrient solutions for demonstrating mineral deficiencies.","author":[{"dropping-particle":"","family":"Hoagland","given":"D R","non-dropping-particle":"","parse-names":false,"suffix":""},{"dropping-particle":"","family":"Arnon","given":"D I","non-dropping-particle":"","parse-names":false,"suffix":""}],"container-title":"California Agricultural Experiment Station Circular","id":"ITEM-1","issued":{"date-parts":[["1950"]]},"title":"The water-culture method for growing plants without soil","type":"article-journal"},"uris":["http://www.mendeley.com/documents/?uuid=5db32bf7-d675-422a-8047-cebc62a7187c"]}],"mendeley":{"formattedCitation":"[22]","plainTextFormattedCitation":"[22]","previouslyFormattedCitation":"[22]"},"properties":{"noteIndex":0},"schema":"https://github.com/citation-style-language/schema/raw/master/csl-citation.json"}</w:instrText>
      </w:r>
      <w:r w:rsidR="00B746A0" w:rsidRPr="005B6F60">
        <w:fldChar w:fldCharType="separate"/>
      </w:r>
      <w:r w:rsidRPr="005B6F60">
        <w:rPr>
          <w:noProof/>
        </w:rPr>
        <w:t>[22]</w:t>
      </w:r>
      <w:r w:rsidR="00B746A0" w:rsidRPr="005B6F60">
        <w:fldChar w:fldCharType="end"/>
      </w:r>
      <w:r w:rsidRPr="005B6F60">
        <w:t>, Murashige and Skoog</w:t>
      </w:r>
      <w:r w:rsidRPr="009E1474">
        <w:t xml:space="preserve"> </w:t>
      </w:r>
      <w:r w:rsidR="00B746A0" w:rsidRPr="005B6F60">
        <w:fldChar w:fldCharType="begin" w:fldLock="1"/>
      </w:r>
      <w:r w:rsidRPr="00E35BC7">
        <w:instrText>ADDIN CSL_CITATION {"citationItems":[{"id":"ITEM-1","itemData":{"DOI":"10.1111/j.1399-3054.1962.tb08052.x","ISBN":"1399-3054","ISSN":"00319317","PMID":"11454361","abstract":"Figure 1. Figure 1. F.ffevt of tobacco lenf extract on the growth of tohacco fnth tissue \\${\\textbackslash}backslash$'\\${\\textbackslash}backslash$'-'2. !0 g/1. uf iiu'diiim: Exi¬ªt. stnrtcct Mjir. 7. M158). Curve I witii, curve 11 wittiout teat\" extract added to the standard hasat nicdiiiiii. Figure 2. Effect of concentration of leaf extract on the yield ...","author":[{"dropping-particle":"","family":"Murashige","given":"T","non-dropping-particle":"","parse-names":false,"suffix":""},{"dropping-particle":"","family":"Skoog","given":"F","non-dropping-particle":"","parse-names":false,"suffix":""}],"container-title":"Physiologia Plantarum","id":"ITEM-1","issued":{"date-parts":[["1962"]]},"page":"473–497","title":"A revised medium for rapid growth and bio assays with tobacco tissue cultures","type":"article-journal","volume":"15"},"suppress-author":1,"uris":["http://www.mendeley.com/documents/?uuid=88181fe1-815d-42e3-aeae-b1ceb049c69e"]}],"mendeley":{"formattedCitation":"[23]","plainTextFormattedCitation":"[23]","previouslyFormattedCitation":"[23]"},"properties":{"noteIndex":0},"schema":"https://github.com/citation-style-language/schema/raw/master/csl-citation.json"}</w:instrText>
      </w:r>
      <w:r w:rsidR="00B746A0" w:rsidRPr="005B6F60">
        <w:fldChar w:fldCharType="separate"/>
      </w:r>
      <w:r w:rsidRPr="005B6F60">
        <w:rPr>
          <w:noProof/>
        </w:rPr>
        <w:t>[23]</w:t>
      </w:r>
      <w:r w:rsidR="00B746A0" w:rsidRPr="005B6F60">
        <w:fldChar w:fldCharType="end"/>
      </w:r>
      <w:r w:rsidRPr="005B6F60">
        <w:t xml:space="preserve">, </w:t>
      </w:r>
      <w:proofErr w:type="spellStart"/>
      <w:r w:rsidRPr="005B6F60">
        <w:t>Tocquin</w:t>
      </w:r>
      <w:proofErr w:type="spellEnd"/>
      <w:r w:rsidRPr="009E1474">
        <w:t xml:space="preserve"> </w:t>
      </w:r>
      <w:r w:rsidR="00B746A0" w:rsidRPr="005B6F60">
        <w:fldChar w:fldCharType="begin" w:fldLock="1"/>
      </w:r>
      <w:r w:rsidRPr="00E35BC7">
        <w:instrText>ADDIN CSL_CITATION {"citationItems":[{"id":"ITEM-1","itemData":{"DOI":"10.1186/1471-2229-3-2","ISBN":"1471-2229","ISSN":"1471-2229","PMID":"12556248","abstract":"BACKGROUND: Arabidopsis thaliana is now the model organism for genetic and molecular plant studies, but growing conditions may still impair the significance and reproducibility of the experimental strategies developed. Besides the use of phytotronic cabinets, controlling plant nutrition may be critical and could be achieved in hydroponics. The availability of such a system would also greatly facilitate studies dealing with root development. However, because of its small size and rosette growth habit, Arabidopsis is hardly grown in standard hydroponic devices and the systems described in the last years are still difficult to transpose at a large scale. Our aim was to design and optimize an up-scalable device that would be adaptable to any experimental conditions. RESULTS: An hydroponic system was designed for Arabidopsis, which is based on two units: a seed-holder and a 1-L tank with its cover. The original agar-containing seed-holder allows the plants to grow from sowing to seed set, without transplanting step and with minimal waste. The optimum nitrate supply was determined for vegetative growth, and the flowering response to photoperiod and vernalization was characterized to show the feasibility and reproducibility of experiments extending over the whole life cycle. How this equipment allowed to overcome experimental problems is illustrated by the analysis of developmental effects of nitrate reductase deficiency in nia1nia2 mutants. CONCLUSION: The hydroponic device described in this paper allows to drive small and large scale cultures of homogeneously growing Arabidopsis plants. Its major advantages are its flexibility, easy handling, fast maintenance and low cost. It should be suitable for many experimental purposes.","author":[{"dropping-particle":"","family":"Tocquin","given":"Pierre","non-dropping-particle":"","parse-names":false,"suffix":""},{"dropping-particle":"","family":"Corbesier","given":"Laurent","non-dropping-particle":"","parse-names":false,"suffix":""},{"dropping-particle":"","family":"Havelange","given":"Andrée","non-dropping-particle":"","parse-names":false,"suffix":""},{"dropping-particle":"","family":"Pieltain","given":"Alexandra","non-dropping-particle":"","parse-names":false,"suffix":""},{"dropping-particle":"","family":"Kurtem","given":"Emile","non-dropping-particle":"","parse-names":false,"suffix":""},{"dropping-particle":"","family":"Bernier","given":"Georges","non-dropping-particle":"","parse-names":false,"suffix":""},{"dropping-particle":"","family":"Périlleux","given":"Claire","non-dropping-particle":"","parse-names":false,"suffix":""}],"container-title":"BMC plant biology","id":"ITEM-1","issued":{"date-parts":[["2003"]]},"page":"2","title":"A novel high efficiency, low maintenance, hydroponic system for synchronous growth and flowering of Arabidopsis thaliana.","type":"article-journal","volume":"3"},"uris":["http://www.mendeley.com/documents/?uuid=e8df1a49-da0f-4ce0-bdfc-efcb144f6b1a"]}],"mendeley":{"formattedCitation":"[24]","plainTextFormattedCitation":"[24]","previouslyFormattedCitation":"[24]"},"properties":{"noteIndex":0},"schema":"https://github.com/citation-style-language/schema/raw/master/csl-citation.json"}</w:instrText>
      </w:r>
      <w:r w:rsidR="00B746A0" w:rsidRPr="005B6F60">
        <w:fldChar w:fldCharType="separate"/>
      </w:r>
      <w:r w:rsidRPr="005B6F60">
        <w:rPr>
          <w:noProof/>
        </w:rPr>
        <w:t>[24]</w:t>
      </w:r>
      <w:r w:rsidR="00B746A0" w:rsidRPr="005B6F60">
        <w:fldChar w:fldCharType="end"/>
      </w:r>
      <w:r w:rsidRPr="005B6F60">
        <w:t xml:space="preserve">, </w:t>
      </w:r>
      <w:proofErr w:type="spellStart"/>
      <w:r w:rsidRPr="005B6F60">
        <w:t>Hermans</w:t>
      </w:r>
      <w:proofErr w:type="spellEnd"/>
      <w:r w:rsidRPr="009E1474">
        <w:t xml:space="preserve"> </w:t>
      </w:r>
      <w:r w:rsidR="00B746A0" w:rsidRPr="005B6F60">
        <w:fldChar w:fldCharType="begin" w:fldLock="1"/>
      </w:r>
      <w:r w:rsidRPr="00E35BC7">
        <w:instrText>ADDIN CSL_CITATION {"citationItems":[{"id":"ITEM-1","itemData":{"DOI":"10.1111/j.1469-8137.2010.03258.x","ISBN":"0028-646X","ISSN":"0028646X","PMID":"20406411","abstract":"Summary: •Plant growth and development ultimately depend on environmental variables such as the availability of essential minerals. Unravelling how nutrients affect gene expression will help to understand how they regulate plant growth.•This study reports the early transcriptomic response to magnesium (Mg) deprivation in Arabidopsis. Whole-genome transcriptome was studied in the roots and young mature leaves 4, 8 and 28 h after the removal of Mg from the nutrient solution.•The highest number of regulated genes was first observed in the roots. Contrary to other mineral deficiencies, Mg depletion did not induce a higher expression of annotated genes in Mg uptake. Remarkable responses include the perturbation of the central oscillator of the circadian clock in roots and the triggering of abscisic acid (ABA) signalling, with half of the up-regulated Mg genes in leaves being ABA-responsive. However, no change in ABA content was observed.•The specificity of the response of some Mg-regulated genes was challenged by studying their expression after other mineral deficiencies and environmental stresses. The possibility to develop markers for Mg incipient deficiency is discussed here. © The Authors (2010). Journal compilation © New Phytologist Trust (2010).","author":[{"dropping-particle":"","family":"Hermans","given":"Christian","non-dropping-particle":"","parse-names":false,"suffix":""},{"dropping-particle":"","family":"Vuylsteke","given":"Marnik","non-dropping-particle":"","parse-names":false,"suffix":""},{"dropping-particle":"","family":"Coppens","given":"Frederik","non-dropping-particle":"","parse-names":false,"suffix":""},{"dropping-particle":"","family":"Craciun","given":"Adrian","non-dropping-particle":"","parse-names":false,"suffix":""},{"dropping-particle":"","family":"Inzé","given":"Dirk","non-dropping-particle":"","parse-names":false,"suffix":""},{"dropping-particle":"","family":"Verbruggen","given":"Nathalie","non-dropping-particle":"","parse-names":false,"suffix":""},{"dropping-particle":"","family":"Inz","given":"Dirk","non-dropping-particle":"","parse-names":false,"suffix":""},{"dropping-particle":"","family":"Verbruggen","given":"Nathalie","non-dropping-particle":"","parse-names":false,"suffix":""},{"dropping-particle":"","family":"Inzé","given":"Dirk","non-dropping-particle":"","parse-names":false,"suffix":""},{"dropping-particle":"","family":"Verbruggen","given":"Nathalie","non-dropping-particle":"","parse-names":false,"suffix":""}],"container-title":"New Phytologist","id":"ITEM-1","issue":"1","issued":{"date-parts":[["2010"]]},"page":"119-131","title":"Early transcriptomic changes induced by magnesium deficiency in Arabidopsis thaliana reveal the alteration of circadian clock gene expression in roots and the triggering of abscisic acid-responsive genes","type":"article-journal","volume":"187"},"uris":["http://www.mendeley.com/documents/?uuid=f5347674-d28e-4e51-987d-1caa9320b462"]}],"mendeley":{"formattedCitation":"[25]","plainTextFormattedCitation":"[25]","previouslyFormattedCitation":"[25]"},"properties":{"noteIndex":0},"schema":"https://github.com/citation-style-language/schema/raw/master/csl-citation.json"}</w:instrText>
      </w:r>
      <w:r w:rsidR="00B746A0" w:rsidRPr="005B6F60">
        <w:fldChar w:fldCharType="separate"/>
      </w:r>
      <w:r w:rsidRPr="005B6F60">
        <w:rPr>
          <w:noProof/>
        </w:rPr>
        <w:t>[25]</w:t>
      </w:r>
      <w:r w:rsidR="00B746A0" w:rsidRPr="005B6F60">
        <w:fldChar w:fldCharType="end"/>
      </w:r>
      <w:r w:rsidRPr="005B6F60">
        <w:t xml:space="preserve">, and Conn </w:t>
      </w:r>
      <w:r w:rsidR="00B746A0" w:rsidRPr="005B6F60">
        <w:fldChar w:fldCharType="begin" w:fldLock="1"/>
      </w:r>
      <w:r w:rsidRPr="00E35BC7">
        <w:instrText>ADDIN CSL_CITATION {"citationItems":[{"id":"ITEM-1","itemData":{"DOI":"10.1186/1746-4811-9-4","ISSN":"1746-4811","PMID":"23379342","abstract":"BACKGROUND: Hydroponic growth systems are a convenient platform for studying whole plant physiology. However, we found through trialling systems as they are described in the literature that our experiments were frequently confounded by factors that affected plant growth, including algal contamination and hypoxia. We also found the way in which the plants were grown made them poorly amenable to a number of common physiological assays.\\n\\nRESULTS: The drivers for the development of this hydroponic system were: 1) the exclusion of light from the growth solution; 2) to simplify the handling of individual plants, and 3) the growth of the plant to allow easy implementation of multiple assays. These aims were all met by the use of pierced lids of black microcentrifuge tubes. Seed was germinated on a lid filled with an agar-containing germination media immersed in the same solution. Following germination, the liquid growth media was exchanged with the experimental solution, and after 14-21 days seedlings were transferred to larger tanks with aerated solution where they remained until experimentation. We provide details of the protocol including composition of the basal growth solution, and separate solutions with altered calcium, magnesium, potassium or sodium supply whilst maintaining the activity of the majority of other ions. We demonstrate the adaptability of this system for: gas exchange measurement on single leaves and whole plants; qRT-PCR to probe the transcriptional response of roots or shoots to altered nutrient composition in the growth solution (we demonstrate this using high and low calcium supply); producing highly competent mesophyll protoplasts; and, accelerating the screening of Arabidopsis transformants. This system is also ideal for manipulating plants for micropipette techniques such as electrophysiology or SiCSA.\\n\\nCONCLUSIONS: We present an optimised plant hydroponic culture system that can be quickly and cheaply constructed, and produces plants with similar growth kinetics to soil-grown plants, but with the advantage of being a versatile platform for a myriad of physiological and molecular biological measurements on all plant tissues at all developmental stages. We present 'tips and tricks' for the easy adoption of this hydroponic culture system.","author":[{"dropping-particle":"","family":"Conn","given":"Simon J","non-dropping-particle":"","parse-names":false,"suffix":""},{"dropping-particle":"","family":"Hocking","given":"Bradleigh","non-dropping-particle":"","parse-names":false,"suffix":""},{"dropping-particle":"","family":"Dayod","given":"Maclin","non-dropping-particle":"","parse-names":false,"suffix":""},{"dropping-particle":"","family":"Xu","given":"Bo","non-dropping-particle":"","parse-names":false,"suffix":""},{"dropping-particle":"","family":"Athman","given":"Asmini","non-dropping-particle":"","parse-names":false,"suffix":""},{"dropping-particle":"","family":"Henderson","given":"Sam","non-dropping-particle":"","parse-names":false,"suffix":""},{"dropping-particle":"","family":"Aukett","given":"Lucy","non-dropping-particle":"","parse-names":false,"suffix":""},{"dropping-particle":"","family":"Conn","given":"Vanessa","non-dropping-particle":"","parse-names":false,"suffix":""},{"dropping-particle":"","family":"Shearer","given":"Monique K","non-dropping-particle":"","parse-names":false,"suffix":""},{"dropping-particle":"","family":"Fuentes","given":"Sigfredo","non-dropping-particle":"","parse-names":false,"suffix":""},{"dropping-particle":"","family":"Tyerman","given":"Stephen D","non-dropping-particle":"","parse-names":false,"suffix":""},{"dropping-particle":"","family":"Gilliham","given":"Matthew","non-dropping-particle":"","parse-names":false,"suffix":""}],"container-title":"Plant methods","id":"ITEM-1","issue":"1","issued":{"date-parts":[["2013"]]},"page":"4","title":"Protocol: optimising hydroponic growth systems for nutritional and physiological analysis of Arabidopsis thaliana and other plants.","type":"article-journal","volume":"9"},"uris":["http://www.mendeley.com/documents/?uuid=f80b77fa-96f0-4b4f-acf9-b5fc32f8f59f"]}],"mendeley":{"formattedCitation":"[6]","plainTextFormattedCitation":"[6]","previouslyFormattedCitation":"[6]"},"properties":{"noteIndex":0},"schema":"https://github.com/citation-style-language/schema/raw/master/csl-citation.json"}</w:instrText>
      </w:r>
      <w:r w:rsidR="00B746A0" w:rsidRPr="005B6F60">
        <w:fldChar w:fldCharType="separate"/>
      </w:r>
      <w:r w:rsidRPr="005B6F60">
        <w:rPr>
          <w:noProof/>
        </w:rPr>
        <w:t>[6]</w:t>
      </w:r>
      <w:r w:rsidR="00B746A0" w:rsidRPr="005B6F60">
        <w:fldChar w:fldCharType="end"/>
      </w:r>
      <w:r w:rsidRPr="005B6F60">
        <w:t>.</w:t>
      </w:r>
    </w:p>
    <w:p w:rsidR="00EE43AD" w:rsidRPr="00D058E6" w:rsidRDefault="00EE43AD" w:rsidP="00EE43AD">
      <w:r w:rsidRPr="009E1474">
        <w:t xml:space="preserve">This survey was done in 2015, before we started our </w:t>
      </w:r>
      <w:r w:rsidRPr="00261E6D">
        <w:t>experiments</w:t>
      </w:r>
      <w:r w:rsidRPr="00F0286A">
        <w:t xml:space="preserve"> on nutrient solutions for </w:t>
      </w:r>
      <w:r w:rsidRPr="003B4C26">
        <w:t xml:space="preserve">Arabidopsis. Since 2015 the </w:t>
      </w:r>
      <w:proofErr w:type="spellStart"/>
      <w:r w:rsidRPr="003B4C26">
        <w:t>textpresso</w:t>
      </w:r>
      <w:proofErr w:type="spellEnd"/>
      <w:r w:rsidRPr="003B4C26">
        <w:t xml:space="preserve"> database has not been updated. To check if our choice of solutions is still actual we did a second search in </w:t>
      </w:r>
      <w:proofErr w:type="spellStart"/>
      <w:r w:rsidRPr="003B4C26">
        <w:t>scopus</w:t>
      </w:r>
      <w:proofErr w:type="spellEnd"/>
      <w:r w:rsidRPr="003B4C26">
        <w:t xml:space="preserve"> with the following search criteria: ( TITLE-ABS-KEY ( </w:t>
      </w:r>
      <w:r w:rsidRPr="009528D3">
        <w:t>Arabidopsis )  AND  TITLE-ABS-KEY ( hydroponic*  OR  "water culture*" ) )  AND  ( LIMIT-TO ( PUBYEAR ,  2018 )  OR  LIMIT-TO ( PUBYEAR ,  2017 )  OR  LIMIT-TO ( PUBYEAR ,  2016 )  OR  LIMIT-TO ( PUBYEAR ,  2015 ) ) </w:t>
      </w:r>
    </w:p>
    <w:p w:rsidR="00EE43AD" w:rsidRDefault="00EE43AD" w:rsidP="00EE43AD">
      <w:r w:rsidRPr="00C62BA6">
        <w:t xml:space="preserve">This returned 120 papers of which 90 were actually using a hydroponic system. From these 90 studies 30 were using Hoagland or Hoagland based solutions. A surprisingly high number of 23 studies was using Murashige and Skoog (MS) or MS </w:t>
      </w:r>
      <w:r w:rsidRPr="001B2F26">
        <w:t>based solution.</w:t>
      </w:r>
    </w:p>
    <w:p w:rsidR="00BF0419" w:rsidRPr="00EE43AD" w:rsidRDefault="00BF0419" w:rsidP="00EE43AD"/>
    <w:sectPr w:rsidR="00BF0419" w:rsidRPr="00EE43AD" w:rsidSect="00B746A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CEF"/>
    <w:multiLevelType w:val="hybridMultilevel"/>
    <w:tmpl w:val="298C5B78"/>
    <w:lvl w:ilvl="0" w:tplc="E8D2676C">
      <w:start w:val="2"/>
      <w:numFmt w:val="decimal"/>
      <w:pStyle w:val="Supplements"/>
      <w:lvlText w:val="S%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7040F59"/>
    <w:multiLevelType w:val="hybridMultilevel"/>
    <w:tmpl w:val="A810F948"/>
    <w:lvl w:ilvl="0" w:tplc="E8DE4DB4">
      <w:start w:val="1"/>
      <w:numFmt w:val="upperLetter"/>
      <w:pStyle w:val="Appendix"/>
      <w:suff w:val="space"/>
      <w:lvlText w:val="Appendix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49644BD9"/>
    <w:multiLevelType w:val="multilevel"/>
    <w:tmpl w:val="5642ABC4"/>
    <w:lvl w:ilvl="0">
      <w:start w:val="1"/>
      <w:numFmt w:val="decimal"/>
      <w:lvlText w:val="%1"/>
      <w:lvlJc w:val="left"/>
      <w:pPr>
        <w:ind w:left="432"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56ED010F"/>
    <w:multiLevelType w:val="hybridMultilevel"/>
    <w:tmpl w:val="80BC3E14"/>
    <w:lvl w:ilvl="0" w:tplc="0B589F44">
      <w:start w:val="1"/>
      <w:numFmt w:val="upperLetter"/>
      <w:pStyle w:val="Bijlage"/>
      <w:suff w:val="space"/>
      <w:lvlText w:val="Bijlage %1:"/>
      <w:lvlJc w:val="left"/>
      <w:pPr>
        <w:ind w:left="340" w:hanging="3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1"/>
  </w:num>
  <w:num w:numId="10">
    <w:abstractNumId w:val="3"/>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hyphenationZone w:val="425"/>
  <w:characterSpacingControl w:val="doNotCompress"/>
  <w:compat/>
  <w:rsids>
    <w:rsidRoot w:val="006B08C1"/>
    <w:rsid w:val="0006481A"/>
    <w:rsid w:val="00095485"/>
    <w:rsid w:val="001918E6"/>
    <w:rsid w:val="00317D7E"/>
    <w:rsid w:val="0056619A"/>
    <w:rsid w:val="006B08C1"/>
    <w:rsid w:val="007B7C9E"/>
    <w:rsid w:val="00811257"/>
    <w:rsid w:val="008D000A"/>
    <w:rsid w:val="00B746A0"/>
    <w:rsid w:val="00BF0419"/>
    <w:rsid w:val="00CF6512"/>
    <w:rsid w:val="00DD52F4"/>
    <w:rsid w:val="00E15F02"/>
    <w:rsid w:val="00EE43AD"/>
    <w:rsid w:val="00EF031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2F4"/>
    <w:pPr>
      <w:spacing w:line="480" w:lineRule="auto"/>
    </w:pPr>
    <w:rPr>
      <w:rFonts w:ascii="Times New Roman" w:hAnsi="Times New Roman"/>
      <w:lang w:val="en-GB"/>
    </w:rPr>
  </w:style>
  <w:style w:type="paragraph" w:styleId="Heading1">
    <w:name w:val="heading 1"/>
    <w:basedOn w:val="Normal"/>
    <w:next w:val="Normal"/>
    <w:link w:val="Heading1Char"/>
    <w:uiPriority w:val="9"/>
    <w:qFormat/>
    <w:rsid w:val="00E15F02"/>
    <w:pPr>
      <w:keepNext/>
      <w:keepLines/>
      <w:pageBreakBefore/>
      <w:spacing w:before="480" w:after="240" w:line="312" w:lineRule="auto"/>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E15F02"/>
    <w:pPr>
      <w:keepNext/>
      <w:keepLines/>
      <w:spacing w:before="480" w:after="240" w:line="312" w:lineRule="auto"/>
      <w:contextualSpacing/>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15F02"/>
    <w:pPr>
      <w:keepNext/>
      <w:spacing w:before="24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E15F02"/>
    <w:pPr>
      <w:keepNext/>
      <w:keepLines/>
      <w:spacing w:before="200" w:after="200" w:line="312" w:lineRule="auto"/>
      <w:outlineLvl w:val="3"/>
    </w:pPr>
    <w:rPr>
      <w:rFonts w:eastAsiaTheme="majorEastAsia" w:cstheme="majorBidi"/>
      <w:b/>
      <w:bCs/>
      <w:i/>
      <w:iCs/>
      <w:sz w:val="20"/>
    </w:rPr>
  </w:style>
  <w:style w:type="paragraph" w:styleId="Heading5">
    <w:name w:val="heading 5"/>
    <w:basedOn w:val="Normal"/>
    <w:next w:val="Normal"/>
    <w:link w:val="Heading5Char"/>
    <w:uiPriority w:val="9"/>
    <w:unhideWhenUsed/>
    <w:qFormat/>
    <w:rsid w:val="00E15F02"/>
    <w:pPr>
      <w:numPr>
        <w:ilvl w:val="4"/>
        <w:numId w:val="8"/>
      </w:numPr>
      <w:spacing w:before="200" w:after="0" w:line="312" w:lineRule="auto"/>
      <w:outlineLvl w:val="4"/>
    </w:pPr>
    <w:rPr>
      <w:rFonts w:asciiTheme="majorHAnsi" w:eastAsiaTheme="majorEastAsia" w:hAnsiTheme="majorHAnsi" w:cstheme="majorBidi"/>
      <w:b/>
      <w:bCs/>
      <w:color w:val="7F7F7F" w:themeColor="text1" w:themeTint="80"/>
      <w:sz w:val="20"/>
    </w:rPr>
  </w:style>
  <w:style w:type="paragraph" w:styleId="Heading6">
    <w:name w:val="heading 6"/>
    <w:basedOn w:val="Normal"/>
    <w:next w:val="Normal"/>
    <w:link w:val="Heading6Char"/>
    <w:uiPriority w:val="9"/>
    <w:unhideWhenUsed/>
    <w:qFormat/>
    <w:rsid w:val="00E15F02"/>
    <w:pPr>
      <w:numPr>
        <w:ilvl w:val="5"/>
        <w:numId w:val="8"/>
      </w:numPr>
      <w:spacing w:after="0" w:line="271" w:lineRule="auto"/>
      <w:outlineLvl w:val="5"/>
    </w:pPr>
    <w:rPr>
      <w:rFonts w:asciiTheme="majorHAnsi" w:eastAsiaTheme="majorEastAsia" w:hAnsiTheme="majorHAnsi" w:cstheme="majorBidi"/>
      <w:b/>
      <w:bCs/>
      <w:i/>
      <w:iCs/>
      <w:color w:val="7F7F7F" w:themeColor="text1" w:themeTint="80"/>
      <w:sz w:val="20"/>
    </w:rPr>
  </w:style>
  <w:style w:type="paragraph" w:styleId="Heading7">
    <w:name w:val="heading 7"/>
    <w:basedOn w:val="Normal"/>
    <w:next w:val="Normal"/>
    <w:link w:val="Heading7Char"/>
    <w:uiPriority w:val="9"/>
    <w:semiHidden/>
    <w:unhideWhenUsed/>
    <w:qFormat/>
    <w:rsid w:val="00E15F02"/>
    <w:pPr>
      <w:numPr>
        <w:ilvl w:val="6"/>
        <w:numId w:val="8"/>
      </w:numPr>
      <w:spacing w:after="0" w:line="312" w:lineRule="auto"/>
      <w:outlineLvl w:val="6"/>
    </w:pPr>
    <w:rPr>
      <w:rFonts w:asciiTheme="majorHAnsi" w:eastAsiaTheme="majorEastAsia" w:hAnsiTheme="majorHAnsi" w:cstheme="majorBidi"/>
      <w:i/>
      <w:iCs/>
      <w:sz w:val="20"/>
    </w:rPr>
  </w:style>
  <w:style w:type="paragraph" w:styleId="Heading8">
    <w:name w:val="heading 8"/>
    <w:basedOn w:val="Normal"/>
    <w:next w:val="Normal"/>
    <w:link w:val="Heading8Char"/>
    <w:uiPriority w:val="9"/>
    <w:semiHidden/>
    <w:unhideWhenUsed/>
    <w:qFormat/>
    <w:rsid w:val="008D000A"/>
    <w:pPr>
      <w:numPr>
        <w:ilvl w:val="7"/>
        <w:numId w:val="8"/>
      </w:numPr>
      <w:spacing w:after="0" w:line="312" w:lineRule="auto"/>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000A"/>
    <w:pPr>
      <w:numPr>
        <w:ilvl w:val="8"/>
        <w:numId w:val="8"/>
      </w:numPr>
      <w:spacing w:after="0" w:line="312" w:lineRule="auto"/>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draft">
    <w:name w:val="Article draft"/>
    <w:basedOn w:val="Normal"/>
    <w:qFormat/>
    <w:rsid w:val="008D000A"/>
    <w:pPr>
      <w:keepNext/>
      <w:spacing w:after="200" w:line="360" w:lineRule="auto"/>
      <w:ind w:firstLine="340"/>
    </w:pPr>
    <w:rPr>
      <w:rFonts w:ascii="Verdana" w:hAnsi="Verdana"/>
      <w:sz w:val="20"/>
    </w:rPr>
  </w:style>
  <w:style w:type="paragraph" w:styleId="Caption">
    <w:name w:val="caption"/>
    <w:basedOn w:val="Normal"/>
    <w:next w:val="Normal"/>
    <w:uiPriority w:val="35"/>
    <w:unhideWhenUsed/>
    <w:qFormat/>
    <w:rsid w:val="008D000A"/>
    <w:pPr>
      <w:spacing w:after="200" w:line="240" w:lineRule="auto"/>
    </w:pPr>
    <w:rPr>
      <w:rFonts w:ascii="Verdana" w:hAnsi="Verdana"/>
      <w:b/>
      <w:bCs/>
      <w:sz w:val="18"/>
      <w:szCs w:val="18"/>
    </w:rPr>
  </w:style>
  <w:style w:type="paragraph" w:customStyle="1" w:styleId="Fake1Heading1">
    <w:name w:val="Fake 1 Heading 1"/>
    <w:basedOn w:val="Heading1"/>
    <w:next w:val="Normal"/>
    <w:link w:val="Fake1Heading1Char"/>
    <w:qFormat/>
    <w:rsid w:val="00E15F02"/>
    <w:pPr>
      <w:ind w:left="431" w:hanging="431"/>
      <w:outlineLvl w:val="9"/>
    </w:pPr>
    <w:rPr>
      <w:bCs w:val="0"/>
    </w:rPr>
  </w:style>
  <w:style w:type="character" w:customStyle="1" w:styleId="Fake1Heading1Char">
    <w:name w:val="Fake 1 Heading 1 Char"/>
    <w:basedOn w:val="Heading1Char"/>
    <w:link w:val="Fake1Heading1"/>
    <w:rsid w:val="00E15F02"/>
    <w:rPr>
      <w:rFonts w:eastAsiaTheme="majorEastAsia" w:cstheme="majorBidi"/>
      <w:b/>
      <w:bCs w:val="0"/>
      <w:sz w:val="32"/>
      <w:szCs w:val="28"/>
    </w:rPr>
  </w:style>
  <w:style w:type="character" w:customStyle="1" w:styleId="Heading1Char">
    <w:name w:val="Heading 1 Char"/>
    <w:basedOn w:val="DefaultParagraphFont"/>
    <w:link w:val="Heading1"/>
    <w:uiPriority w:val="9"/>
    <w:rsid w:val="00E15F02"/>
    <w:rPr>
      <w:rFonts w:eastAsiaTheme="majorEastAsia" w:cstheme="majorBidi"/>
      <w:b/>
      <w:bCs/>
      <w:sz w:val="32"/>
      <w:szCs w:val="28"/>
    </w:rPr>
  </w:style>
  <w:style w:type="paragraph" w:customStyle="1" w:styleId="Fake2Heading2">
    <w:name w:val="Fake 2 Heading 2"/>
    <w:basedOn w:val="Heading2"/>
    <w:next w:val="Normal"/>
    <w:link w:val="Fake2Heading2Char"/>
    <w:qFormat/>
    <w:rsid w:val="00E15F02"/>
    <w:pPr>
      <w:outlineLvl w:val="9"/>
    </w:pPr>
  </w:style>
  <w:style w:type="character" w:customStyle="1" w:styleId="Fake2Heading2Char">
    <w:name w:val="Fake 2 Heading 2 Char"/>
    <w:basedOn w:val="Heading2Char"/>
    <w:link w:val="Fake2Heading2"/>
    <w:rsid w:val="00E15F02"/>
    <w:rPr>
      <w:rFonts w:eastAsiaTheme="majorEastAsia" w:cstheme="majorBidi"/>
      <w:b/>
      <w:bCs/>
      <w:sz w:val="26"/>
      <w:szCs w:val="26"/>
    </w:rPr>
  </w:style>
  <w:style w:type="character" w:customStyle="1" w:styleId="Heading2Char">
    <w:name w:val="Heading 2 Char"/>
    <w:basedOn w:val="DefaultParagraphFont"/>
    <w:link w:val="Heading2"/>
    <w:uiPriority w:val="9"/>
    <w:rsid w:val="00E15F02"/>
    <w:rPr>
      <w:rFonts w:eastAsiaTheme="majorEastAsia" w:cstheme="majorBidi"/>
      <w:b/>
      <w:bCs/>
      <w:sz w:val="26"/>
      <w:szCs w:val="26"/>
    </w:rPr>
  </w:style>
  <w:style w:type="paragraph" w:customStyle="1" w:styleId="Fake3Heading3">
    <w:name w:val="Fake 3 Heading 3"/>
    <w:basedOn w:val="Heading3"/>
    <w:next w:val="Normal"/>
    <w:qFormat/>
    <w:rsid w:val="00E15F02"/>
    <w:pPr>
      <w:outlineLvl w:val="9"/>
    </w:pPr>
    <w:rPr>
      <w:bCs w:val="0"/>
    </w:rPr>
  </w:style>
  <w:style w:type="character" w:customStyle="1" w:styleId="Heading3Char">
    <w:name w:val="Heading 3 Char"/>
    <w:basedOn w:val="DefaultParagraphFont"/>
    <w:link w:val="Heading3"/>
    <w:uiPriority w:val="9"/>
    <w:rsid w:val="00E15F02"/>
    <w:rPr>
      <w:rFonts w:eastAsiaTheme="majorEastAsia" w:cstheme="majorBidi"/>
      <w:b/>
      <w:bCs/>
    </w:rPr>
  </w:style>
  <w:style w:type="paragraph" w:customStyle="1" w:styleId="Fake4Heading4">
    <w:name w:val="Fake 4 Heading 4"/>
    <w:basedOn w:val="Heading4"/>
    <w:next w:val="Normal"/>
    <w:qFormat/>
    <w:rsid w:val="00E15F02"/>
    <w:pPr>
      <w:outlineLvl w:val="9"/>
    </w:pPr>
    <w:rPr>
      <w:bCs w:val="0"/>
    </w:rPr>
  </w:style>
  <w:style w:type="character" w:customStyle="1" w:styleId="Heading4Char">
    <w:name w:val="Heading 4 Char"/>
    <w:basedOn w:val="DefaultParagraphFont"/>
    <w:link w:val="Heading4"/>
    <w:uiPriority w:val="9"/>
    <w:rsid w:val="00E15F02"/>
    <w:rPr>
      <w:rFonts w:eastAsiaTheme="majorEastAsia" w:cstheme="majorBidi"/>
      <w:b/>
      <w:bCs/>
      <w:i/>
      <w:iCs/>
      <w:sz w:val="20"/>
    </w:rPr>
  </w:style>
  <w:style w:type="character" w:customStyle="1" w:styleId="Heading5Char">
    <w:name w:val="Heading 5 Char"/>
    <w:basedOn w:val="DefaultParagraphFont"/>
    <w:link w:val="Heading5"/>
    <w:uiPriority w:val="9"/>
    <w:rsid w:val="00E15F02"/>
    <w:rPr>
      <w:rFonts w:asciiTheme="majorHAnsi" w:eastAsiaTheme="majorEastAsia" w:hAnsiTheme="majorHAnsi" w:cstheme="majorBidi"/>
      <w:b/>
      <w:bCs/>
      <w:color w:val="7F7F7F" w:themeColor="text1" w:themeTint="80"/>
      <w:sz w:val="20"/>
    </w:rPr>
  </w:style>
  <w:style w:type="character" w:customStyle="1" w:styleId="Heading6Char">
    <w:name w:val="Heading 6 Char"/>
    <w:basedOn w:val="DefaultParagraphFont"/>
    <w:link w:val="Heading6"/>
    <w:uiPriority w:val="9"/>
    <w:rsid w:val="00E15F02"/>
    <w:rPr>
      <w:rFonts w:asciiTheme="majorHAnsi" w:eastAsiaTheme="majorEastAsia" w:hAnsiTheme="majorHAnsi" w:cstheme="majorBidi"/>
      <w:b/>
      <w:bCs/>
      <w:i/>
      <w:iCs/>
      <w:color w:val="7F7F7F" w:themeColor="text1" w:themeTint="80"/>
      <w:sz w:val="20"/>
    </w:rPr>
  </w:style>
  <w:style w:type="character" w:customStyle="1" w:styleId="Heading7Char">
    <w:name w:val="Heading 7 Char"/>
    <w:basedOn w:val="DefaultParagraphFont"/>
    <w:link w:val="Heading7"/>
    <w:uiPriority w:val="9"/>
    <w:semiHidden/>
    <w:rsid w:val="00E15F02"/>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semiHidden/>
    <w:rsid w:val="008D00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000A"/>
    <w:rPr>
      <w:rFonts w:asciiTheme="majorHAnsi" w:eastAsiaTheme="majorEastAsia" w:hAnsiTheme="majorHAnsi" w:cstheme="majorBidi"/>
      <w:i/>
      <w:iCs/>
      <w:spacing w:val="5"/>
      <w:sz w:val="20"/>
      <w:szCs w:val="20"/>
    </w:rPr>
  </w:style>
  <w:style w:type="paragraph" w:customStyle="1" w:styleId="Appendix">
    <w:name w:val="Appendix"/>
    <w:basedOn w:val="Heading1"/>
    <w:next w:val="Normal"/>
    <w:qFormat/>
    <w:rsid w:val="00095485"/>
    <w:pPr>
      <w:numPr>
        <w:numId w:val="9"/>
      </w:numPr>
    </w:pPr>
  </w:style>
  <w:style w:type="paragraph" w:customStyle="1" w:styleId="Bijlage">
    <w:name w:val="Bijlage"/>
    <w:basedOn w:val="Heading1"/>
    <w:next w:val="Normal"/>
    <w:qFormat/>
    <w:rsid w:val="00095485"/>
    <w:pPr>
      <w:numPr>
        <w:numId w:val="10"/>
      </w:numPr>
    </w:pPr>
  </w:style>
  <w:style w:type="paragraph" w:styleId="BalloonText">
    <w:name w:val="Balloon Text"/>
    <w:basedOn w:val="Normal"/>
    <w:link w:val="BalloonTextChar"/>
    <w:uiPriority w:val="99"/>
    <w:semiHidden/>
    <w:unhideWhenUsed/>
    <w:rsid w:val="00DD5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2F4"/>
    <w:rPr>
      <w:rFonts w:ascii="Segoe UI" w:hAnsi="Segoe UI" w:cs="Segoe UI"/>
      <w:sz w:val="18"/>
      <w:szCs w:val="18"/>
      <w:lang w:val="en-GB"/>
    </w:rPr>
  </w:style>
  <w:style w:type="paragraph" w:styleId="NoSpacing">
    <w:name w:val="No Spacing"/>
    <w:uiPriority w:val="1"/>
    <w:qFormat/>
    <w:rsid w:val="00DD52F4"/>
    <w:pPr>
      <w:spacing w:after="0" w:line="240" w:lineRule="auto"/>
    </w:pPr>
    <w:rPr>
      <w:lang w:val="en-GB"/>
    </w:rPr>
  </w:style>
  <w:style w:type="paragraph" w:customStyle="1" w:styleId="Supplements">
    <w:name w:val="Supplements"/>
    <w:qFormat/>
    <w:rsid w:val="00DD52F4"/>
    <w:pPr>
      <w:numPr>
        <w:numId w:val="11"/>
      </w:numPr>
    </w:pPr>
    <w:rPr>
      <w:rFonts w:ascii="Times New Roman" w:eastAsiaTheme="majorEastAsia" w:hAnsi="Times New Roman" w:cstheme="majorBidi"/>
      <w:b/>
      <w:bCs/>
      <w:sz w:val="32"/>
      <w:szCs w:val="28"/>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2349</Words>
  <Characters>13395</Characters>
  <Application>Microsoft Office Word</Application>
  <DocSecurity>0</DocSecurity>
  <Lines>111</Lines>
  <Paragraphs>31</Paragraphs>
  <ScaleCrop>false</ScaleCrop>
  <Company/>
  <LinksUpToDate>false</LinksUpToDate>
  <CharactersWithSpaces>15713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van Delden</dc:creator>
  <cp:keywords/>
  <dc:description/>
  <cp:lastModifiedBy>0011692</cp:lastModifiedBy>
  <cp:revision>4</cp:revision>
  <dcterms:created xsi:type="dcterms:W3CDTF">2020-04-21T14:29:00Z</dcterms:created>
  <dcterms:modified xsi:type="dcterms:W3CDTF">2020-05-06T16:31:00Z</dcterms:modified>
</cp:coreProperties>
</file>