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65DB" w:rsidRDefault="00C60425" w:rsidP="00C60425">
      <w:pPr>
        <w:pStyle w:val="Supplements"/>
        <w:numPr>
          <w:ilvl w:val="0"/>
          <w:numId w:val="0"/>
        </w:numPr>
        <w:ind w:left="720" w:hanging="360"/>
      </w:pPr>
      <w:r>
        <w:t xml:space="preserve">Additional file 3: </w:t>
      </w:r>
      <w:r w:rsidR="00AE65DB" w:rsidRPr="007E58DF">
        <w:t>Dry weight accumulation over time of best performing nutrient solutions.</w:t>
      </w:r>
    </w:p>
    <w:p w:rsidR="00AE65DB" w:rsidRPr="007E58DF" w:rsidRDefault="00AE65DB" w:rsidP="00AE65DB"/>
    <w:p w:rsidR="00AE65DB" w:rsidRPr="001B2F26" w:rsidRDefault="00AE65DB" w:rsidP="00AE65DB">
      <w:r w:rsidRPr="001B2F26">
        <w:rPr>
          <w:noProof/>
          <w:lang w:val="en-US"/>
        </w:rPr>
        <w:drawing>
          <wp:inline distT="0" distB="0" distL="0" distR="0">
            <wp:extent cx="5756910" cy="4182110"/>
            <wp:effectExtent l="0" t="0" r="0" b="889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56910" cy="4182110"/>
                    </a:xfrm>
                    <a:prstGeom prst="rect">
                      <a:avLst/>
                    </a:prstGeom>
                    <a:noFill/>
                    <a:ln>
                      <a:noFill/>
                    </a:ln>
                  </pic:spPr>
                </pic:pic>
              </a:graphicData>
            </a:graphic>
          </wp:inline>
        </w:drawing>
      </w:r>
    </w:p>
    <w:p w:rsidR="00AE65DB" w:rsidRDefault="00AE65DB" w:rsidP="00AE65DB">
      <w:pPr>
        <w:pStyle w:val="Caption"/>
      </w:pPr>
      <w:r w:rsidRPr="005B6F60">
        <w:t>Fig.</w:t>
      </w:r>
      <w:r w:rsidRPr="009E1474">
        <w:t xml:space="preserve"> S</w:t>
      </w:r>
      <w:r w:rsidRPr="00261E6D">
        <w:t>3</w:t>
      </w:r>
      <w:r w:rsidRPr="00E35BC7">
        <w:t xml:space="preserve">. Dry weight accumulation over time of the three best performing nutrient solutions (green dots: Hoagland and Arnon </w:t>
      </w:r>
      <w:r w:rsidR="004461CD" w:rsidRPr="005B6F60">
        <w:fldChar w:fldCharType="begin" w:fldLock="1"/>
      </w:r>
      <w:r w:rsidRPr="00E35BC7">
        <w:instrText>ADDIN CSL_CITATION {"citationItems":[{"id":"ITEM-1","itemData":{"DOI":"citeulike-article-id:9455435","ISBN":"347","PMID":"266","abstract":"This is a revised edition of a popular account issued in 1938 H.A., 10: 28 based on the investigations of the two authors. Since then, experience in the U.S.A. and elsewhere has failed, in the authors' opinion, to support the early exaggerated claims for the value of the technique. Their experience leads to the conclusion that for its successful operation a knowledge of plant physiology is essential, that its commercial application is only likely to be successful under limited conditions and expert supervision, and that its results are rarely superior to those of soil culture. If, despite this, the would-be \"nutriculturist\" persists, he will find much to encourage and enlighten him on pp. 23-32, which contain directions on type of container, nature of bed, aeration of root system, planting procedures, the management of solutions, selection and preparation of solution, and the use of nutrient solutions for demonstrating mineral deficiencies.","author":[{"dropping-particle":"","family":"Hoagland","given":"D R","non-dropping-particle":"","parse-names":false,"suffix":""},{"dropping-particle":"","family":"Arnon","given":"D I","non-dropping-particle":"","parse-names":false,"suffix":""}],"container-title":"California Agricultural Experiment Station Circular","id":"ITEM-1","issued":{"date-parts":[["1950"]]},"title":"The water-culture method for growing plants without soil","type":"article-journal"},"suppress-author":1,"uris":["http://www.mendeley.com/documents/?uuid=5db32bf7-d675-422a-8047-cebc62a7187c"]}],"mendeley":{"formattedCitation":"[22]","plainTextFormattedCitation":"[22]","previouslyFormattedCitation":"[22]"},"properties":{"noteIndex":0},"schema":"https://github.com/citation-style-language/schema/raw/master/csl-citation.json"}</w:instrText>
      </w:r>
      <w:r w:rsidR="004461CD" w:rsidRPr="005B6F60">
        <w:fldChar w:fldCharType="separate"/>
      </w:r>
      <w:r w:rsidRPr="005B6F60">
        <w:rPr>
          <w:noProof/>
        </w:rPr>
        <w:t>[22]</w:t>
      </w:r>
      <w:r w:rsidR="004461CD" w:rsidRPr="005B6F60">
        <w:fldChar w:fldCharType="end"/>
      </w:r>
      <w:r w:rsidRPr="005B6F60">
        <w:t xml:space="preserve">, blue dots: Conn </w:t>
      </w:r>
      <w:r w:rsidRPr="009E1474">
        <w:rPr>
          <w:i/>
          <w:iCs/>
        </w:rPr>
        <w:t>et al</w:t>
      </w:r>
      <w:r w:rsidRPr="00261E6D">
        <w:t xml:space="preserve">., </w:t>
      </w:r>
      <w:r w:rsidR="004461CD" w:rsidRPr="005B6F60">
        <w:fldChar w:fldCharType="begin" w:fldLock="1"/>
      </w:r>
      <w:r w:rsidRPr="00E35BC7">
        <w:instrText>ADDIN CSL_CITATION {"citationItems":[{"id":"ITEM-1","itemData":{"DOI":"10.1186/1746-4811-9-4","ISSN":"1746-4811","PMID":"23379342","abstract":"BACKGROUND: Hydroponic growth systems are a convenient platform for studying whole plant physiology. However, we found through trialling systems as they are described in the literature that our experiments were frequently confounded by factors that affected plant growth, including algal contamination and hypoxia. We also found the way in which the plants were grown made them poorly amenable to a number of common physiological assays.\\n\\nRESULTS: The drivers for the development of this hydroponic system were: 1) the exclusion of light from the growth solution; 2) to simplify the handling of individual plants, and 3) the growth of the plant to allow easy implementation of multiple assays. These aims were all met by the use of pierced lids of black microcentrifuge tubes. Seed was germinated on a lid filled with an agar-containing germination media immersed in the same solution. Following germination, the liquid growth media was exchanged with the experimental solution, and after 14-21 days seedlings were transferred to larger tanks with aerated solution where they remained until experimentation. We provide details of the protocol including composition of the basal growth solution, and separate solutions with altered calcium, magnesium, potassium or sodium supply whilst maintaining the activity of the majority of other ions. We demonstrate the adaptability of this system for: gas exchange measurement on single leaves and whole plants; qRT-PCR to probe the transcriptional response of roots or shoots to altered nutrient composition in the growth solution (we demonstrate this using high and low calcium supply); producing highly competent mesophyll protoplasts; and, accelerating the screening of Arabidopsis transformants. This system is also ideal for manipulating plants for micropipette techniques such as electrophysiology or SiCSA.\\n\\nCONCLUSIONS: We present an optimised plant hydroponic culture system that can be quickly and cheaply constructed, and produces plants with similar growth kinetics to soil-grown plants, but with the advantage of being a versatile platform for a myriad of physiological and molecular biological measurements on all plant tissues at all developmental stages. We present 'tips and tricks' for the easy adoption of this hydroponic culture system.","author":[{"dropping-particle":"","family":"Conn","given":"Simon J","non-dropping-particle":"","parse-names":false,"suffix":""},{"dropping-particle":"","family":"Hocking","given":"Bradleigh","non-dropping-particle":"","parse-names":false,"suffix":""},{"dropping-particle":"","family":"Dayod","given":"Maclin","non-dropping-particle":"","parse-names":false,"suffix":""},{"dropping-particle":"","family":"Xu","given":"Bo","non-dropping-particle":"","parse-names":false,"suffix":""},{"dropping-particle":"","family":"Athman","given":"Asmini","non-dropping-particle":"","parse-names":false,"suffix":""},{"dropping-particle":"","family":"Henderson","given":"Sam","non-dropping-particle":"","parse-names":false,"suffix":""},{"dropping-particle":"","family":"Aukett","given":"Lucy","non-dropping-particle":"","parse-names":false,"suffix":""},{"dropping-particle":"","family":"Conn","given":"Vanessa","non-dropping-particle":"","parse-names":false,"suffix":""},{"dropping-particle":"","family":"Shearer","given":"Monique K","non-dropping-particle":"","parse-names":false,"suffix":""},{"dropping-particle":"","family":"Fuentes","given":"Sigfredo","non-dropping-particle":"","parse-names":false,"suffix":""},{"dropping-particle":"","family":"Tyerman","given":"Stephen D","non-dropping-particle":"","parse-names":false,"suffix":""},{"dropping-particle":"","family":"Gilliham","given":"Matthew","non-dropping-particle":"","parse-names":false,"suffix":""}],"container-title":"Plant methods","id":"ITEM-1","issue":"1","issued":{"date-parts":[["2013"]]},"page":"4","title":"Protocol: optimising hydroponic growth systems for nutritional and physiological analysis of Arabidopsis thaliana and other plants.","type":"article-journal","volume":"9"},"uris":["http://www.mendeley.com/documents/?uuid=f80b77fa-96f0-4b4f-acf9-b5fc32f8f59f"]}],"mendeley":{"formattedCitation":"[6]","plainTextFormattedCitation":"[6]","previouslyFormattedCitation":"[6]"},"properties":{"noteIndex":0},"schema":"https://github.com/citation-style-language/schema/raw/master/csl-citation.json"}</w:instrText>
      </w:r>
      <w:r w:rsidR="004461CD" w:rsidRPr="005B6F60">
        <w:fldChar w:fldCharType="separate"/>
      </w:r>
      <w:r w:rsidRPr="005B6F60">
        <w:rPr>
          <w:noProof/>
        </w:rPr>
        <w:t>[6]</w:t>
      </w:r>
      <w:r w:rsidR="004461CD" w:rsidRPr="005B6F60">
        <w:fldChar w:fldCharType="end"/>
      </w:r>
      <w:r w:rsidRPr="005B6F60">
        <w:t xml:space="preserve"> and red dots: </w:t>
      </w:r>
      <w:r w:rsidRPr="009E1474">
        <w:t>Tocquin</w:t>
      </w:r>
      <w:r w:rsidRPr="00261E6D">
        <w:t xml:space="preserve"> </w:t>
      </w:r>
      <w:r w:rsidRPr="00F0286A">
        <w:rPr>
          <w:i/>
          <w:iCs/>
        </w:rPr>
        <w:t>et al</w:t>
      </w:r>
      <w:r w:rsidRPr="00F0286A">
        <w:t xml:space="preserve">., </w:t>
      </w:r>
      <w:r w:rsidR="004461CD" w:rsidRPr="005B6F60">
        <w:fldChar w:fldCharType="begin" w:fldLock="1"/>
      </w:r>
      <w:r w:rsidRPr="00E35BC7">
        <w:instrText>ADDIN CSL_CITATION {"citationItems":[{"id":"ITEM-1","itemData":{"DOI":"10.1186/1471-2229-3-2","ISBN":"1471-2229","ISSN":"1471-2229","PMID":"12556248","abstract":"BACKGROUND: Arabidopsis thaliana is now the model organism for genetic and molecular plant studies, but growing conditions may still impair the significance and reproducibility of the experimental strategies developed. Besides the use of phytotronic cabinets, controlling plant nutrition may be critical and could be achieved in hydroponics. The availability of such a system would also greatly facilitate studies dealing with root development. However, because of its small size and rosette growth habit, Arabidopsis is hardly grown in standard hydroponic devices and the systems described in the last years are still difficult to transpose at a large scale. Our aim was to design and optimize an up-scalable device that would be adaptable to any experimental conditions. RESULTS: An hydroponic system was designed for Arabidopsis, which is based on two units: a seed-holder and a 1-L tank with its cover. The original agar-containing seed-holder allows the plants to grow from sowing to seed set, without transplanting step and with minimal waste. The optimum nitrate supply was determined for vegetative growth, and the flowering response to photoperiod and vernalization was characterized to show the feasibility and reproducibility of experiments extending over the whole life cycle. How this equipment allowed to overcome experimental problems is illustrated by the analysis of developmental effects of nitrate reductase deficiency in nia1nia2 mutants. CONCLUSION: The hydroponic device described in this paper allows to drive small and large scale cultures of homogeneously growing Arabidopsis plants. Its major advantages are its flexibility, easy handling, fast maintenance and low cost. It should be suitable for many experimental purposes.","author":[{"dropping-particle":"","family":"Tocquin","given":"Pierre","non-dropping-particle":"","parse-names":false,"suffix":""},{"dropping-particle":"","family":"Corbesier","given":"Laurent","non-dropping-particle":"","parse-names":false,"suffix":""},{"dropping-particle":"","family":"Havelange","given":"Andrée","non-dropping-particle":"","parse-names":false,"suffix":""},{"dropping-particle":"","family":"Pieltain","given":"Alexandra","non-dropping-particle":"","parse-names":false,"suffix":""},{"dropping-particle":"","family":"Kurtem","given":"Emile","non-dropping-particle":"","parse-names":false,"suffix":""},{"dropping-particle":"","family":"Bernier","given":"Georges","non-dropping-particle":"","parse-names":false,"suffix":""},{"dropping-particle":"","family":"Périlleux","given":"Claire","non-dropping-particle":"","parse-names":false,"suffix":""}],"container-title":"BMC plant biology","id":"ITEM-1","issued":{"date-parts":[["2003"]]},"page":"2","title":"A novel high efficiency, low maintenance, hydroponic system for synchronous growth and flowering of Arabidopsis thaliana.","type":"article-journal","volume":"3"},"uris":["http://www.mendeley.com/documents/?uuid=e8df1a49-da0f-4ce0-bdfc-efcb144f6b1a"]}],"mendeley":{"formattedCitation":"[24]","plainTextFormattedCitation":"[24]","previouslyFormattedCitation":"[24]"},"properties":{"noteIndex":0},"schema":"https://github.com/citation-style-language/schema/raw/master/csl-citation.json"}</w:instrText>
      </w:r>
      <w:r w:rsidR="004461CD" w:rsidRPr="005B6F60">
        <w:fldChar w:fldCharType="separate"/>
      </w:r>
      <w:r w:rsidRPr="005B6F60">
        <w:rPr>
          <w:noProof/>
        </w:rPr>
        <w:t>[24]</w:t>
      </w:r>
      <w:r w:rsidR="004461CD" w:rsidRPr="005B6F60">
        <w:fldChar w:fldCharType="end"/>
      </w:r>
      <w:r w:rsidRPr="005B6F60">
        <w:t>. Lin</w:t>
      </w:r>
      <w:r w:rsidRPr="009E1474">
        <w:t>es with the same colour interpolate the data between the data points (means, n = 6). Transparent bands indicate the interpolated confidence interval of the data points with the same colour.</w:t>
      </w:r>
    </w:p>
    <w:p w:rsidR="00BF0419" w:rsidRPr="00AE65DB" w:rsidRDefault="00BF0419" w:rsidP="00AE65DB"/>
    <w:sectPr w:rsidR="00BF0419" w:rsidRPr="00AE65DB" w:rsidSect="00222B52">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793CEF"/>
    <w:multiLevelType w:val="hybridMultilevel"/>
    <w:tmpl w:val="3266D52A"/>
    <w:lvl w:ilvl="0" w:tplc="17F6BDFE">
      <w:start w:val="3"/>
      <w:numFmt w:val="decimal"/>
      <w:pStyle w:val="Supplements"/>
      <w:lvlText w:val="S%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nsid w:val="27040F59"/>
    <w:multiLevelType w:val="hybridMultilevel"/>
    <w:tmpl w:val="A810F948"/>
    <w:lvl w:ilvl="0" w:tplc="E8DE4DB4">
      <w:start w:val="1"/>
      <w:numFmt w:val="upperLetter"/>
      <w:pStyle w:val="Appendix"/>
      <w:suff w:val="space"/>
      <w:lvlText w:val="Appendix %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nsid w:val="49644BD9"/>
    <w:multiLevelType w:val="multilevel"/>
    <w:tmpl w:val="5642ABC4"/>
    <w:lvl w:ilvl="0">
      <w:start w:val="1"/>
      <w:numFmt w:val="decimal"/>
      <w:lvlText w:val="%1"/>
      <w:lvlJc w:val="left"/>
      <w:pPr>
        <w:ind w:left="432" w:hanging="432"/>
      </w:pPr>
    </w:lvl>
    <w:lvl w:ilvl="1">
      <w:start w:val="1"/>
      <w:numFmt w:val="decimal"/>
      <w:lvlText w:val="%1.%2"/>
      <w:lvlJc w:val="left"/>
      <w:pPr>
        <w:ind w:left="718"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nsid w:val="56ED010F"/>
    <w:multiLevelType w:val="hybridMultilevel"/>
    <w:tmpl w:val="80BC3E14"/>
    <w:lvl w:ilvl="0" w:tplc="0B589F44">
      <w:start w:val="1"/>
      <w:numFmt w:val="upperLetter"/>
      <w:pStyle w:val="Bijlage"/>
      <w:suff w:val="space"/>
      <w:lvlText w:val="Bijlage %1:"/>
      <w:lvlJc w:val="left"/>
      <w:pPr>
        <w:ind w:left="340" w:hanging="3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2"/>
  </w:num>
  <w:num w:numId="8">
    <w:abstractNumId w:val="2"/>
  </w:num>
  <w:num w:numId="9">
    <w:abstractNumId w:val="1"/>
  </w:num>
  <w:num w:numId="10">
    <w:abstractNumId w:val="3"/>
  </w:num>
  <w:num w:numId="1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Sander van Delden">
    <w15:presenceInfo w15:providerId="Windows Live" w15:userId="01cd8daa0cd2e2fe"/>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oNotDisplayPageBoundaries/>
  <w:defaultTabStop w:val="708"/>
  <w:hyphenationZone w:val="425"/>
  <w:characterSpacingControl w:val="doNotCompress"/>
  <w:compat/>
  <w:rsids>
    <w:rsidRoot w:val="006B08C1"/>
    <w:rsid w:val="0006481A"/>
    <w:rsid w:val="00095485"/>
    <w:rsid w:val="001918E6"/>
    <w:rsid w:val="00222B52"/>
    <w:rsid w:val="00317D7E"/>
    <w:rsid w:val="004461CD"/>
    <w:rsid w:val="006B08C1"/>
    <w:rsid w:val="006B5731"/>
    <w:rsid w:val="007B7C9E"/>
    <w:rsid w:val="00811257"/>
    <w:rsid w:val="008D000A"/>
    <w:rsid w:val="00AE65DB"/>
    <w:rsid w:val="00BF0419"/>
    <w:rsid w:val="00C60425"/>
    <w:rsid w:val="00CF6512"/>
    <w:rsid w:val="00DD52F4"/>
    <w:rsid w:val="00E15F02"/>
    <w:rsid w:val="00EE43AD"/>
    <w:rsid w:val="00EF0318"/>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52F4"/>
    <w:pPr>
      <w:spacing w:line="480" w:lineRule="auto"/>
    </w:pPr>
    <w:rPr>
      <w:rFonts w:ascii="Times New Roman" w:hAnsi="Times New Roman"/>
      <w:lang w:val="en-GB"/>
    </w:rPr>
  </w:style>
  <w:style w:type="paragraph" w:styleId="Heading1">
    <w:name w:val="heading 1"/>
    <w:basedOn w:val="Normal"/>
    <w:next w:val="Normal"/>
    <w:link w:val="Heading1Char"/>
    <w:uiPriority w:val="9"/>
    <w:qFormat/>
    <w:rsid w:val="00E15F02"/>
    <w:pPr>
      <w:keepNext/>
      <w:keepLines/>
      <w:pageBreakBefore/>
      <w:spacing w:before="480" w:after="240" w:line="312" w:lineRule="auto"/>
      <w:contextualSpacing/>
      <w:outlineLvl w:val="0"/>
    </w:pPr>
    <w:rPr>
      <w:rFonts w:eastAsiaTheme="majorEastAsia" w:cstheme="majorBidi"/>
      <w:b/>
      <w:bCs/>
      <w:sz w:val="32"/>
      <w:szCs w:val="28"/>
    </w:rPr>
  </w:style>
  <w:style w:type="paragraph" w:styleId="Heading2">
    <w:name w:val="heading 2"/>
    <w:basedOn w:val="Normal"/>
    <w:next w:val="Normal"/>
    <w:link w:val="Heading2Char"/>
    <w:uiPriority w:val="9"/>
    <w:unhideWhenUsed/>
    <w:qFormat/>
    <w:rsid w:val="00E15F02"/>
    <w:pPr>
      <w:keepNext/>
      <w:keepLines/>
      <w:spacing w:before="480" w:after="240" w:line="312" w:lineRule="auto"/>
      <w:contextualSpacing/>
      <w:outlineLvl w:val="1"/>
    </w:pPr>
    <w:rPr>
      <w:rFonts w:eastAsiaTheme="majorEastAsia" w:cstheme="majorBidi"/>
      <w:b/>
      <w:bCs/>
      <w:sz w:val="26"/>
      <w:szCs w:val="26"/>
    </w:rPr>
  </w:style>
  <w:style w:type="paragraph" w:styleId="Heading3">
    <w:name w:val="heading 3"/>
    <w:basedOn w:val="Normal"/>
    <w:next w:val="Normal"/>
    <w:link w:val="Heading3Char"/>
    <w:uiPriority w:val="9"/>
    <w:unhideWhenUsed/>
    <w:qFormat/>
    <w:rsid w:val="00E15F02"/>
    <w:pPr>
      <w:keepNext/>
      <w:spacing w:before="240" w:after="240" w:line="271" w:lineRule="auto"/>
      <w:outlineLvl w:val="2"/>
    </w:pPr>
    <w:rPr>
      <w:rFonts w:eastAsiaTheme="majorEastAsia" w:cstheme="majorBidi"/>
      <w:b/>
      <w:bCs/>
    </w:rPr>
  </w:style>
  <w:style w:type="paragraph" w:styleId="Heading4">
    <w:name w:val="heading 4"/>
    <w:basedOn w:val="Normal"/>
    <w:next w:val="Normal"/>
    <w:link w:val="Heading4Char"/>
    <w:uiPriority w:val="9"/>
    <w:unhideWhenUsed/>
    <w:qFormat/>
    <w:rsid w:val="00E15F02"/>
    <w:pPr>
      <w:keepNext/>
      <w:keepLines/>
      <w:spacing w:before="200" w:after="200" w:line="312" w:lineRule="auto"/>
      <w:outlineLvl w:val="3"/>
    </w:pPr>
    <w:rPr>
      <w:rFonts w:eastAsiaTheme="majorEastAsia" w:cstheme="majorBidi"/>
      <w:b/>
      <w:bCs/>
      <w:i/>
      <w:iCs/>
      <w:sz w:val="20"/>
    </w:rPr>
  </w:style>
  <w:style w:type="paragraph" w:styleId="Heading5">
    <w:name w:val="heading 5"/>
    <w:basedOn w:val="Normal"/>
    <w:next w:val="Normal"/>
    <w:link w:val="Heading5Char"/>
    <w:uiPriority w:val="9"/>
    <w:unhideWhenUsed/>
    <w:qFormat/>
    <w:rsid w:val="00E15F02"/>
    <w:pPr>
      <w:numPr>
        <w:ilvl w:val="4"/>
        <w:numId w:val="8"/>
      </w:numPr>
      <w:spacing w:before="200" w:after="0" w:line="312" w:lineRule="auto"/>
      <w:outlineLvl w:val="4"/>
    </w:pPr>
    <w:rPr>
      <w:rFonts w:asciiTheme="majorHAnsi" w:eastAsiaTheme="majorEastAsia" w:hAnsiTheme="majorHAnsi" w:cstheme="majorBidi"/>
      <w:b/>
      <w:bCs/>
      <w:color w:val="7F7F7F" w:themeColor="text1" w:themeTint="80"/>
      <w:sz w:val="20"/>
    </w:rPr>
  </w:style>
  <w:style w:type="paragraph" w:styleId="Heading6">
    <w:name w:val="heading 6"/>
    <w:basedOn w:val="Normal"/>
    <w:next w:val="Normal"/>
    <w:link w:val="Heading6Char"/>
    <w:uiPriority w:val="9"/>
    <w:unhideWhenUsed/>
    <w:qFormat/>
    <w:rsid w:val="00E15F02"/>
    <w:pPr>
      <w:numPr>
        <w:ilvl w:val="5"/>
        <w:numId w:val="8"/>
      </w:numPr>
      <w:spacing w:after="0" w:line="271" w:lineRule="auto"/>
      <w:outlineLvl w:val="5"/>
    </w:pPr>
    <w:rPr>
      <w:rFonts w:asciiTheme="majorHAnsi" w:eastAsiaTheme="majorEastAsia" w:hAnsiTheme="majorHAnsi" w:cstheme="majorBidi"/>
      <w:b/>
      <w:bCs/>
      <w:i/>
      <w:iCs/>
      <w:color w:val="7F7F7F" w:themeColor="text1" w:themeTint="80"/>
      <w:sz w:val="20"/>
    </w:rPr>
  </w:style>
  <w:style w:type="paragraph" w:styleId="Heading7">
    <w:name w:val="heading 7"/>
    <w:basedOn w:val="Normal"/>
    <w:next w:val="Normal"/>
    <w:link w:val="Heading7Char"/>
    <w:uiPriority w:val="9"/>
    <w:semiHidden/>
    <w:unhideWhenUsed/>
    <w:qFormat/>
    <w:rsid w:val="00E15F02"/>
    <w:pPr>
      <w:numPr>
        <w:ilvl w:val="6"/>
        <w:numId w:val="8"/>
      </w:numPr>
      <w:spacing w:after="0" w:line="312" w:lineRule="auto"/>
      <w:outlineLvl w:val="6"/>
    </w:pPr>
    <w:rPr>
      <w:rFonts w:asciiTheme="majorHAnsi" w:eastAsiaTheme="majorEastAsia" w:hAnsiTheme="majorHAnsi" w:cstheme="majorBidi"/>
      <w:i/>
      <w:iCs/>
      <w:sz w:val="20"/>
    </w:rPr>
  </w:style>
  <w:style w:type="paragraph" w:styleId="Heading8">
    <w:name w:val="heading 8"/>
    <w:basedOn w:val="Normal"/>
    <w:next w:val="Normal"/>
    <w:link w:val="Heading8Char"/>
    <w:uiPriority w:val="9"/>
    <w:semiHidden/>
    <w:unhideWhenUsed/>
    <w:qFormat/>
    <w:rsid w:val="008D000A"/>
    <w:pPr>
      <w:numPr>
        <w:ilvl w:val="7"/>
        <w:numId w:val="8"/>
      </w:numPr>
      <w:spacing w:after="0" w:line="312" w:lineRule="auto"/>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8D000A"/>
    <w:pPr>
      <w:numPr>
        <w:ilvl w:val="8"/>
        <w:numId w:val="8"/>
      </w:numPr>
      <w:spacing w:after="0" w:line="312" w:lineRule="auto"/>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ticledraft">
    <w:name w:val="Article draft"/>
    <w:basedOn w:val="Normal"/>
    <w:qFormat/>
    <w:rsid w:val="008D000A"/>
    <w:pPr>
      <w:keepNext/>
      <w:spacing w:after="200" w:line="360" w:lineRule="auto"/>
      <w:ind w:firstLine="340"/>
    </w:pPr>
    <w:rPr>
      <w:rFonts w:ascii="Verdana" w:hAnsi="Verdana"/>
      <w:sz w:val="20"/>
    </w:rPr>
  </w:style>
  <w:style w:type="paragraph" w:styleId="Caption">
    <w:name w:val="caption"/>
    <w:basedOn w:val="Normal"/>
    <w:next w:val="Normal"/>
    <w:uiPriority w:val="35"/>
    <w:unhideWhenUsed/>
    <w:qFormat/>
    <w:rsid w:val="008D000A"/>
    <w:pPr>
      <w:spacing w:after="200" w:line="240" w:lineRule="auto"/>
    </w:pPr>
    <w:rPr>
      <w:rFonts w:ascii="Verdana" w:hAnsi="Verdana"/>
      <w:b/>
      <w:bCs/>
      <w:sz w:val="18"/>
      <w:szCs w:val="18"/>
    </w:rPr>
  </w:style>
  <w:style w:type="paragraph" w:customStyle="1" w:styleId="Fake1Heading1">
    <w:name w:val="Fake 1 Heading 1"/>
    <w:basedOn w:val="Heading1"/>
    <w:next w:val="Normal"/>
    <w:link w:val="Fake1Heading1Char"/>
    <w:qFormat/>
    <w:rsid w:val="00E15F02"/>
    <w:pPr>
      <w:ind w:left="431" w:hanging="431"/>
      <w:outlineLvl w:val="9"/>
    </w:pPr>
    <w:rPr>
      <w:bCs w:val="0"/>
    </w:rPr>
  </w:style>
  <w:style w:type="character" w:customStyle="1" w:styleId="Fake1Heading1Char">
    <w:name w:val="Fake 1 Heading 1 Char"/>
    <w:basedOn w:val="Heading1Char"/>
    <w:link w:val="Fake1Heading1"/>
    <w:rsid w:val="00E15F02"/>
    <w:rPr>
      <w:rFonts w:eastAsiaTheme="majorEastAsia" w:cstheme="majorBidi"/>
      <w:b/>
      <w:bCs w:val="0"/>
      <w:sz w:val="32"/>
      <w:szCs w:val="28"/>
    </w:rPr>
  </w:style>
  <w:style w:type="character" w:customStyle="1" w:styleId="Heading1Char">
    <w:name w:val="Heading 1 Char"/>
    <w:basedOn w:val="DefaultParagraphFont"/>
    <w:link w:val="Heading1"/>
    <w:uiPriority w:val="9"/>
    <w:rsid w:val="00E15F02"/>
    <w:rPr>
      <w:rFonts w:eastAsiaTheme="majorEastAsia" w:cstheme="majorBidi"/>
      <w:b/>
      <w:bCs/>
      <w:sz w:val="32"/>
      <w:szCs w:val="28"/>
    </w:rPr>
  </w:style>
  <w:style w:type="paragraph" w:customStyle="1" w:styleId="Fake2Heading2">
    <w:name w:val="Fake 2 Heading 2"/>
    <w:basedOn w:val="Heading2"/>
    <w:next w:val="Normal"/>
    <w:link w:val="Fake2Heading2Char"/>
    <w:qFormat/>
    <w:rsid w:val="00E15F02"/>
    <w:pPr>
      <w:outlineLvl w:val="9"/>
    </w:pPr>
  </w:style>
  <w:style w:type="character" w:customStyle="1" w:styleId="Fake2Heading2Char">
    <w:name w:val="Fake 2 Heading 2 Char"/>
    <w:basedOn w:val="Heading2Char"/>
    <w:link w:val="Fake2Heading2"/>
    <w:rsid w:val="00E15F02"/>
    <w:rPr>
      <w:rFonts w:eastAsiaTheme="majorEastAsia" w:cstheme="majorBidi"/>
      <w:b/>
      <w:bCs/>
      <w:sz w:val="26"/>
      <w:szCs w:val="26"/>
    </w:rPr>
  </w:style>
  <w:style w:type="character" w:customStyle="1" w:styleId="Heading2Char">
    <w:name w:val="Heading 2 Char"/>
    <w:basedOn w:val="DefaultParagraphFont"/>
    <w:link w:val="Heading2"/>
    <w:uiPriority w:val="9"/>
    <w:rsid w:val="00E15F02"/>
    <w:rPr>
      <w:rFonts w:eastAsiaTheme="majorEastAsia" w:cstheme="majorBidi"/>
      <w:b/>
      <w:bCs/>
      <w:sz w:val="26"/>
      <w:szCs w:val="26"/>
    </w:rPr>
  </w:style>
  <w:style w:type="paragraph" w:customStyle="1" w:styleId="Fake3Heading3">
    <w:name w:val="Fake 3 Heading 3"/>
    <w:basedOn w:val="Heading3"/>
    <w:next w:val="Normal"/>
    <w:qFormat/>
    <w:rsid w:val="00E15F02"/>
    <w:pPr>
      <w:outlineLvl w:val="9"/>
    </w:pPr>
    <w:rPr>
      <w:bCs w:val="0"/>
    </w:rPr>
  </w:style>
  <w:style w:type="character" w:customStyle="1" w:styleId="Heading3Char">
    <w:name w:val="Heading 3 Char"/>
    <w:basedOn w:val="DefaultParagraphFont"/>
    <w:link w:val="Heading3"/>
    <w:uiPriority w:val="9"/>
    <w:rsid w:val="00E15F02"/>
    <w:rPr>
      <w:rFonts w:eastAsiaTheme="majorEastAsia" w:cstheme="majorBidi"/>
      <w:b/>
      <w:bCs/>
    </w:rPr>
  </w:style>
  <w:style w:type="paragraph" w:customStyle="1" w:styleId="Fake4Heading4">
    <w:name w:val="Fake 4 Heading 4"/>
    <w:basedOn w:val="Heading4"/>
    <w:next w:val="Normal"/>
    <w:qFormat/>
    <w:rsid w:val="00E15F02"/>
    <w:pPr>
      <w:outlineLvl w:val="9"/>
    </w:pPr>
    <w:rPr>
      <w:bCs w:val="0"/>
    </w:rPr>
  </w:style>
  <w:style w:type="character" w:customStyle="1" w:styleId="Heading4Char">
    <w:name w:val="Heading 4 Char"/>
    <w:basedOn w:val="DefaultParagraphFont"/>
    <w:link w:val="Heading4"/>
    <w:uiPriority w:val="9"/>
    <w:rsid w:val="00E15F02"/>
    <w:rPr>
      <w:rFonts w:eastAsiaTheme="majorEastAsia" w:cstheme="majorBidi"/>
      <w:b/>
      <w:bCs/>
      <w:i/>
      <w:iCs/>
      <w:sz w:val="20"/>
    </w:rPr>
  </w:style>
  <w:style w:type="character" w:customStyle="1" w:styleId="Heading5Char">
    <w:name w:val="Heading 5 Char"/>
    <w:basedOn w:val="DefaultParagraphFont"/>
    <w:link w:val="Heading5"/>
    <w:uiPriority w:val="9"/>
    <w:rsid w:val="00E15F02"/>
    <w:rPr>
      <w:rFonts w:asciiTheme="majorHAnsi" w:eastAsiaTheme="majorEastAsia" w:hAnsiTheme="majorHAnsi" w:cstheme="majorBidi"/>
      <w:b/>
      <w:bCs/>
      <w:color w:val="7F7F7F" w:themeColor="text1" w:themeTint="80"/>
      <w:sz w:val="20"/>
    </w:rPr>
  </w:style>
  <w:style w:type="character" w:customStyle="1" w:styleId="Heading6Char">
    <w:name w:val="Heading 6 Char"/>
    <w:basedOn w:val="DefaultParagraphFont"/>
    <w:link w:val="Heading6"/>
    <w:uiPriority w:val="9"/>
    <w:rsid w:val="00E15F02"/>
    <w:rPr>
      <w:rFonts w:asciiTheme="majorHAnsi" w:eastAsiaTheme="majorEastAsia" w:hAnsiTheme="majorHAnsi" w:cstheme="majorBidi"/>
      <w:b/>
      <w:bCs/>
      <w:i/>
      <w:iCs/>
      <w:color w:val="7F7F7F" w:themeColor="text1" w:themeTint="80"/>
      <w:sz w:val="20"/>
    </w:rPr>
  </w:style>
  <w:style w:type="character" w:customStyle="1" w:styleId="Heading7Char">
    <w:name w:val="Heading 7 Char"/>
    <w:basedOn w:val="DefaultParagraphFont"/>
    <w:link w:val="Heading7"/>
    <w:uiPriority w:val="9"/>
    <w:semiHidden/>
    <w:rsid w:val="00E15F02"/>
    <w:rPr>
      <w:rFonts w:asciiTheme="majorHAnsi" w:eastAsiaTheme="majorEastAsia" w:hAnsiTheme="majorHAnsi" w:cstheme="majorBidi"/>
      <w:i/>
      <w:iCs/>
      <w:sz w:val="20"/>
    </w:rPr>
  </w:style>
  <w:style w:type="character" w:customStyle="1" w:styleId="Heading8Char">
    <w:name w:val="Heading 8 Char"/>
    <w:basedOn w:val="DefaultParagraphFont"/>
    <w:link w:val="Heading8"/>
    <w:uiPriority w:val="9"/>
    <w:semiHidden/>
    <w:rsid w:val="008D000A"/>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8D000A"/>
    <w:rPr>
      <w:rFonts w:asciiTheme="majorHAnsi" w:eastAsiaTheme="majorEastAsia" w:hAnsiTheme="majorHAnsi" w:cstheme="majorBidi"/>
      <w:i/>
      <w:iCs/>
      <w:spacing w:val="5"/>
      <w:sz w:val="20"/>
      <w:szCs w:val="20"/>
    </w:rPr>
  </w:style>
  <w:style w:type="paragraph" w:customStyle="1" w:styleId="Appendix">
    <w:name w:val="Appendix"/>
    <w:basedOn w:val="Heading1"/>
    <w:next w:val="Normal"/>
    <w:qFormat/>
    <w:rsid w:val="00095485"/>
    <w:pPr>
      <w:numPr>
        <w:numId w:val="9"/>
      </w:numPr>
    </w:pPr>
  </w:style>
  <w:style w:type="paragraph" w:customStyle="1" w:styleId="Bijlage">
    <w:name w:val="Bijlage"/>
    <w:basedOn w:val="Heading1"/>
    <w:next w:val="Normal"/>
    <w:qFormat/>
    <w:rsid w:val="00095485"/>
    <w:pPr>
      <w:numPr>
        <w:numId w:val="10"/>
      </w:numPr>
    </w:pPr>
  </w:style>
  <w:style w:type="paragraph" w:styleId="BalloonText">
    <w:name w:val="Balloon Text"/>
    <w:basedOn w:val="Normal"/>
    <w:link w:val="BalloonTextChar"/>
    <w:uiPriority w:val="99"/>
    <w:semiHidden/>
    <w:unhideWhenUsed/>
    <w:rsid w:val="00DD52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D52F4"/>
    <w:rPr>
      <w:rFonts w:ascii="Segoe UI" w:hAnsi="Segoe UI" w:cs="Segoe UI"/>
      <w:sz w:val="18"/>
      <w:szCs w:val="18"/>
      <w:lang w:val="en-GB"/>
    </w:rPr>
  </w:style>
  <w:style w:type="paragraph" w:styleId="NoSpacing">
    <w:name w:val="No Spacing"/>
    <w:uiPriority w:val="1"/>
    <w:qFormat/>
    <w:rsid w:val="00DD52F4"/>
    <w:pPr>
      <w:spacing w:after="0" w:line="240" w:lineRule="auto"/>
    </w:pPr>
    <w:rPr>
      <w:lang w:val="en-GB"/>
    </w:rPr>
  </w:style>
  <w:style w:type="paragraph" w:customStyle="1" w:styleId="Supplements">
    <w:name w:val="Supplements"/>
    <w:qFormat/>
    <w:rsid w:val="00DD52F4"/>
    <w:pPr>
      <w:numPr>
        <w:numId w:val="11"/>
      </w:numPr>
    </w:pPr>
    <w:rPr>
      <w:rFonts w:ascii="Times New Roman" w:eastAsiaTheme="majorEastAsia" w:hAnsi="Times New Roman" w:cstheme="majorBidi"/>
      <w:b/>
      <w:bCs/>
      <w:sz w:val="32"/>
      <w:szCs w:val="28"/>
      <w:lang w:val="en-G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1530</Words>
  <Characters>8725</Characters>
  <Application>Microsoft Office Word</Application>
  <DocSecurity>0</DocSecurity>
  <Lines>72</Lines>
  <Paragraphs>20</Paragraphs>
  <ScaleCrop>false</ScaleCrop>
  <Company/>
  <LinksUpToDate>false</LinksUpToDate>
  <CharactersWithSpaces>10235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Sander van Delden</dc:creator>
  <cp:keywords/>
  <dc:description/>
  <cp:lastModifiedBy>0011692</cp:lastModifiedBy>
  <cp:revision>5</cp:revision>
  <dcterms:created xsi:type="dcterms:W3CDTF">2020-04-21T14:29:00Z</dcterms:created>
  <dcterms:modified xsi:type="dcterms:W3CDTF">2020-05-06T16:32:00Z</dcterms:modified>
</cp:coreProperties>
</file>