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20B" w:rsidRDefault="00A2637F">
      <w:bookmarkStart w:id="0" w:name="_GoBack"/>
      <w:bookmarkEnd w:id="0"/>
      <w:r>
        <w:rPr>
          <w:noProof/>
          <w:lang w:eastAsia="de-DE"/>
        </w:rPr>
        <w:drawing>
          <wp:inline distT="0" distB="0" distL="0" distR="0">
            <wp:extent cx="5760720" cy="6490970"/>
            <wp:effectExtent l="19050" t="0" r="0" b="0"/>
            <wp:docPr id="1" name="Grafik 0" descr="MW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_original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9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37F" w:rsidRDefault="00A2637F">
      <w:pPr>
        <w:rPr>
          <w:rFonts w:ascii="Palatino Linotype" w:hAnsi="Palatino Linotype"/>
          <w:sz w:val="20"/>
          <w:szCs w:val="20"/>
          <w:lang w:val="en-US"/>
        </w:rPr>
      </w:pPr>
      <w:r w:rsidRPr="00A2637F">
        <w:rPr>
          <w:rFonts w:ascii="Palatino Linotype" w:hAnsi="Palatino Linotype"/>
          <w:b/>
          <w:sz w:val="20"/>
          <w:szCs w:val="20"/>
          <w:lang w:val="en-US"/>
        </w:rPr>
        <w:t>Figure 1:</w:t>
      </w:r>
      <w:r w:rsidRPr="00A2637F">
        <w:rPr>
          <w:rFonts w:ascii="Palatino Linotype" w:hAnsi="Palatino Linotype"/>
          <w:sz w:val="20"/>
          <w:szCs w:val="20"/>
          <w:lang w:val="en-US"/>
        </w:rPr>
        <w:t xml:space="preserve"> Spectral reflectance corresponding to</w:t>
      </w:r>
      <w:r w:rsidR="00AF77AC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A2637F">
        <w:rPr>
          <w:rFonts w:ascii="Palatino Linotype" w:hAnsi="Palatino Linotype"/>
          <w:sz w:val="20"/>
          <w:szCs w:val="20"/>
          <w:lang w:val="en-US"/>
        </w:rPr>
        <w:t xml:space="preserve">the average of control (green) and infected (red) symptomatic (original) leaves for VNIR (left) and SWIR (right). </w:t>
      </w:r>
      <w:r>
        <w:rPr>
          <w:rFonts w:ascii="Palatino Linotype" w:hAnsi="Palatino Linotype"/>
          <w:sz w:val="20"/>
          <w:szCs w:val="20"/>
          <w:lang w:val="en-US"/>
        </w:rPr>
        <w:t>Spectra are depicted for the years 2016 (a, b), 2017 (c, d), and 2018 (e, f).</w:t>
      </w:r>
    </w:p>
    <w:p w:rsidR="00AF77AC" w:rsidRDefault="00AF77AC">
      <w:pPr>
        <w:rPr>
          <w:rFonts w:ascii="Palatino Linotype" w:hAnsi="Palatino Linotype"/>
          <w:sz w:val="20"/>
          <w:szCs w:val="20"/>
          <w:lang w:val="en-US"/>
        </w:rPr>
      </w:pPr>
    </w:p>
    <w:p w:rsidR="00AF77AC" w:rsidRDefault="00AF77AC">
      <w:pPr>
        <w:rPr>
          <w:rFonts w:ascii="Palatino Linotype" w:hAnsi="Palatino Linotype"/>
          <w:sz w:val="20"/>
          <w:szCs w:val="20"/>
          <w:lang w:val="en-US"/>
        </w:rPr>
      </w:pPr>
    </w:p>
    <w:p w:rsidR="00AF77AC" w:rsidRDefault="00AF77AC">
      <w:pPr>
        <w:rPr>
          <w:rFonts w:ascii="Palatino Linotype" w:hAnsi="Palatino Linotype"/>
          <w:sz w:val="20"/>
          <w:szCs w:val="20"/>
          <w:lang w:val="en-US"/>
        </w:rPr>
      </w:pPr>
    </w:p>
    <w:p w:rsidR="00AF77AC" w:rsidRDefault="00AF77AC">
      <w:pPr>
        <w:rPr>
          <w:rFonts w:ascii="Palatino Linotype" w:hAnsi="Palatino Linotype"/>
          <w:sz w:val="20"/>
          <w:szCs w:val="20"/>
          <w:lang w:val="en-US"/>
        </w:rPr>
      </w:pPr>
    </w:p>
    <w:p w:rsidR="00AF77AC" w:rsidRDefault="00AF77AC">
      <w:pPr>
        <w:rPr>
          <w:rFonts w:ascii="Palatino Linotype" w:hAnsi="Palatino Linotype"/>
          <w:sz w:val="20"/>
          <w:szCs w:val="20"/>
          <w:lang w:val="en-US"/>
        </w:rPr>
      </w:pPr>
    </w:p>
    <w:p w:rsidR="00AF77AC" w:rsidRDefault="00AF77AC">
      <w:pPr>
        <w:rPr>
          <w:rFonts w:ascii="Palatino Linotype" w:hAnsi="Palatino Linotype"/>
          <w:sz w:val="20"/>
          <w:szCs w:val="20"/>
          <w:lang w:val="en-US"/>
        </w:rPr>
      </w:pPr>
      <w:r>
        <w:rPr>
          <w:rFonts w:ascii="Palatino Linotype" w:hAnsi="Palatino Linotype"/>
          <w:noProof/>
          <w:sz w:val="20"/>
          <w:szCs w:val="20"/>
          <w:lang w:eastAsia="de-DE"/>
        </w:rPr>
        <w:lastRenderedPageBreak/>
        <w:drawing>
          <wp:inline distT="0" distB="0" distL="0" distR="0">
            <wp:extent cx="5760720" cy="4368800"/>
            <wp:effectExtent l="19050" t="0" r="0" b="0"/>
            <wp:docPr id="2" name="Grafik 1" descr="MW_annot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_annotat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7AC" w:rsidRDefault="00AF77AC" w:rsidP="00AF77AC">
      <w:pPr>
        <w:rPr>
          <w:rFonts w:ascii="Palatino Linotype" w:hAnsi="Palatino Linotype"/>
          <w:sz w:val="20"/>
          <w:szCs w:val="20"/>
          <w:lang w:val="en-US"/>
        </w:rPr>
      </w:pPr>
      <w:r>
        <w:rPr>
          <w:rFonts w:ascii="Palatino Linotype" w:hAnsi="Palatino Linotype"/>
          <w:b/>
          <w:sz w:val="20"/>
          <w:szCs w:val="20"/>
          <w:lang w:val="en-US"/>
        </w:rPr>
        <w:t>Figure 2</w:t>
      </w:r>
      <w:r w:rsidRPr="00A2637F">
        <w:rPr>
          <w:rFonts w:ascii="Palatino Linotype" w:hAnsi="Palatino Linotype"/>
          <w:b/>
          <w:sz w:val="20"/>
          <w:szCs w:val="20"/>
          <w:lang w:val="en-US"/>
        </w:rPr>
        <w:t>:</w:t>
      </w:r>
      <w:r w:rsidRPr="00A2637F">
        <w:rPr>
          <w:rFonts w:ascii="Palatino Linotype" w:hAnsi="Palatino Linotype"/>
          <w:sz w:val="20"/>
          <w:szCs w:val="20"/>
          <w:lang w:val="en-US"/>
        </w:rPr>
        <w:t xml:space="preserve"> Spectral reflectance corresponding to</w:t>
      </w:r>
      <w:r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A2637F">
        <w:rPr>
          <w:rFonts w:ascii="Palatino Linotype" w:hAnsi="Palatino Linotype"/>
          <w:sz w:val="20"/>
          <w:szCs w:val="20"/>
          <w:lang w:val="en-US"/>
        </w:rPr>
        <w:t>the average of control (green) and infected (red) symptomatic (</w:t>
      </w:r>
      <w:r w:rsidR="006F4A1E">
        <w:rPr>
          <w:rFonts w:ascii="Palatino Linotype" w:hAnsi="Palatino Linotype"/>
          <w:sz w:val="20"/>
          <w:szCs w:val="20"/>
          <w:lang w:val="en-US"/>
        </w:rPr>
        <w:t>annotated</w:t>
      </w:r>
      <w:r w:rsidRPr="00A2637F">
        <w:rPr>
          <w:rFonts w:ascii="Palatino Linotype" w:hAnsi="Palatino Linotype"/>
          <w:sz w:val="20"/>
          <w:szCs w:val="20"/>
          <w:lang w:val="en-US"/>
        </w:rPr>
        <w:t xml:space="preserve">) leaves for VNIR (left) and SWIR (right). </w:t>
      </w:r>
      <w:r>
        <w:rPr>
          <w:rFonts w:ascii="Palatino Linotype" w:hAnsi="Palatino Linotype"/>
          <w:sz w:val="20"/>
          <w:szCs w:val="20"/>
          <w:lang w:val="en-US"/>
        </w:rPr>
        <w:t>Spectra are depicted for the years 2016 (a, b) and 2018 (c, d).</w:t>
      </w:r>
    </w:p>
    <w:p w:rsidR="006F4A1E" w:rsidRDefault="006F4A1E" w:rsidP="00AF77AC">
      <w:pPr>
        <w:rPr>
          <w:rFonts w:ascii="Palatino Linotype" w:hAnsi="Palatino Linotype"/>
          <w:sz w:val="20"/>
          <w:szCs w:val="20"/>
          <w:lang w:val="en-US"/>
        </w:rPr>
      </w:pPr>
    </w:p>
    <w:p w:rsidR="006F4A1E" w:rsidRDefault="006F4A1E" w:rsidP="00AF77AC">
      <w:pPr>
        <w:rPr>
          <w:rFonts w:ascii="Palatino Linotype" w:hAnsi="Palatino Linotype"/>
          <w:sz w:val="20"/>
          <w:szCs w:val="20"/>
          <w:lang w:val="en-US"/>
        </w:rPr>
      </w:pPr>
    </w:p>
    <w:p w:rsidR="006F4A1E" w:rsidRDefault="006F4A1E" w:rsidP="00AF77AC">
      <w:pPr>
        <w:rPr>
          <w:rFonts w:ascii="Palatino Linotype" w:hAnsi="Palatino Linotype"/>
          <w:sz w:val="20"/>
          <w:szCs w:val="20"/>
          <w:lang w:val="en-US"/>
        </w:rPr>
      </w:pPr>
    </w:p>
    <w:p w:rsidR="006F4A1E" w:rsidRDefault="006F4A1E" w:rsidP="00AF77AC">
      <w:pPr>
        <w:rPr>
          <w:rFonts w:ascii="Palatino Linotype" w:hAnsi="Palatino Linotype"/>
          <w:sz w:val="20"/>
          <w:szCs w:val="20"/>
          <w:lang w:val="en-US"/>
        </w:rPr>
      </w:pPr>
    </w:p>
    <w:p w:rsidR="006F4A1E" w:rsidRDefault="006F4A1E" w:rsidP="00AF77AC">
      <w:pPr>
        <w:rPr>
          <w:rFonts w:ascii="Palatino Linotype" w:hAnsi="Palatino Linotype"/>
          <w:sz w:val="20"/>
          <w:szCs w:val="20"/>
          <w:lang w:val="en-US"/>
        </w:rPr>
      </w:pPr>
    </w:p>
    <w:p w:rsidR="006F4A1E" w:rsidRDefault="006F4A1E" w:rsidP="00AF77AC">
      <w:pPr>
        <w:rPr>
          <w:rFonts w:ascii="Palatino Linotype" w:hAnsi="Palatino Linotype"/>
          <w:sz w:val="20"/>
          <w:szCs w:val="20"/>
          <w:lang w:val="en-US"/>
        </w:rPr>
      </w:pPr>
    </w:p>
    <w:p w:rsidR="006F4A1E" w:rsidRDefault="006F4A1E" w:rsidP="00AF77AC">
      <w:pPr>
        <w:rPr>
          <w:rFonts w:ascii="Palatino Linotype" w:hAnsi="Palatino Linotype"/>
          <w:sz w:val="20"/>
          <w:szCs w:val="20"/>
          <w:lang w:val="en-US"/>
        </w:rPr>
      </w:pPr>
    </w:p>
    <w:p w:rsidR="006F4A1E" w:rsidRDefault="006F4A1E" w:rsidP="00AF77AC">
      <w:pPr>
        <w:rPr>
          <w:rFonts w:ascii="Palatino Linotype" w:hAnsi="Palatino Linotype"/>
          <w:sz w:val="20"/>
          <w:szCs w:val="20"/>
          <w:lang w:val="en-US"/>
        </w:rPr>
      </w:pPr>
    </w:p>
    <w:p w:rsidR="006F4A1E" w:rsidRDefault="006F4A1E" w:rsidP="00AF77AC">
      <w:pPr>
        <w:rPr>
          <w:rFonts w:ascii="Palatino Linotype" w:hAnsi="Palatino Linotype"/>
          <w:sz w:val="20"/>
          <w:szCs w:val="20"/>
          <w:lang w:val="en-US"/>
        </w:rPr>
      </w:pPr>
    </w:p>
    <w:p w:rsidR="006F4A1E" w:rsidRDefault="006F4A1E" w:rsidP="00AF77AC">
      <w:pPr>
        <w:rPr>
          <w:rFonts w:ascii="Palatino Linotype" w:hAnsi="Palatino Linotype"/>
          <w:sz w:val="20"/>
          <w:szCs w:val="20"/>
          <w:lang w:val="en-US"/>
        </w:rPr>
      </w:pPr>
    </w:p>
    <w:p w:rsidR="00AF77AC" w:rsidRDefault="00AF77AC">
      <w:pPr>
        <w:rPr>
          <w:rFonts w:ascii="Palatino Linotype" w:hAnsi="Palatino Linotype"/>
          <w:sz w:val="20"/>
          <w:szCs w:val="20"/>
          <w:lang w:val="en-US"/>
        </w:rPr>
      </w:pPr>
    </w:p>
    <w:p w:rsidR="006F4A1E" w:rsidRDefault="006F4A1E">
      <w:pPr>
        <w:rPr>
          <w:rFonts w:ascii="Palatino Linotype" w:hAnsi="Palatino Linotype"/>
          <w:sz w:val="20"/>
          <w:szCs w:val="20"/>
          <w:lang w:val="en-US"/>
        </w:rPr>
      </w:pPr>
    </w:p>
    <w:p w:rsidR="006F4A1E" w:rsidRDefault="006F4A1E">
      <w:pPr>
        <w:rPr>
          <w:rFonts w:ascii="Palatino Linotype" w:hAnsi="Palatino Linotype"/>
          <w:sz w:val="20"/>
          <w:szCs w:val="20"/>
          <w:lang w:val="en-US"/>
        </w:rPr>
      </w:pPr>
      <w:r>
        <w:rPr>
          <w:rFonts w:ascii="Palatino Linotype" w:hAnsi="Palatino Linotype"/>
          <w:noProof/>
          <w:sz w:val="20"/>
          <w:szCs w:val="20"/>
          <w:lang w:eastAsia="de-DE"/>
        </w:rPr>
        <w:lastRenderedPageBreak/>
        <w:drawing>
          <wp:inline distT="0" distB="0" distL="0" distR="0">
            <wp:extent cx="5760720" cy="4368800"/>
            <wp:effectExtent l="19050" t="0" r="0" b="0"/>
            <wp:docPr id="3" name="Grafik 2" descr="MW_pre-symptomat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_pre-symptomatic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A1E" w:rsidRDefault="006F4A1E" w:rsidP="006F4A1E">
      <w:pPr>
        <w:rPr>
          <w:rFonts w:ascii="Palatino Linotype" w:hAnsi="Palatino Linotype"/>
          <w:sz w:val="20"/>
          <w:szCs w:val="20"/>
          <w:lang w:val="en-US"/>
        </w:rPr>
      </w:pPr>
      <w:r>
        <w:rPr>
          <w:rFonts w:ascii="Palatino Linotype" w:hAnsi="Palatino Linotype"/>
          <w:b/>
          <w:sz w:val="20"/>
          <w:szCs w:val="20"/>
          <w:lang w:val="en-US"/>
        </w:rPr>
        <w:t>Figure 3</w:t>
      </w:r>
      <w:r w:rsidRPr="00A2637F">
        <w:rPr>
          <w:rFonts w:ascii="Palatino Linotype" w:hAnsi="Palatino Linotype"/>
          <w:b/>
          <w:sz w:val="20"/>
          <w:szCs w:val="20"/>
          <w:lang w:val="en-US"/>
        </w:rPr>
        <w:t>:</w:t>
      </w:r>
      <w:r w:rsidRPr="00A2637F">
        <w:rPr>
          <w:rFonts w:ascii="Palatino Linotype" w:hAnsi="Palatino Linotype"/>
          <w:sz w:val="20"/>
          <w:szCs w:val="20"/>
          <w:lang w:val="en-US"/>
        </w:rPr>
        <w:t xml:space="preserve"> Spectral reflectance corresponding to</w:t>
      </w:r>
      <w:r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A2637F">
        <w:rPr>
          <w:rFonts w:ascii="Palatino Linotype" w:hAnsi="Palatino Linotype"/>
          <w:sz w:val="20"/>
          <w:szCs w:val="20"/>
          <w:lang w:val="en-US"/>
        </w:rPr>
        <w:t>the average of control (green) and infected (red)</w:t>
      </w:r>
      <w:r>
        <w:rPr>
          <w:rFonts w:ascii="Palatino Linotype" w:hAnsi="Palatino Linotype"/>
          <w:sz w:val="20"/>
          <w:szCs w:val="20"/>
          <w:lang w:val="en-US"/>
        </w:rPr>
        <w:t xml:space="preserve"> pre-symptomatic</w:t>
      </w:r>
      <w:r w:rsidRPr="00A2637F">
        <w:rPr>
          <w:rFonts w:ascii="Palatino Linotype" w:hAnsi="Palatino Linotype"/>
          <w:sz w:val="20"/>
          <w:szCs w:val="20"/>
          <w:lang w:val="en-US"/>
        </w:rPr>
        <w:t xml:space="preserve"> leaves for VNIR (left) and SWIR (right). </w:t>
      </w:r>
      <w:r>
        <w:rPr>
          <w:rFonts w:ascii="Palatino Linotype" w:hAnsi="Palatino Linotype"/>
          <w:sz w:val="20"/>
          <w:szCs w:val="20"/>
          <w:lang w:val="en-US"/>
        </w:rPr>
        <w:t>Spectra are depicted for the years 201</w:t>
      </w:r>
      <w:r w:rsidR="007C782A">
        <w:rPr>
          <w:rFonts w:ascii="Palatino Linotype" w:hAnsi="Palatino Linotype"/>
          <w:sz w:val="20"/>
          <w:szCs w:val="20"/>
          <w:lang w:val="en-US"/>
        </w:rPr>
        <w:t>7</w:t>
      </w:r>
      <w:r>
        <w:rPr>
          <w:rFonts w:ascii="Palatino Linotype" w:hAnsi="Palatino Linotype"/>
          <w:sz w:val="20"/>
          <w:szCs w:val="20"/>
          <w:lang w:val="en-US"/>
        </w:rPr>
        <w:t xml:space="preserve"> (a, b) and 201</w:t>
      </w:r>
      <w:r w:rsidR="007C782A">
        <w:rPr>
          <w:rFonts w:ascii="Palatino Linotype" w:hAnsi="Palatino Linotype"/>
          <w:sz w:val="20"/>
          <w:szCs w:val="20"/>
          <w:lang w:val="en-US"/>
        </w:rPr>
        <w:t>8</w:t>
      </w:r>
      <w:r>
        <w:rPr>
          <w:rFonts w:ascii="Palatino Linotype" w:hAnsi="Palatino Linotype"/>
          <w:sz w:val="20"/>
          <w:szCs w:val="20"/>
          <w:lang w:val="en-US"/>
        </w:rPr>
        <w:t xml:space="preserve"> (c, d).</w:t>
      </w:r>
    </w:p>
    <w:p w:rsidR="006F4A1E" w:rsidRPr="00A2637F" w:rsidRDefault="006F4A1E">
      <w:pPr>
        <w:rPr>
          <w:rFonts w:ascii="Palatino Linotype" w:hAnsi="Palatino Linotype"/>
          <w:sz w:val="20"/>
          <w:szCs w:val="20"/>
          <w:lang w:val="en-US"/>
        </w:rPr>
      </w:pPr>
    </w:p>
    <w:sectPr w:rsidR="006F4A1E" w:rsidRPr="00A2637F" w:rsidSect="00BF22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637F"/>
    <w:rsid w:val="006F4A1E"/>
    <w:rsid w:val="007C782A"/>
    <w:rsid w:val="00A2637F"/>
    <w:rsid w:val="00AF5D77"/>
    <w:rsid w:val="00AF77AC"/>
    <w:rsid w:val="00BF220B"/>
    <w:rsid w:val="00DA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E40A0"/>
  <w15:docId w15:val="{6FB5CFD2-900A-4F61-B33D-5EFB5AF0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F220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63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</Words>
  <Characters>613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Nele Bendel </dc:creator>
  <cp:keywords/>
  <dc:description/>
  <cp:lastModifiedBy>Bendel, Nele</cp:lastModifiedBy>
  <cp:revision>5</cp:revision>
  <dcterms:created xsi:type="dcterms:W3CDTF">2020-06-23T12:58:00Z</dcterms:created>
  <dcterms:modified xsi:type="dcterms:W3CDTF">2020-08-13T11:29:00Z</dcterms:modified>
</cp:coreProperties>
</file>