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480" w:lineRule="auto"/>
        <w:rPr>
          <w:rFonts w:ascii="Times New Roman" w:hAnsi="Times New Roman" w:cs="Times New Roman"/>
          <w:color w:val="auto"/>
          <w:lang w:eastAsia="zh-CN"/>
        </w:rPr>
      </w:pPr>
      <w:r>
        <w:rPr>
          <w:rFonts w:ascii="Times New Roman" w:hAnsi="Times New Roman" w:cs="Times New Roman"/>
          <w:color w:val="auto"/>
          <w:lang w:eastAsia="zh-CN"/>
        </w:rPr>
        <w:t>Supplementary material</w:t>
      </w:r>
    </w:p>
    <w:p>
      <w:pPr>
        <w:spacing w:line="480" w:lineRule="auto"/>
        <w:jc w:val="left"/>
        <w:rPr>
          <w:rFonts w:ascii="Times New Roman" w:hAnsi="Times New Roman" w:cs="Times New Roman"/>
          <w:b/>
          <w:bCs/>
          <w:color w:val="auto"/>
        </w:rPr>
      </w:pPr>
      <w:r>
        <w:rPr>
          <w:rFonts w:hint="eastAsia" w:ascii="Times New Roman" w:hAnsi="Times New Roman" w:cs="Times New Roman"/>
          <w:b/>
          <w:bCs/>
          <w:color w:val="auto"/>
        </w:rPr>
        <w:t>Supplementary Table 1</w:t>
      </w:r>
      <w:r>
        <w:rPr>
          <w:rFonts w:ascii="Times New Roman" w:hAnsi="Times New Roman" w:cs="Times New Roman"/>
          <w:b/>
          <w:bCs/>
          <w:color w:val="auto"/>
        </w:rPr>
        <w:t xml:space="preserve">. </w:t>
      </w: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Model evaluation</w:t>
      </w:r>
      <w:r>
        <w:rPr>
          <w:rFonts w:ascii="Times New Roman" w:hAnsi="Times New Roman" w:cs="Times New Roman"/>
          <w:b/>
          <w:bCs/>
          <w:color w:val="auto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for</w:t>
      </w:r>
      <w:r>
        <w:rPr>
          <w:rFonts w:ascii="Times New Roman" w:hAnsi="Times New Roman" w:cs="Times New Roman"/>
          <w:b/>
          <w:bCs/>
          <w:color w:val="auto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 xml:space="preserve">six </w:t>
      </w:r>
      <w:r>
        <w:rPr>
          <w:rFonts w:ascii="Times New Roman" w:hAnsi="Times New Roman" w:cs="Times New Roman"/>
          <w:b/>
          <w:bCs/>
          <w:color w:val="auto"/>
        </w:rPr>
        <w:t xml:space="preserve">semantic </w:t>
      </w: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>components</w:t>
      </w:r>
      <w:r>
        <w:rPr>
          <w:rFonts w:ascii="Times New Roman" w:hAnsi="Times New Roman" w:cs="Times New Roman"/>
          <w:b/>
          <w:bCs/>
          <w:color w:val="auto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 xml:space="preserve">of </w:t>
      </w:r>
      <w:r>
        <w:rPr>
          <w:rFonts w:ascii="Times New Roman" w:hAnsi="Times New Roman" w:cs="Times New Roman"/>
          <w:b/>
          <w:bCs/>
          <w:color w:val="auto"/>
        </w:rPr>
        <w:t>lettuce leaves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8"/>
        <w:gridCol w:w="908"/>
        <w:gridCol w:w="928"/>
        <w:gridCol w:w="899"/>
        <w:gridCol w:w="1014"/>
        <w:gridCol w:w="917"/>
        <w:gridCol w:w="151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8" w:type="dxa"/>
            <w:tcBorders>
              <w:bottom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</w:pPr>
          </w:p>
        </w:tc>
        <w:tc>
          <w:tcPr>
            <w:tcW w:w="908" w:type="dxa"/>
            <w:tcBorders>
              <w:bottom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  <w:t>Blade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  <w:t>Mid-rid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  <w:t>Veins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  <w:t>Venation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  <w:t>Lamina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  <w:t>Marginal zone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8" w:type="dxa"/>
            <w:tcBorders>
              <w:top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Training IoU</w:t>
            </w:r>
          </w:p>
        </w:tc>
        <w:tc>
          <w:tcPr>
            <w:tcW w:w="908" w:type="dxa"/>
            <w:tcBorders>
              <w:top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0.99528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0.91782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0.78774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0.80342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0.92387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0.85704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8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Training Loss</w:t>
            </w:r>
          </w:p>
        </w:tc>
        <w:tc>
          <w:tcPr>
            <w:tcW w:w="908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0.00440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0.04902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0.14926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0.14380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0.06425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0.11502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8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Validation IoU</w:t>
            </w:r>
          </w:p>
        </w:tc>
        <w:tc>
          <w:tcPr>
            <w:tcW w:w="908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0.99551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0.93608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0.82023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0.83660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0.91715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0.85234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8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Validation Loss</w:t>
            </w:r>
          </w:p>
        </w:tc>
        <w:tc>
          <w:tcPr>
            <w:tcW w:w="908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0.00405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0.03868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0.12783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0.11956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0.07314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0.12855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8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Testing mIoU</w:t>
            </w:r>
          </w:p>
        </w:tc>
        <w:tc>
          <w:tcPr>
            <w:tcW w:w="908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0.99617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0.90176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0.70089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0.74428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0.83299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0.71872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1578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Testing mF1</w:t>
            </w:r>
          </w:p>
        </w:tc>
        <w:tc>
          <w:tcPr>
            <w:tcW w:w="908" w:type="dxa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0.99808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0.94818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0.82378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0.85299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0.90857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</w:rPr>
              <w:t>0.83623</w:t>
            </w:r>
          </w:p>
        </w:tc>
      </w:tr>
    </w:tbl>
    <w:p>
      <w:pPr>
        <w:spacing w:line="480" w:lineRule="auto"/>
        <w:jc w:val="center"/>
        <w:rPr>
          <w:rFonts w:hint="eastAsia" w:ascii="Times New Roman" w:hAnsi="Times New Roman" w:cs="Times New Roman"/>
          <w:b/>
          <w:bCs/>
          <w:color w:val="auto"/>
          <w:kern w:val="0"/>
          <w:sz w:val="24"/>
          <w:lang w:eastAsia="zh-CN"/>
        </w:rPr>
      </w:pPr>
    </w:p>
    <w:p>
      <w:pPr>
        <w:spacing w:line="480" w:lineRule="auto"/>
        <w:jc w:val="left"/>
        <w:rPr>
          <w:rFonts w:hint="eastAsia" w:ascii="Times New Roman" w:hAnsi="Times New Roman" w:cs="Times New Roman"/>
          <w:b/>
          <w:bCs/>
          <w:color w:val="auto"/>
        </w:rPr>
      </w:pPr>
      <w:r>
        <w:rPr>
          <w:rFonts w:hint="eastAsia" w:ascii="Times New Roman" w:hAnsi="Times New Roman" w:cs="Times New Roman"/>
          <w:b/>
          <w:bCs/>
          <w:color w:val="auto"/>
          <w:lang w:eastAsia="zh-CN"/>
        </w:rPr>
        <w:t>Supplementary Table 2</w:t>
      </w:r>
      <w:r>
        <w:rPr>
          <w:rFonts w:hint="eastAsia" w:ascii="Times New Roman" w:hAnsi="Times New Roman" w:cs="Times New Roman"/>
          <w:b/>
          <w:bCs/>
          <w:color w:val="auto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color w:val="auto"/>
        </w:rPr>
        <w:t>Geometry traits of lettuce leaves</w:t>
      </w:r>
    </w:p>
    <w:tbl>
      <w:tblPr>
        <w:tblStyle w:val="4"/>
        <w:tblW w:w="8277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7"/>
        <w:gridCol w:w="2068"/>
        <w:gridCol w:w="3895"/>
        <w:gridCol w:w="777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Index</w:t>
            </w:r>
          </w:p>
        </w:tc>
        <w:tc>
          <w:tcPr>
            <w:tcW w:w="186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  <w:t>Abbreviation</w:t>
            </w:r>
          </w:p>
        </w:tc>
        <w:tc>
          <w:tcPr>
            <w:tcW w:w="402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Description</w:t>
            </w:r>
          </w:p>
        </w:tc>
        <w:tc>
          <w:tcPr>
            <w:tcW w:w="78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864" w:type="dxa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BD_A</w:t>
            </w:r>
          </w:p>
        </w:tc>
        <w:tc>
          <w:tcPr>
            <w:tcW w:w="4027" w:type="dxa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Total leaf area</w:t>
            </w:r>
          </w:p>
        </w:tc>
        <w:tc>
          <w:tcPr>
            <w:tcW w:w="785" w:type="dxa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eastAsia="宋体" w:cs="Times New Roman"/>
                <w:color w:val="auto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BD_W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Leaf width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m:oMathPara>
              <m:oMath>
                <m:r>
                  <m:rPr/>
                  <w:rPr>
                    <w:rFonts w:ascii="Cambria Math" w:hAnsi="Cambria Math" w:cs="Times New Roman"/>
                    <w:color w:val="auto"/>
                  </w:rPr>
                  <m:t>pixel</m:t>
                </m:r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BD_L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Leaf length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m:oMathPara>
              <m:oMath>
                <m:r>
                  <m:rPr/>
                  <w:rPr>
                    <w:rFonts w:ascii="Cambria Math" w:hAnsi="Cambria Math" w:cs="Times New Roman"/>
                    <w:color w:val="auto"/>
                  </w:rPr>
                  <m:t>pixel</m:t>
                </m:r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BD_HWL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Ratio between leaf width and length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MR_A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Mid-rid area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MR_L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Mid-rid length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m:oMathPara>
              <m:oMath>
                <m:r>
                  <m:rPr/>
                  <w:rPr>
                    <w:rFonts w:ascii="Cambria Math" w:hAnsi="Cambria Math" w:cs="Times New Roman"/>
                    <w:color w:val="auto"/>
                  </w:rPr>
                  <m:t>pixel</m:t>
                </m:r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MR_W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Mid-rid width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m:oMathPara>
              <m:oMath>
                <m:r>
                  <m:rPr/>
                  <w:rPr>
                    <w:rFonts w:ascii="Cambria Math" w:hAnsi="Cambria Math" w:cs="Times New Roman"/>
                    <w:color w:val="auto"/>
                  </w:rPr>
                  <m:t>pixel</m:t>
                </m:r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VS_A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of the second-order veins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VS_CHA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Convex area of the second-order veins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VS_N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Number of the second-order veins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LM_A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of the first-order laminas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LM_CHA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Convex area of the first-order laminas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LM_MA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Max area of the first-order laminas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LM_N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Number of the first-order laminas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VV_A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of the vein venation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VV_CHA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Convex area of the vein venation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MZ_A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of the marginal zone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MZ_HN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Hole number of the marginal zone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19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MZ_HA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Hole area of the marginal zone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MR_A_Ratio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ratio between the mid-rid and the leaf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21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VS_A_Ratio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ratio between the second-order veins and the leaf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22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VV_A_Ratio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ratio between the vein venation and the leaf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23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LM_A_Ratio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ratio between the laminas and the leaf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24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MZ_A_Ratio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ratio between the marginal zone and the leaf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25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MR_VS_A_Ratio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ratio: (MR_A+VS_A)/BD_A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26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MR_VV_A_Ratio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ratio: (MR_A+VV_A)/BD_A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27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VS_VV_A_Ratio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ratio: (VS_A+VV_A)/BD_A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28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EVA_MR_VS_2_VV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ratio: (MR_A+VS_A)/VV_A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29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EVA_LM_VV_2_BD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ratio: (LM_A+VV_A)/BD_A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1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30</w:t>
            </w:r>
          </w:p>
        </w:tc>
        <w:tc>
          <w:tcPr>
            <w:tcW w:w="1864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EVA_MZ_LM_2_BD</w:t>
            </w:r>
          </w:p>
        </w:tc>
        <w:tc>
          <w:tcPr>
            <w:tcW w:w="4027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Area ratio: (MZ_A+LM_A)/BD_A</w:t>
            </w:r>
          </w:p>
        </w:tc>
        <w:tc>
          <w:tcPr>
            <w:tcW w:w="785" w:type="dxa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>
      <w:pPr>
        <w:spacing w:line="480" w:lineRule="auto"/>
        <w:jc w:val="left"/>
        <w:rPr>
          <w:rFonts w:hint="eastAsia" w:ascii="Times New Roman" w:hAnsi="Times New Roman" w:cs="Times New Roman"/>
          <w:b/>
          <w:bCs/>
          <w:color w:val="auto"/>
          <w:lang w:eastAsia="zh-CN"/>
        </w:rPr>
      </w:pPr>
    </w:p>
    <w:p>
      <w:pPr>
        <w:spacing w:line="480" w:lineRule="auto"/>
        <w:jc w:val="left"/>
        <w:rPr>
          <w:rFonts w:hint="eastAsia" w:ascii="Times New Roman" w:hAnsi="Times New Roman" w:cs="Times New Roman"/>
          <w:b/>
          <w:bCs/>
          <w:color w:val="auto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color w:val="auto"/>
          <w:lang w:eastAsia="zh-CN"/>
        </w:rPr>
        <w:t>Supplementary Table 3</w:t>
      </w:r>
      <w:r>
        <w:rPr>
          <w:rFonts w:hint="eastAsia" w:ascii="Times New Roman" w:hAnsi="Times New Roman" w:cs="Times New Roman"/>
          <w:b/>
          <w:bCs/>
          <w:color w:val="auto"/>
        </w:rPr>
        <w:t>. Vein architecture traits of lettuce leaves</w:t>
      </w:r>
    </w:p>
    <w:tbl>
      <w:tblPr>
        <w:tblStyle w:val="4"/>
        <w:tblW w:w="830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891"/>
        <w:gridCol w:w="4553"/>
        <w:gridCol w:w="113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  <w:t>Index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  <w:t>Abbreviation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  <w:t>Description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Cs w:val="21"/>
              </w:rPr>
              <w:t>Unit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LM_N_T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Total number of laminas</w:t>
            </w:r>
          </w:p>
        </w:tc>
        <w:tc>
          <w:tcPr>
            <w:tcW w:w="0" w:type="auto"/>
            <w:tcBorders>
              <w:top w:val="single" w:color="auto" w:sz="4" w:space="0"/>
            </w:tcBorders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2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BD_PE_PX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Area of petiole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  <w:szCs w:val="21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  <w:szCs w:val="21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  <w:szCs w:val="21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  <w:szCs w:val="21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  <w:szCs w:val="21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3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BD_AP_PX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Area from petiole to the apex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  <w:szCs w:val="21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  <w:szCs w:val="21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  <w:szCs w:val="21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  <w:szCs w:val="21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  <w:szCs w:val="21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4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MR_PE_PX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Area of petiole in the mid-rid region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  <w:szCs w:val="21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  <w:szCs w:val="21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  <w:szCs w:val="21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  <w:szCs w:val="21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  <w:szCs w:val="21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5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MR_AP_PX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Area from petiole to apex in the mid-rid region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auto"/>
                        <w:szCs w:val="21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color w:val="auto"/>
                        <w:szCs w:val="21"/>
                      </w:rPr>
                      <m:t>pixel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  <w:szCs w:val="21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color w:val="auto"/>
                        <w:szCs w:val="21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color w:val="auto"/>
                        <w:szCs w:val="21"/>
                      </w:rPr>
                    </m:ctrlPr>
                  </m:sup>
                </m:sSup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6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PE_L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Length of petiole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m:oMathPara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pixel</m:t>
                </m:r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7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AP_L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Length from petiole to the apex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m:oMathPara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pixel</m:t>
                </m:r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8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BD_PE_AP_AR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Area ratio between petiole and apex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9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MR_PE_AP_AR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Area ratio between petiole and apex in the mid-rid region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10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PE_ AP_LR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Length ratio between apex and petiole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11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LM1_N_LT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Number of the first-order lamina of the left side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12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LM1_N_RT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Number of the first-order lamina of the right side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13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LM1_N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 xml:space="preserve">Number of the first-order lamina 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14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LM1_NR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Cambria Math" w:hAnsi="Cambria Math" w:cs="Times New Roman"/>
                <w:color w:val="auto"/>
                <w:szCs w:val="21"/>
                <w:oMath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R1=LM1_N_LT/ LM1_N_RT</m:t>
                </m:r>
              </m:oMath>
            </m:oMathPara>
          </w:p>
          <w:p>
            <w:pPr>
              <w:spacing w:line="480" w:lineRule="auto"/>
              <w:rPr>
                <w:rFonts w:ascii="Cambria Math" w:hAnsi="Cambria Math" w:cs="Times New Roman"/>
                <w:color w:val="auto"/>
                <w:szCs w:val="21"/>
                <w:oMath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R2=LM1_N_RT/ LM1_N_LT</m:t>
                </m:r>
              </m:oMath>
            </m:oMathPara>
          </w:p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R = min(R1, R2)</m:t>
                </m:r>
              </m:oMath>
            </m:oMathPara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15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LM1_A_LT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Area of the first-order laminas on the left side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16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LM1_A_RT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Area of the first-order laminas on the right side</w:t>
            </w:r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17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LM1_AR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R1= LM1_A_LT / LM1_A_RT</m:t>
                </m:r>
              </m:oMath>
            </m:oMathPara>
          </w:p>
          <w:p>
            <w:pPr>
              <w:spacing w:line="480" w:lineRule="auto"/>
              <w:rPr>
                <w:rFonts w:ascii="Cambria Math" w:hAnsi="Cambria Math" w:cs="Times New Roman"/>
                <w:color w:val="auto"/>
                <w:szCs w:val="21"/>
                <w:oMath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R2= LM1_A_RT / LM1_A_LT</m:t>
                </m:r>
              </m:oMath>
            </m:oMathPara>
          </w:p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R = min(R1, R2)</m:t>
                </m:r>
              </m:oMath>
            </m:oMathPara>
          </w:p>
        </w:tc>
        <w:tc>
          <w:tcPr>
            <w:tcW w:w="0" w:type="auto"/>
          </w:tcPr>
          <w:p>
            <w:pPr>
              <w:spacing w:line="480" w:lineRule="auto"/>
              <w:jc w:val="center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18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LM_ANG_List_LT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Angle list of the left first-order lamina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i/>
                <w:color w:val="auto"/>
                <w:szCs w:val="21"/>
              </w:rPr>
            </w:pPr>
            <m:oMathPara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degree(°)</m:t>
                </m:r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19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LM_ANG_List_RT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Angle list of the right first-order lamina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m:oMathPara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degree(°)</m:t>
                </m:r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20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LM_Ave_ANG_LT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Average angle of the left first-order lamina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m:oMathPara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degree(°)</m:t>
                </m:r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21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LM_Ave_ANG_RT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Average angle of the right first-order lamina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m:oMathPara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degree(°)</m:t>
                </m:r>
              </m:oMath>
            </m:oMathPara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22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LM_NR_ANG</w:t>
            </w:r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 xml:space="preserve">Angle ratio between the left and right first-order lamina, and </w:t>
            </w:r>
            <w:r>
              <w:rPr>
                <w:color w:val="auto"/>
              </w:rPr>
              <w:fldChar w:fldCharType="begin"/>
            </w:r>
            <w:r>
              <w:rPr>
                <w:color w:val="auto"/>
              </w:rPr>
              <w:instrText xml:space="preserve"> HYPERLINK "javascript:;" </w:instrText>
            </w:r>
            <w:r>
              <w:rPr>
                <w:color w:val="auto"/>
              </w:rPr>
              <w:fldChar w:fldCharType="separate"/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less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 </w:t>
            </w:r>
            <w:r>
              <w:rPr>
                <w:color w:val="auto"/>
              </w:rPr>
              <w:fldChar w:fldCharType="begin"/>
            </w:r>
            <w:r>
              <w:rPr>
                <w:color w:val="auto"/>
              </w:rPr>
              <w:instrText xml:space="preserve"> HYPERLINK "javascript:;" </w:instrText>
            </w:r>
            <w:r>
              <w:rPr>
                <w:color w:val="auto"/>
              </w:rPr>
              <w:fldChar w:fldCharType="separate"/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than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 </w:t>
            </w:r>
            <w:r>
              <w:rPr>
                <w:color w:val="auto"/>
              </w:rPr>
              <w:fldChar w:fldCharType="begin"/>
            </w:r>
            <w:r>
              <w:rPr>
                <w:color w:val="auto"/>
              </w:rPr>
              <w:instrText xml:space="preserve"> HYPERLINK "javascript:;" </w:instrText>
            </w:r>
            <w:r>
              <w:rPr>
                <w:color w:val="auto"/>
              </w:rPr>
              <w:fldChar w:fldCharType="separate"/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or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 </w:t>
            </w:r>
            <w:r>
              <w:rPr>
                <w:color w:val="auto"/>
              </w:rPr>
              <w:fldChar w:fldCharType="begin"/>
            </w:r>
            <w:r>
              <w:rPr>
                <w:color w:val="auto"/>
              </w:rPr>
              <w:instrText xml:space="preserve"> HYPERLINK "javascript:;" </w:instrText>
            </w:r>
            <w:r>
              <w:rPr>
                <w:color w:val="auto"/>
              </w:rPr>
              <w:fldChar w:fldCharType="separate"/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equal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 </w:t>
            </w:r>
            <w:r>
              <w:rPr>
                <w:color w:val="auto"/>
              </w:rPr>
              <w:fldChar w:fldCharType="begin"/>
            </w:r>
            <w:r>
              <w:rPr>
                <w:color w:val="auto"/>
              </w:rPr>
              <w:instrText xml:space="preserve"> HYPERLINK "javascript:;" </w:instrText>
            </w:r>
            <w:r>
              <w:rPr>
                <w:color w:val="auto"/>
              </w:rPr>
              <w:fldChar w:fldCharType="separate"/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>to</w:t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color w:val="auto"/>
                <w:szCs w:val="21"/>
              </w:rPr>
              <w:t xml:space="preserve"> 1.</w:t>
            </w:r>
          </w:p>
          <w:p>
            <w:pPr>
              <w:spacing w:line="480" w:lineRule="auto"/>
              <w:rPr>
                <w:rFonts w:ascii="Cambria Math" w:hAnsi="Cambria Math" w:cs="Times New Roman"/>
                <w:color w:val="auto"/>
                <w:szCs w:val="21"/>
                <w:oMath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R1= LM_Ave_ANG_LT / LM_Ave_ANG_RT</m:t>
                </m:r>
              </m:oMath>
            </m:oMathPara>
          </w:p>
          <w:p>
            <w:pPr>
              <w:spacing w:line="480" w:lineRule="auto"/>
              <w:rPr>
                <w:rFonts w:ascii="Cambria Math" w:hAnsi="Cambria Math" w:cs="Times New Roman"/>
                <w:color w:val="auto"/>
                <w:szCs w:val="21"/>
                <w:oMath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R2= LM_Ave_ANG_RT / LM_Ave_ANG_LT</m:t>
                </m:r>
              </m:oMath>
            </m:oMathPara>
          </w:p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cs="Times New Roman"/>
                    <w:color w:val="auto"/>
                    <w:szCs w:val="21"/>
                  </w:rPr>
                  <m:t>R = min(R1, R2)</m:t>
                </m:r>
              </m:oMath>
            </m:oMathPara>
          </w:p>
        </w:tc>
        <w:tc>
          <w:tcPr>
            <w:tcW w:w="0" w:type="auto"/>
          </w:tcPr>
          <w:p>
            <w:pPr>
              <w:spacing w:line="480" w:lineRule="auto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</w:tr>
    </w:tbl>
    <w:p>
      <w:pPr>
        <w:rPr>
          <w:rFonts w:hint="eastAsia" w:ascii="Times New Roman" w:hAnsi="Times New Roman" w:cs="Times New Roman"/>
          <w:b/>
          <w:bCs/>
          <w:color w:val="auto"/>
          <w:kern w:val="0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104662"/>
    <w:rsid w:val="0A104662"/>
    <w:rsid w:val="7B28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2022-02-22T06:35:00Z</dcterms:created>
  <dc:creator>阿杜</dc:creator>
  <cp:lastModifiedBy>阿杜</cp:lastModifiedBy>
  <dcterms:modified xsi:type="dcterms:W3CDTF">2022-02-25T02:40:29Z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F84A78680B6B4463B4A093CF9F1E654B</vt:lpwstr>
  </property>
</Properties>
</file>