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DDBB9" w14:textId="668E33F4" w:rsidR="00CF33B1" w:rsidRPr="00E51452" w:rsidRDefault="00E1379F" w:rsidP="00CF33B1">
      <w:pPr>
        <w:pStyle w:val="Heading1"/>
        <w:rPr>
          <w:color w:val="auto"/>
        </w:rPr>
      </w:pPr>
      <w:r w:rsidRPr="00E51452">
        <w:rPr>
          <w:color w:val="auto"/>
        </w:rPr>
        <w:t>Additional file 6.</w:t>
      </w:r>
      <w:r w:rsidR="00CF33B1" w:rsidRPr="00E51452">
        <w:rPr>
          <w:color w:val="auto"/>
        </w:rPr>
        <w:t xml:space="preserve"> Description of the 3D morphometric parameters  </w:t>
      </w:r>
    </w:p>
    <w:p w14:paraId="7E632317" w14:textId="1B6F66BA" w:rsidR="00CF33B1" w:rsidRPr="00A70690" w:rsidRDefault="00CF33B1" w:rsidP="00691474">
      <w:pPr>
        <w:pStyle w:val="Caption"/>
        <w:keepNext/>
        <w:spacing w:after="0"/>
        <w:rPr>
          <w:color w:val="auto"/>
          <w:lang w:val="en-GB"/>
        </w:rPr>
      </w:pPr>
      <w:r w:rsidRPr="00A70690">
        <w:rPr>
          <w:color w:val="auto"/>
          <w:lang w:val="en-GB"/>
        </w:rPr>
        <w:t xml:space="preserve">Morphometric parameters on cell matrix, pore space, cell and pore level used to </w:t>
      </w:r>
      <w:r w:rsidR="00A25C55" w:rsidRPr="00A70690">
        <w:rPr>
          <w:color w:val="auto"/>
          <w:lang w:val="en-GB"/>
        </w:rPr>
        <w:t>analyse</w:t>
      </w:r>
      <w:r w:rsidRPr="00A70690">
        <w:rPr>
          <w:color w:val="auto"/>
          <w:lang w:val="en-GB"/>
        </w:rPr>
        <w:t xml:space="preserve"> the microstructure of apple and pear tissue. </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
        <w:gridCol w:w="2785"/>
        <w:gridCol w:w="709"/>
        <w:gridCol w:w="4536"/>
      </w:tblGrid>
      <w:tr w:rsidR="00CF33B1" w:rsidRPr="00A25C55" w14:paraId="51E8B28B" w14:textId="77777777" w:rsidTr="00252742">
        <w:tc>
          <w:tcPr>
            <w:tcW w:w="759" w:type="dxa"/>
            <w:tcBorders>
              <w:top w:val="single" w:sz="4" w:space="0" w:color="auto"/>
              <w:bottom w:val="single" w:sz="4" w:space="0" w:color="auto"/>
            </w:tcBorders>
          </w:tcPr>
          <w:p w14:paraId="3C463639" w14:textId="77777777" w:rsidR="00CF33B1" w:rsidRPr="00A25C55" w:rsidRDefault="00CF33B1" w:rsidP="00252742">
            <w:pPr>
              <w:spacing w:line="240" w:lineRule="auto"/>
              <w:rPr>
                <w:b/>
                <w:bCs/>
                <w:sz w:val="20"/>
                <w:szCs w:val="20"/>
              </w:rPr>
            </w:pPr>
            <w:r w:rsidRPr="00A25C55">
              <w:rPr>
                <w:b/>
                <w:bCs/>
                <w:sz w:val="20"/>
                <w:szCs w:val="20"/>
              </w:rPr>
              <w:t>Level</w:t>
            </w:r>
          </w:p>
        </w:tc>
        <w:tc>
          <w:tcPr>
            <w:tcW w:w="2785" w:type="dxa"/>
            <w:tcBorders>
              <w:top w:val="single" w:sz="4" w:space="0" w:color="auto"/>
              <w:bottom w:val="single" w:sz="4" w:space="0" w:color="auto"/>
            </w:tcBorders>
          </w:tcPr>
          <w:p w14:paraId="6C9AEEC3" w14:textId="77777777" w:rsidR="00CF33B1" w:rsidRPr="00A25C55" w:rsidRDefault="00CF33B1" w:rsidP="00252742">
            <w:pPr>
              <w:spacing w:line="240" w:lineRule="auto"/>
              <w:rPr>
                <w:b/>
                <w:bCs/>
                <w:sz w:val="20"/>
                <w:szCs w:val="20"/>
              </w:rPr>
            </w:pPr>
            <w:r w:rsidRPr="00A25C55">
              <w:rPr>
                <w:b/>
                <w:bCs/>
                <w:sz w:val="20"/>
                <w:szCs w:val="20"/>
              </w:rPr>
              <w:t>Parameter</w:t>
            </w:r>
          </w:p>
        </w:tc>
        <w:tc>
          <w:tcPr>
            <w:tcW w:w="709" w:type="dxa"/>
            <w:tcBorders>
              <w:top w:val="single" w:sz="4" w:space="0" w:color="auto"/>
              <w:bottom w:val="single" w:sz="4" w:space="0" w:color="auto"/>
            </w:tcBorders>
          </w:tcPr>
          <w:p w14:paraId="0EC6A8AD" w14:textId="77777777" w:rsidR="00CF33B1" w:rsidRPr="00A25C55" w:rsidRDefault="00CF33B1" w:rsidP="00252742">
            <w:pPr>
              <w:spacing w:line="240" w:lineRule="auto"/>
              <w:rPr>
                <w:b/>
                <w:bCs/>
                <w:sz w:val="20"/>
                <w:szCs w:val="20"/>
              </w:rPr>
            </w:pPr>
            <w:r w:rsidRPr="00A25C55">
              <w:rPr>
                <w:b/>
                <w:bCs/>
                <w:sz w:val="20"/>
                <w:szCs w:val="20"/>
              </w:rPr>
              <w:t>Unit</w:t>
            </w:r>
          </w:p>
        </w:tc>
        <w:tc>
          <w:tcPr>
            <w:tcW w:w="4536" w:type="dxa"/>
            <w:tcBorders>
              <w:top w:val="single" w:sz="4" w:space="0" w:color="auto"/>
              <w:bottom w:val="single" w:sz="4" w:space="0" w:color="auto"/>
            </w:tcBorders>
          </w:tcPr>
          <w:p w14:paraId="7641B5CF" w14:textId="77777777" w:rsidR="00CF33B1" w:rsidRPr="00A25C55" w:rsidRDefault="00CF33B1" w:rsidP="00252742">
            <w:pPr>
              <w:spacing w:line="240" w:lineRule="auto"/>
              <w:rPr>
                <w:b/>
                <w:bCs/>
                <w:sz w:val="20"/>
                <w:szCs w:val="20"/>
              </w:rPr>
            </w:pPr>
            <w:r w:rsidRPr="00A25C55">
              <w:rPr>
                <w:b/>
                <w:bCs/>
                <w:sz w:val="20"/>
                <w:szCs w:val="20"/>
              </w:rPr>
              <w:t>Description</w:t>
            </w:r>
          </w:p>
        </w:tc>
      </w:tr>
      <w:tr w:rsidR="00CF33B1" w:rsidRPr="00A25C55" w14:paraId="3FF7B2E4" w14:textId="77777777" w:rsidTr="00252742">
        <w:tc>
          <w:tcPr>
            <w:tcW w:w="759" w:type="dxa"/>
            <w:vMerge w:val="restart"/>
            <w:tcBorders>
              <w:top w:val="single" w:sz="4" w:space="0" w:color="auto"/>
            </w:tcBorders>
          </w:tcPr>
          <w:p w14:paraId="67167182" w14:textId="77777777" w:rsidR="00CF33B1" w:rsidRPr="00A25C55" w:rsidRDefault="00CF33B1" w:rsidP="00252742">
            <w:pPr>
              <w:spacing w:line="240" w:lineRule="auto"/>
              <w:rPr>
                <w:b/>
                <w:bCs/>
                <w:sz w:val="20"/>
                <w:szCs w:val="20"/>
              </w:rPr>
            </w:pPr>
            <w:r w:rsidRPr="00A25C55">
              <w:rPr>
                <w:b/>
                <w:bCs/>
                <w:sz w:val="20"/>
                <w:szCs w:val="20"/>
              </w:rPr>
              <w:t>Cell matrix</w:t>
            </w:r>
          </w:p>
        </w:tc>
        <w:tc>
          <w:tcPr>
            <w:tcW w:w="2785" w:type="dxa"/>
            <w:tcBorders>
              <w:top w:val="single" w:sz="4" w:space="0" w:color="auto"/>
            </w:tcBorders>
          </w:tcPr>
          <w:p w14:paraId="630D8175" w14:textId="77777777" w:rsidR="00CF33B1" w:rsidRPr="00A25C55" w:rsidRDefault="00CF33B1" w:rsidP="00252742">
            <w:pPr>
              <w:spacing w:line="240" w:lineRule="auto"/>
              <w:rPr>
                <w:sz w:val="20"/>
                <w:szCs w:val="20"/>
              </w:rPr>
            </w:pPr>
            <w:r w:rsidRPr="00A25C55">
              <w:rPr>
                <w:sz w:val="20"/>
                <w:szCs w:val="20"/>
              </w:rPr>
              <w:t>Cell density</w:t>
            </w:r>
          </w:p>
        </w:tc>
        <w:tc>
          <w:tcPr>
            <w:tcW w:w="709" w:type="dxa"/>
            <w:tcBorders>
              <w:top w:val="single" w:sz="4" w:space="0" w:color="auto"/>
            </w:tcBorders>
          </w:tcPr>
          <w:p w14:paraId="182C61AA" w14:textId="77777777" w:rsidR="00CF33B1" w:rsidRPr="00A25C55" w:rsidRDefault="00CF33B1" w:rsidP="00252742">
            <w:pPr>
              <w:spacing w:line="240" w:lineRule="auto"/>
              <w:rPr>
                <w:sz w:val="20"/>
                <w:szCs w:val="20"/>
              </w:rPr>
            </w:pPr>
            <w:r w:rsidRPr="00A25C55">
              <w:rPr>
                <w:sz w:val="20"/>
                <w:szCs w:val="20"/>
              </w:rPr>
              <w:t>mm</w:t>
            </w:r>
            <w:r w:rsidRPr="00A25C55">
              <w:rPr>
                <w:sz w:val="20"/>
                <w:szCs w:val="20"/>
                <w:vertAlign w:val="superscript"/>
              </w:rPr>
              <w:t>-3</w:t>
            </w:r>
          </w:p>
        </w:tc>
        <w:tc>
          <w:tcPr>
            <w:tcW w:w="4536" w:type="dxa"/>
            <w:tcBorders>
              <w:top w:val="single" w:sz="4" w:space="0" w:color="auto"/>
            </w:tcBorders>
          </w:tcPr>
          <w:p w14:paraId="79AB6968" w14:textId="77777777" w:rsidR="00CF33B1" w:rsidRPr="00A25C55" w:rsidRDefault="00CF33B1" w:rsidP="00252742">
            <w:pPr>
              <w:spacing w:line="240" w:lineRule="auto"/>
              <w:rPr>
                <w:sz w:val="20"/>
                <w:szCs w:val="20"/>
              </w:rPr>
            </w:pPr>
            <w:r w:rsidRPr="00A25C55">
              <w:rPr>
                <w:sz w:val="20"/>
                <w:szCs w:val="20"/>
              </w:rPr>
              <w:t>Amount of cells per cubic millimeter</w:t>
            </w:r>
          </w:p>
        </w:tc>
      </w:tr>
      <w:tr w:rsidR="00CF33B1" w:rsidRPr="00A25C55" w14:paraId="11C9BDC7" w14:textId="77777777" w:rsidTr="00252742">
        <w:tc>
          <w:tcPr>
            <w:tcW w:w="759" w:type="dxa"/>
            <w:vMerge/>
          </w:tcPr>
          <w:p w14:paraId="1C96B543" w14:textId="77777777" w:rsidR="00CF33B1" w:rsidRPr="00A25C55" w:rsidRDefault="00CF33B1" w:rsidP="00252742">
            <w:pPr>
              <w:spacing w:line="240" w:lineRule="auto"/>
              <w:rPr>
                <w:b/>
                <w:bCs/>
                <w:sz w:val="20"/>
                <w:szCs w:val="20"/>
              </w:rPr>
            </w:pPr>
          </w:p>
        </w:tc>
        <w:tc>
          <w:tcPr>
            <w:tcW w:w="2785" w:type="dxa"/>
          </w:tcPr>
          <w:p w14:paraId="5CB49C69" w14:textId="77777777" w:rsidR="00CF33B1" w:rsidRPr="00A25C55" w:rsidRDefault="00CF33B1" w:rsidP="00252742">
            <w:pPr>
              <w:spacing w:line="240" w:lineRule="auto"/>
              <w:rPr>
                <w:sz w:val="20"/>
                <w:szCs w:val="20"/>
              </w:rPr>
            </w:pPr>
            <w:r w:rsidRPr="00A25C55">
              <w:rPr>
                <w:sz w:val="20"/>
                <w:szCs w:val="20"/>
              </w:rPr>
              <w:t>Stone cell density</w:t>
            </w:r>
          </w:p>
        </w:tc>
        <w:tc>
          <w:tcPr>
            <w:tcW w:w="709" w:type="dxa"/>
          </w:tcPr>
          <w:p w14:paraId="17E15684" w14:textId="77777777" w:rsidR="00CF33B1" w:rsidRPr="00A25C55" w:rsidRDefault="00CF33B1" w:rsidP="00252742">
            <w:pPr>
              <w:spacing w:line="240" w:lineRule="auto"/>
              <w:rPr>
                <w:sz w:val="20"/>
                <w:szCs w:val="20"/>
              </w:rPr>
            </w:pPr>
            <w:r w:rsidRPr="00A25C55">
              <w:rPr>
                <w:sz w:val="20"/>
                <w:szCs w:val="20"/>
              </w:rPr>
              <w:t>mm</w:t>
            </w:r>
            <w:r w:rsidRPr="00A25C55">
              <w:rPr>
                <w:sz w:val="20"/>
                <w:szCs w:val="20"/>
                <w:vertAlign w:val="superscript"/>
              </w:rPr>
              <w:t>-3</w:t>
            </w:r>
          </w:p>
        </w:tc>
        <w:tc>
          <w:tcPr>
            <w:tcW w:w="4536" w:type="dxa"/>
          </w:tcPr>
          <w:p w14:paraId="3AC0CEC9" w14:textId="77777777" w:rsidR="00CF33B1" w:rsidRPr="00A25C55" w:rsidRDefault="00CF33B1" w:rsidP="00252742">
            <w:pPr>
              <w:spacing w:line="240" w:lineRule="auto"/>
              <w:rPr>
                <w:sz w:val="20"/>
                <w:szCs w:val="20"/>
              </w:rPr>
            </w:pPr>
            <w:r w:rsidRPr="00A25C55">
              <w:rPr>
                <w:sz w:val="20"/>
                <w:szCs w:val="20"/>
              </w:rPr>
              <w:t>Amount of stone cell clusters per cubic millimeter</w:t>
            </w:r>
          </w:p>
        </w:tc>
      </w:tr>
      <w:tr w:rsidR="00CF33B1" w:rsidRPr="00A25C55" w14:paraId="038E7003" w14:textId="77777777" w:rsidTr="00252742">
        <w:tc>
          <w:tcPr>
            <w:tcW w:w="759" w:type="dxa"/>
            <w:vMerge/>
          </w:tcPr>
          <w:p w14:paraId="03823D16" w14:textId="77777777" w:rsidR="00CF33B1" w:rsidRPr="00A25C55" w:rsidRDefault="00CF33B1" w:rsidP="00252742">
            <w:pPr>
              <w:spacing w:line="240" w:lineRule="auto"/>
              <w:rPr>
                <w:b/>
                <w:bCs/>
                <w:sz w:val="20"/>
                <w:szCs w:val="20"/>
              </w:rPr>
            </w:pPr>
          </w:p>
        </w:tc>
        <w:tc>
          <w:tcPr>
            <w:tcW w:w="2785" w:type="dxa"/>
          </w:tcPr>
          <w:p w14:paraId="366E148A" w14:textId="77777777" w:rsidR="00CF33B1" w:rsidRPr="00A25C55" w:rsidRDefault="00CF33B1" w:rsidP="00252742">
            <w:pPr>
              <w:spacing w:line="240" w:lineRule="auto"/>
              <w:rPr>
                <w:sz w:val="20"/>
                <w:szCs w:val="20"/>
              </w:rPr>
            </w:pPr>
            <w:r w:rsidRPr="00A25C55">
              <w:rPr>
                <w:sz w:val="20"/>
                <w:szCs w:val="20"/>
              </w:rPr>
              <w:t>Stone cell volume fraction</w:t>
            </w:r>
          </w:p>
        </w:tc>
        <w:tc>
          <w:tcPr>
            <w:tcW w:w="709" w:type="dxa"/>
          </w:tcPr>
          <w:p w14:paraId="3816B7AB" w14:textId="77777777" w:rsidR="00CF33B1" w:rsidRPr="00A25C55" w:rsidRDefault="00CF33B1" w:rsidP="00252742">
            <w:pPr>
              <w:spacing w:line="240" w:lineRule="auto"/>
              <w:rPr>
                <w:sz w:val="20"/>
                <w:szCs w:val="20"/>
                <w:vertAlign w:val="superscript"/>
              </w:rPr>
            </w:pPr>
            <w:r w:rsidRPr="00A25C55">
              <w:rPr>
                <w:sz w:val="20"/>
                <w:szCs w:val="20"/>
              </w:rPr>
              <w:t>%</w:t>
            </w:r>
          </w:p>
        </w:tc>
        <w:tc>
          <w:tcPr>
            <w:tcW w:w="4536" w:type="dxa"/>
          </w:tcPr>
          <w:p w14:paraId="5A90E42D" w14:textId="77777777" w:rsidR="00CF33B1" w:rsidRPr="00A25C55" w:rsidRDefault="00CF33B1" w:rsidP="00252742">
            <w:pPr>
              <w:spacing w:line="240" w:lineRule="auto"/>
              <w:rPr>
                <w:sz w:val="20"/>
                <w:szCs w:val="20"/>
              </w:rPr>
            </w:pPr>
            <w:r w:rsidRPr="00A25C55">
              <w:rPr>
                <w:sz w:val="20"/>
                <w:szCs w:val="20"/>
              </w:rPr>
              <w:t>Stone cell volume divided by the total volume</w:t>
            </w:r>
          </w:p>
        </w:tc>
      </w:tr>
      <w:tr w:rsidR="00CF33B1" w:rsidRPr="00A25C55" w14:paraId="64A8B1AB" w14:textId="77777777" w:rsidTr="00252742">
        <w:tc>
          <w:tcPr>
            <w:tcW w:w="759" w:type="dxa"/>
            <w:vMerge/>
          </w:tcPr>
          <w:p w14:paraId="0A6BD884" w14:textId="77777777" w:rsidR="00CF33B1" w:rsidRPr="00A25C55" w:rsidRDefault="00CF33B1" w:rsidP="00252742">
            <w:pPr>
              <w:spacing w:line="240" w:lineRule="auto"/>
              <w:rPr>
                <w:b/>
                <w:bCs/>
                <w:sz w:val="20"/>
                <w:szCs w:val="20"/>
              </w:rPr>
            </w:pPr>
          </w:p>
        </w:tc>
        <w:tc>
          <w:tcPr>
            <w:tcW w:w="2785" w:type="dxa"/>
          </w:tcPr>
          <w:p w14:paraId="665E06FC" w14:textId="77777777" w:rsidR="00CF33B1" w:rsidRPr="00A25C55" w:rsidRDefault="00CF33B1" w:rsidP="00252742">
            <w:pPr>
              <w:spacing w:line="240" w:lineRule="auto"/>
              <w:rPr>
                <w:sz w:val="20"/>
                <w:szCs w:val="20"/>
              </w:rPr>
            </w:pPr>
            <w:r w:rsidRPr="00A25C55">
              <w:rPr>
                <w:sz w:val="20"/>
                <w:szCs w:val="20"/>
              </w:rPr>
              <w:t>Vascular tissue volume fraction</w:t>
            </w:r>
          </w:p>
        </w:tc>
        <w:tc>
          <w:tcPr>
            <w:tcW w:w="709" w:type="dxa"/>
          </w:tcPr>
          <w:p w14:paraId="403ED2E1"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452CD9B4" w14:textId="77777777" w:rsidR="00CF33B1" w:rsidRPr="00A25C55" w:rsidRDefault="00CF33B1" w:rsidP="00252742">
            <w:pPr>
              <w:spacing w:line="240" w:lineRule="auto"/>
              <w:rPr>
                <w:sz w:val="20"/>
                <w:szCs w:val="20"/>
              </w:rPr>
            </w:pPr>
            <w:r w:rsidRPr="00A25C55">
              <w:rPr>
                <w:sz w:val="20"/>
                <w:szCs w:val="20"/>
              </w:rPr>
              <w:t>Vascular tissue volume divided by the total volume</w:t>
            </w:r>
          </w:p>
        </w:tc>
      </w:tr>
      <w:tr w:rsidR="00CF33B1" w:rsidRPr="00A25C55" w14:paraId="5E79F5D6" w14:textId="77777777" w:rsidTr="00252742">
        <w:tc>
          <w:tcPr>
            <w:tcW w:w="759" w:type="dxa"/>
            <w:vMerge/>
          </w:tcPr>
          <w:p w14:paraId="36B4E0D0" w14:textId="77777777" w:rsidR="00CF33B1" w:rsidRPr="00A25C55" w:rsidRDefault="00CF33B1" w:rsidP="00252742">
            <w:pPr>
              <w:spacing w:line="240" w:lineRule="auto"/>
              <w:rPr>
                <w:b/>
                <w:bCs/>
                <w:sz w:val="20"/>
                <w:szCs w:val="20"/>
              </w:rPr>
            </w:pPr>
          </w:p>
        </w:tc>
        <w:tc>
          <w:tcPr>
            <w:tcW w:w="2785" w:type="dxa"/>
          </w:tcPr>
          <w:p w14:paraId="5421506C" w14:textId="77777777" w:rsidR="00CF33B1" w:rsidRPr="00A25C55" w:rsidRDefault="00CF33B1" w:rsidP="00252742">
            <w:pPr>
              <w:spacing w:line="240" w:lineRule="auto"/>
              <w:rPr>
                <w:sz w:val="20"/>
                <w:szCs w:val="20"/>
              </w:rPr>
            </w:pPr>
            <w:r w:rsidRPr="00A25C55">
              <w:rPr>
                <w:sz w:val="20"/>
                <w:szCs w:val="20"/>
              </w:rPr>
              <w:t>Anisotropy</w:t>
            </w:r>
          </w:p>
        </w:tc>
        <w:tc>
          <w:tcPr>
            <w:tcW w:w="709" w:type="dxa"/>
          </w:tcPr>
          <w:p w14:paraId="1D17164E"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19BF645D" w14:textId="77777777" w:rsidR="00CF33B1" w:rsidRPr="00A25C55" w:rsidRDefault="00CF33B1" w:rsidP="00252742">
            <w:pPr>
              <w:spacing w:line="240" w:lineRule="auto"/>
              <w:rPr>
                <w:sz w:val="20"/>
                <w:szCs w:val="20"/>
              </w:rPr>
            </w:pPr>
            <w:r w:rsidRPr="00A25C55">
              <w:rPr>
                <w:sz w:val="20"/>
                <w:szCs w:val="20"/>
              </w:rPr>
              <w:t>1 minus the ratio of the smallest to the largest eigenvalue of the covariance matrix. Measures the deviation of an object from a spherical shape with 0 = perfect isotropy and 1 = complete anisotropy</w:t>
            </w:r>
          </w:p>
        </w:tc>
      </w:tr>
      <w:tr w:rsidR="00CF33B1" w:rsidRPr="00A25C55" w14:paraId="18CE1AD0" w14:textId="77777777" w:rsidTr="00252742">
        <w:tc>
          <w:tcPr>
            <w:tcW w:w="759" w:type="dxa"/>
            <w:vMerge/>
          </w:tcPr>
          <w:p w14:paraId="07D8F979" w14:textId="77777777" w:rsidR="00CF33B1" w:rsidRPr="00A25C55" w:rsidRDefault="00CF33B1" w:rsidP="00252742">
            <w:pPr>
              <w:spacing w:line="240" w:lineRule="auto"/>
              <w:rPr>
                <w:b/>
                <w:bCs/>
                <w:sz w:val="20"/>
                <w:szCs w:val="20"/>
              </w:rPr>
            </w:pPr>
          </w:p>
        </w:tc>
        <w:tc>
          <w:tcPr>
            <w:tcW w:w="2785" w:type="dxa"/>
          </w:tcPr>
          <w:p w14:paraId="29E74B8F" w14:textId="77777777" w:rsidR="00CF33B1" w:rsidRPr="00A25C55" w:rsidRDefault="00CF33B1" w:rsidP="00252742">
            <w:pPr>
              <w:spacing w:line="240" w:lineRule="auto"/>
              <w:rPr>
                <w:sz w:val="20"/>
                <w:szCs w:val="20"/>
              </w:rPr>
            </w:pPr>
            <w:r w:rsidRPr="00A25C55">
              <w:rPr>
                <w:sz w:val="20"/>
                <w:szCs w:val="20"/>
              </w:rPr>
              <w:t>Specific surface area</w:t>
            </w:r>
          </w:p>
        </w:tc>
        <w:tc>
          <w:tcPr>
            <w:tcW w:w="709" w:type="dxa"/>
          </w:tcPr>
          <w:p w14:paraId="294A740F" w14:textId="77777777" w:rsidR="00CF33B1" w:rsidRPr="00A25C55" w:rsidRDefault="00CF33B1" w:rsidP="00252742">
            <w:pPr>
              <w:spacing w:line="240" w:lineRule="auto"/>
              <w:rPr>
                <w:sz w:val="20"/>
                <w:szCs w:val="20"/>
              </w:rPr>
            </w:pPr>
            <w:r w:rsidRPr="00A25C55">
              <w:rPr>
                <w:sz w:val="20"/>
                <w:szCs w:val="20"/>
              </w:rPr>
              <w:t>mm</w:t>
            </w:r>
            <w:r w:rsidRPr="00A25C55">
              <w:rPr>
                <w:sz w:val="20"/>
                <w:szCs w:val="20"/>
                <w:vertAlign w:val="superscript"/>
              </w:rPr>
              <w:t>-1</w:t>
            </w:r>
          </w:p>
        </w:tc>
        <w:tc>
          <w:tcPr>
            <w:tcW w:w="4536" w:type="dxa"/>
          </w:tcPr>
          <w:p w14:paraId="28532563" w14:textId="77777777" w:rsidR="00CF33B1" w:rsidRPr="00A25C55" w:rsidRDefault="00CF33B1" w:rsidP="00252742">
            <w:pPr>
              <w:spacing w:line="240" w:lineRule="auto"/>
              <w:rPr>
                <w:sz w:val="20"/>
                <w:szCs w:val="20"/>
              </w:rPr>
            </w:pPr>
            <w:r w:rsidRPr="00A25C55">
              <w:rPr>
                <w:sz w:val="20"/>
                <w:szCs w:val="20"/>
              </w:rPr>
              <w:t>Surface area of the cell matrix divided by its volume</w:t>
            </w:r>
          </w:p>
        </w:tc>
      </w:tr>
      <w:tr w:rsidR="00CF33B1" w:rsidRPr="00A25C55" w14:paraId="2E56B334" w14:textId="77777777" w:rsidTr="00252742">
        <w:tc>
          <w:tcPr>
            <w:tcW w:w="759" w:type="dxa"/>
            <w:vMerge w:val="restart"/>
          </w:tcPr>
          <w:p w14:paraId="35E75ADB" w14:textId="77777777" w:rsidR="00CF33B1" w:rsidRPr="00A25C55" w:rsidRDefault="00CF33B1" w:rsidP="00252742">
            <w:pPr>
              <w:spacing w:line="240" w:lineRule="auto"/>
              <w:rPr>
                <w:b/>
                <w:bCs/>
                <w:sz w:val="20"/>
                <w:szCs w:val="20"/>
              </w:rPr>
            </w:pPr>
            <w:r w:rsidRPr="00A25C55">
              <w:rPr>
                <w:b/>
                <w:bCs/>
                <w:sz w:val="20"/>
                <w:szCs w:val="20"/>
              </w:rPr>
              <w:t>Pore space</w:t>
            </w:r>
          </w:p>
        </w:tc>
        <w:tc>
          <w:tcPr>
            <w:tcW w:w="2785" w:type="dxa"/>
          </w:tcPr>
          <w:p w14:paraId="07954D5E" w14:textId="77777777" w:rsidR="00CF33B1" w:rsidRPr="00A25C55" w:rsidRDefault="00CF33B1" w:rsidP="00252742">
            <w:pPr>
              <w:spacing w:line="240" w:lineRule="auto"/>
              <w:rPr>
                <w:sz w:val="20"/>
                <w:szCs w:val="20"/>
              </w:rPr>
            </w:pPr>
            <w:r w:rsidRPr="00A25C55">
              <w:rPr>
                <w:sz w:val="20"/>
                <w:szCs w:val="20"/>
              </w:rPr>
              <w:t>Porosity</w:t>
            </w:r>
          </w:p>
        </w:tc>
        <w:tc>
          <w:tcPr>
            <w:tcW w:w="709" w:type="dxa"/>
          </w:tcPr>
          <w:p w14:paraId="05C5BF68"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0E4CAB5C" w14:textId="77777777" w:rsidR="00CF33B1" w:rsidRPr="00A25C55" w:rsidRDefault="00CF33B1" w:rsidP="00252742">
            <w:pPr>
              <w:spacing w:line="240" w:lineRule="auto"/>
              <w:rPr>
                <w:sz w:val="20"/>
                <w:szCs w:val="20"/>
              </w:rPr>
            </w:pPr>
            <w:r w:rsidRPr="00A25C55">
              <w:rPr>
                <w:sz w:val="20"/>
                <w:szCs w:val="20"/>
              </w:rPr>
              <w:t>Pore space volume divided by the total volume</w:t>
            </w:r>
          </w:p>
        </w:tc>
      </w:tr>
      <w:tr w:rsidR="00CF33B1" w:rsidRPr="00A25C55" w14:paraId="2E9958B6" w14:textId="77777777" w:rsidTr="00252742">
        <w:tc>
          <w:tcPr>
            <w:tcW w:w="759" w:type="dxa"/>
            <w:vMerge/>
          </w:tcPr>
          <w:p w14:paraId="4F259001" w14:textId="77777777" w:rsidR="00CF33B1" w:rsidRPr="00A25C55" w:rsidRDefault="00CF33B1" w:rsidP="00252742">
            <w:pPr>
              <w:spacing w:line="240" w:lineRule="auto"/>
              <w:rPr>
                <w:b/>
                <w:bCs/>
                <w:sz w:val="20"/>
                <w:szCs w:val="20"/>
              </w:rPr>
            </w:pPr>
          </w:p>
        </w:tc>
        <w:tc>
          <w:tcPr>
            <w:tcW w:w="2785" w:type="dxa"/>
          </w:tcPr>
          <w:p w14:paraId="6F126674" w14:textId="77777777" w:rsidR="00CF33B1" w:rsidRPr="00A25C55" w:rsidRDefault="00CF33B1" w:rsidP="00252742">
            <w:pPr>
              <w:spacing w:line="240" w:lineRule="auto"/>
              <w:rPr>
                <w:sz w:val="20"/>
                <w:szCs w:val="20"/>
              </w:rPr>
            </w:pPr>
            <w:r w:rsidRPr="00A25C55">
              <w:rPr>
                <w:sz w:val="20"/>
                <w:szCs w:val="20"/>
              </w:rPr>
              <w:t>Pore density</w:t>
            </w:r>
          </w:p>
        </w:tc>
        <w:tc>
          <w:tcPr>
            <w:tcW w:w="709" w:type="dxa"/>
          </w:tcPr>
          <w:p w14:paraId="2FF16627" w14:textId="77777777" w:rsidR="00CF33B1" w:rsidRPr="00A25C55" w:rsidRDefault="00CF33B1" w:rsidP="00252742">
            <w:pPr>
              <w:spacing w:line="240" w:lineRule="auto"/>
              <w:rPr>
                <w:sz w:val="20"/>
                <w:szCs w:val="20"/>
              </w:rPr>
            </w:pPr>
            <w:r w:rsidRPr="00A25C55">
              <w:rPr>
                <w:sz w:val="20"/>
                <w:szCs w:val="20"/>
              </w:rPr>
              <w:t>mm</w:t>
            </w:r>
            <w:r w:rsidRPr="00A25C55">
              <w:rPr>
                <w:sz w:val="20"/>
                <w:szCs w:val="20"/>
                <w:vertAlign w:val="superscript"/>
              </w:rPr>
              <w:t>-S</w:t>
            </w:r>
          </w:p>
        </w:tc>
        <w:tc>
          <w:tcPr>
            <w:tcW w:w="4536" w:type="dxa"/>
          </w:tcPr>
          <w:p w14:paraId="5AE8C34D" w14:textId="77777777" w:rsidR="00CF33B1" w:rsidRPr="00A25C55" w:rsidRDefault="00CF33B1" w:rsidP="00252742">
            <w:pPr>
              <w:spacing w:line="240" w:lineRule="auto"/>
              <w:rPr>
                <w:sz w:val="20"/>
                <w:szCs w:val="20"/>
              </w:rPr>
            </w:pPr>
            <w:r w:rsidRPr="00A25C55">
              <w:rPr>
                <w:sz w:val="20"/>
                <w:szCs w:val="20"/>
              </w:rPr>
              <w:t>Amount of pores per cubic millimeter</w:t>
            </w:r>
          </w:p>
        </w:tc>
      </w:tr>
      <w:tr w:rsidR="00CF33B1" w:rsidRPr="00A25C55" w14:paraId="292A6F3D" w14:textId="77777777" w:rsidTr="00252742">
        <w:tc>
          <w:tcPr>
            <w:tcW w:w="759" w:type="dxa"/>
            <w:vMerge/>
          </w:tcPr>
          <w:p w14:paraId="4BECFBA2" w14:textId="77777777" w:rsidR="00CF33B1" w:rsidRPr="00A25C55" w:rsidRDefault="00CF33B1" w:rsidP="00252742">
            <w:pPr>
              <w:spacing w:line="240" w:lineRule="auto"/>
              <w:rPr>
                <w:b/>
                <w:bCs/>
                <w:sz w:val="20"/>
                <w:szCs w:val="20"/>
              </w:rPr>
            </w:pPr>
          </w:p>
        </w:tc>
        <w:tc>
          <w:tcPr>
            <w:tcW w:w="2785" w:type="dxa"/>
          </w:tcPr>
          <w:p w14:paraId="5D7E548F" w14:textId="77777777" w:rsidR="00CF33B1" w:rsidRPr="00A25C55" w:rsidRDefault="00CF33B1" w:rsidP="00252742">
            <w:pPr>
              <w:spacing w:line="240" w:lineRule="auto"/>
              <w:rPr>
                <w:sz w:val="20"/>
                <w:szCs w:val="20"/>
              </w:rPr>
            </w:pPr>
            <w:r w:rsidRPr="00A25C55">
              <w:rPr>
                <w:sz w:val="20"/>
                <w:szCs w:val="20"/>
              </w:rPr>
              <w:t>Anisotropy</w:t>
            </w:r>
          </w:p>
        </w:tc>
        <w:tc>
          <w:tcPr>
            <w:tcW w:w="709" w:type="dxa"/>
          </w:tcPr>
          <w:p w14:paraId="527EE291"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68C6AEBD" w14:textId="77777777" w:rsidR="00CF33B1" w:rsidRPr="00A25C55" w:rsidRDefault="00CF33B1" w:rsidP="00252742">
            <w:pPr>
              <w:spacing w:line="240" w:lineRule="auto"/>
              <w:rPr>
                <w:sz w:val="20"/>
                <w:szCs w:val="20"/>
              </w:rPr>
            </w:pPr>
            <w:r w:rsidRPr="00A25C55">
              <w:rPr>
                <w:sz w:val="20"/>
                <w:szCs w:val="20"/>
              </w:rPr>
              <w:t>1 minus the ratio of the smallest to the largest eigenvalue of the covariance matrix. Measures the deviation of an object from a spherical shape with 0 = perfect isotropy and 1 = complete anisotropy</w:t>
            </w:r>
          </w:p>
        </w:tc>
      </w:tr>
      <w:tr w:rsidR="00CF33B1" w:rsidRPr="00A25C55" w14:paraId="20D7939A" w14:textId="77777777" w:rsidTr="00252742">
        <w:tc>
          <w:tcPr>
            <w:tcW w:w="759" w:type="dxa"/>
            <w:vMerge/>
          </w:tcPr>
          <w:p w14:paraId="5BFA442F" w14:textId="77777777" w:rsidR="00CF33B1" w:rsidRPr="00A25C55" w:rsidRDefault="00CF33B1" w:rsidP="00252742">
            <w:pPr>
              <w:spacing w:line="240" w:lineRule="auto"/>
              <w:rPr>
                <w:b/>
                <w:bCs/>
                <w:sz w:val="20"/>
                <w:szCs w:val="20"/>
              </w:rPr>
            </w:pPr>
          </w:p>
        </w:tc>
        <w:tc>
          <w:tcPr>
            <w:tcW w:w="2785" w:type="dxa"/>
          </w:tcPr>
          <w:p w14:paraId="2B16B4CA" w14:textId="77777777" w:rsidR="00CF33B1" w:rsidRPr="00A25C55" w:rsidRDefault="00CF33B1" w:rsidP="00252742">
            <w:pPr>
              <w:spacing w:line="240" w:lineRule="auto"/>
              <w:rPr>
                <w:sz w:val="20"/>
                <w:szCs w:val="20"/>
              </w:rPr>
            </w:pPr>
            <w:r w:rsidRPr="00A25C55">
              <w:rPr>
                <w:sz w:val="20"/>
                <w:szCs w:val="20"/>
              </w:rPr>
              <w:t>Specific surface area</w:t>
            </w:r>
          </w:p>
        </w:tc>
        <w:tc>
          <w:tcPr>
            <w:tcW w:w="709" w:type="dxa"/>
          </w:tcPr>
          <w:p w14:paraId="21226A93" w14:textId="77777777" w:rsidR="00CF33B1" w:rsidRPr="00A25C55" w:rsidRDefault="00CF33B1" w:rsidP="00252742">
            <w:pPr>
              <w:spacing w:line="240" w:lineRule="auto"/>
              <w:rPr>
                <w:sz w:val="20"/>
                <w:szCs w:val="20"/>
              </w:rPr>
            </w:pPr>
            <w:r w:rsidRPr="00A25C55">
              <w:rPr>
                <w:sz w:val="20"/>
                <w:szCs w:val="20"/>
              </w:rPr>
              <w:t>mm</w:t>
            </w:r>
            <w:r w:rsidRPr="00A25C55">
              <w:rPr>
                <w:sz w:val="20"/>
                <w:szCs w:val="20"/>
                <w:vertAlign w:val="superscript"/>
              </w:rPr>
              <w:t>-1</w:t>
            </w:r>
          </w:p>
        </w:tc>
        <w:tc>
          <w:tcPr>
            <w:tcW w:w="4536" w:type="dxa"/>
          </w:tcPr>
          <w:p w14:paraId="405F3DED" w14:textId="77777777" w:rsidR="00CF33B1" w:rsidRPr="00A25C55" w:rsidRDefault="00CF33B1" w:rsidP="00252742">
            <w:pPr>
              <w:spacing w:line="240" w:lineRule="auto"/>
              <w:rPr>
                <w:sz w:val="20"/>
                <w:szCs w:val="20"/>
              </w:rPr>
            </w:pPr>
            <w:r w:rsidRPr="00A25C55">
              <w:rPr>
                <w:sz w:val="20"/>
                <w:szCs w:val="20"/>
              </w:rPr>
              <w:t>Surface area of the pore space divided by its volume</w:t>
            </w:r>
          </w:p>
        </w:tc>
      </w:tr>
      <w:tr w:rsidR="00CF33B1" w:rsidRPr="00A25C55" w14:paraId="7E9E4C61" w14:textId="77777777" w:rsidTr="00252742">
        <w:tc>
          <w:tcPr>
            <w:tcW w:w="759" w:type="dxa"/>
            <w:vMerge/>
          </w:tcPr>
          <w:p w14:paraId="09464102" w14:textId="77777777" w:rsidR="00CF33B1" w:rsidRPr="00A25C55" w:rsidRDefault="00CF33B1" w:rsidP="00252742">
            <w:pPr>
              <w:spacing w:line="240" w:lineRule="auto"/>
              <w:rPr>
                <w:b/>
                <w:bCs/>
                <w:sz w:val="20"/>
                <w:szCs w:val="20"/>
              </w:rPr>
            </w:pPr>
          </w:p>
        </w:tc>
        <w:tc>
          <w:tcPr>
            <w:tcW w:w="2785" w:type="dxa"/>
          </w:tcPr>
          <w:p w14:paraId="673896D5" w14:textId="77777777" w:rsidR="00CF33B1" w:rsidRPr="00A25C55" w:rsidRDefault="00CF33B1" w:rsidP="00252742">
            <w:pPr>
              <w:spacing w:line="240" w:lineRule="auto"/>
              <w:rPr>
                <w:sz w:val="20"/>
                <w:szCs w:val="20"/>
              </w:rPr>
            </w:pPr>
            <w:r w:rsidRPr="00A25C55">
              <w:rPr>
                <w:sz w:val="20"/>
                <w:szCs w:val="20"/>
              </w:rPr>
              <w:t>Euler number</w:t>
            </w:r>
          </w:p>
        </w:tc>
        <w:tc>
          <w:tcPr>
            <w:tcW w:w="709" w:type="dxa"/>
          </w:tcPr>
          <w:p w14:paraId="00FF508F"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5DC235FE" w14:textId="40D139A1" w:rsidR="00CF33B1" w:rsidRPr="00A25C55" w:rsidRDefault="00CF33B1" w:rsidP="00252742">
            <w:pPr>
              <w:spacing w:line="240" w:lineRule="auto"/>
              <w:rPr>
                <w:sz w:val="20"/>
                <w:szCs w:val="20"/>
              </w:rPr>
            </w:pPr>
            <w:r w:rsidRPr="00A25C55">
              <w:rPr>
                <w:sz w:val="20"/>
                <w:szCs w:val="20"/>
              </w:rPr>
              <w:t>Euler-</w:t>
            </w:r>
            <w:proofErr w:type="spellStart"/>
            <w:r w:rsidRPr="00A25C55">
              <w:rPr>
                <w:sz w:val="20"/>
                <w:szCs w:val="20"/>
              </w:rPr>
              <w:t>Poincaré</w:t>
            </w:r>
            <w:proofErr w:type="spellEnd"/>
            <w:r w:rsidRPr="00A25C55">
              <w:rPr>
                <w:sz w:val="20"/>
                <w:szCs w:val="20"/>
              </w:rPr>
              <w:t xml:space="preserve"> number of the object which is an indicator of the connectivity of a 3D complex structure. The Euler number decreases with increasing connectivity </w:t>
            </w:r>
            <w:r w:rsidRPr="00A25C55">
              <w:rPr>
                <w:sz w:val="20"/>
                <w:szCs w:val="20"/>
              </w:rPr>
              <w:fldChar w:fldCharType="begin" w:fldLock="1"/>
            </w:r>
            <w:r w:rsidR="00A25C55" w:rsidRPr="00A25C55">
              <w:rPr>
                <w:sz w:val="20"/>
                <w:szCs w:val="20"/>
              </w:rPr>
              <w:instrText>ADDIN CSL_CITATION {"citationItems":[{"id":"ITEM-1","itemData":{"author":[{"dropping-particle":"","family":"Odgaard","given":"A.","non-dropping-particle":"","parse-names":false,"suffix":""},{"dropping-particle":"","family":"Gundersen","given":"H.J.G","non-dropping-particle":"","parse-names":false,"suffix":""}],"container-title":"Bone","id":"ITEM-1","issued":{"date-parts":[["1993"]]},"page":"173-182","title":"Quantification of connectivity with special emphasis on 3D reconstractions","type":"article-journal","volume":"14"},"uris":["http://www.mendeley.com/documents/?uuid=d2b597a7-035b-4d9f-820b-9251b8dca1d9"]}],"mendeley":{"formattedCitation":"[1]","plainTextFormattedCitation":"[1]","previouslyFormattedCitation":"&lt;sup&gt;1&lt;/sup&gt;"},"properties":{"noteIndex":0},"schema":"https://github.com/citation-style-language/schema/raw/master/csl-citation.json"}</w:instrText>
            </w:r>
            <w:r w:rsidRPr="00A25C55">
              <w:rPr>
                <w:sz w:val="20"/>
                <w:szCs w:val="20"/>
              </w:rPr>
              <w:fldChar w:fldCharType="separate"/>
            </w:r>
            <w:r w:rsidR="00A25C55" w:rsidRPr="00A25C55">
              <w:rPr>
                <w:noProof/>
                <w:sz w:val="20"/>
                <w:szCs w:val="20"/>
              </w:rPr>
              <w:t>[1]</w:t>
            </w:r>
            <w:r w:rsidRPr="00A25C55">
              <w:rPr>
                <w:sz w:val="20"/>
                <w:szCs w:val="20"/>
              </w:rPr>
              <w:fldChar w:fldCharType="end"/>
            </w:r>
          </w:p>
        </w:tc>
      </w:tr>
      <w:tr w:rsidR="00CF33B1" w:rsidRPr="00A25C55" w14:paraId="72F23CF8" w14:textId="77777777" w:rsidTr="00252742">
        <w:tc>
          <w:tcPr>
            <w:tcW w:w="759" w:type="dxa"/>
            <w:vMerge w:val="restart"/>
          </w:tcPr>
          <w:p w14:paraId="19E51B41" w14:textId="77777777" w:rsidR="00CF33B1" w:rsidRPr="00A25C55" w:rsidRDefault="00CF33B1" w:rsidP="00252742">
            <w:pPr>
              <w:spacing w:line="240" w:lineRule="auto"/>
              <w:rPr>
                <w:b/>
                <w:bCs/>
                <w:sz w:val="20"/>
                <w:szCs w:val="20"/>
              </w:rPr>
            </w:pPr>
            <w:r w:rsidRPr="00A25C55">
              <w:rPr>
                <w:b/>
                <w:bCs/>
                <w:sz w:val="20"/>
                <w:szCs w:val="20"/>
              </w:rPr>
              <w:t>Cell/ pore</w:t>
            </w:r>
          </w:p>
        </w:tc>
        <w:tc>
          <w:tcPr>
            <w:tcW w:w="2785" w:type="dxa"/>
          </w:tcPr>
          <w:p w14:paraId="05534364" w14:textId="77777777" w:rsidR="00CF33B1" w:rsidRPr="00A25C55" w:rsidRDefault="00CF33B1" w:rsidP="00252742">
            <w:pPr>
              <w:spacing w:line="240" w:lineRule="auto"/>
              <w:rPr>
                <w:sz w:val="20"/>
                <w:szCs w:val="20"/>
              </w:rPr>
            </w:pPr>
            <w:r w:rsidRPr="00A25C55">
              <w:rPr>
                <w:sz w:val="20"/>
                <w:szCs w:val="20"/>
              </w:rPr>
              <w:t>Length</w:t>
            </w:r>
          </w:p>
        </w:tc>
        <w:tc>
          <w:tcPr>
            <w:tcW w:w="709" w:type="dxa"/>
          </w:tcPr>
          <w:p w14:paraId="664CFE56" w14:textId="77777777" w:rsidR="00CF33B1" w:rsidRPr="00A25C55" w:rsidRDefault="00CF33B1" w:rsidP="00252742">
            <w:pPr>
              <w:spacing w:line="240" w:lineRule="auto"/>
              <w:rPr>
                <w:sz w:val="20"/>
                <w:szCs w:val="20"/>
              </w:rPr>
            </w:pPr>
            <w:r w:rsidRPr="00A25C55">
              <w:rPr>
                <w:sz w:val="20"/>
                <w:szCs w:val="20"/>
              </w:rPr>
              <w:t>µm</w:t>
            </w:r>
          </w:p>
        </w:tc>
        <w:tc>
          <w:tcPr>
            <w:tcW w:w="4536" w:type="dxa"/>
          </w:tcPr>
          <w:p w14:paraId="32C60D1F" w14:textId="77777777" w:rsidR="00CF33B1" w:rsidRPr="00A25C55" w:rsidRDefault="00CF33B1" w:rsidP="00252742">
            <w:pPr>
              <w:spacing w:line="240" w:lineRule="auto"/>
              <w:rPr>
                <w:sz w:val="20"/>
                <w:szCs w:val="20"/>
              </w:rPr>
            </w:pPr>
            <w:r w:rsidRPr="00A25C55">
              <w:rPr>
                <w:sz w:val="20"/>
                <w:szCs w:val="20"/>
              </w:rPr>
              <w:t>Maximum of the Feret diameters measured over 31 angles</w:t>
            </w:r>
          </w:p>
        </w:tc>
      </w:tr>
      <w:tr w:rsidR="00CF33B1" w:rsidRPr="00A25C55" w14:paraId="49BC4A32" w14:textId="77777777" w:rsidTr="00252742">
        <w:tc>
          <w:tcPr>
            <w:tcW w:w="759" w:type="dxa"/>
            <w:vMerge/>
          </w:tcPr>
          <w:p w14:paraId="5219E6B6" w14:textId="77777777" w:rsidR="00CF33B1" w:rsidRPr="00A25C55" w:rsidRDefault="00CF33B1" w:rsidP="00252742">
            <w:pPr>
              <w:spacing w:line="240" w:lineRule="auto"/>
              <w:rPr>
                <w:sz w:val="20"/>
                <w:szCs w:val="20"/>
              </w:rPr>
            </w:pPr>
          </w:p>
        </w:tc>
        <w:tc>
          <w:tcPr>
            <w:tcW w:w="2785" w:type="dxa"/>
          </w:tcPr>
          <w:p w14:paraId="46B4AE41" w14:textId="77777777" w:rsidR="00CF33B1" w:rsidRPr="00A25C55" w:rsidRDefault="00CF33B1" w:rsidP="00252742">
            <w:pPr>
              <w:spacing w:line="240" w:lineRule="auto"/>
              <w:rPr>
                <w:sz w:val="20"/>
                <w:szCs w:val="20"/>
              </w:rPr>
            </w:pPr>
            <w:r w:rsidRPr="00A25C55">
              <w:rPr>
                <w:sz w:val="20"/>
                <w:szCs w:val="20"/>
              </w:rPr>
              <w:t>Width</w:t>
            </w:r>
          </w:p>
        </w:tc>
        <w:tc>
          <w:tcPr>
            <w:tcW w:w="709" w:type="dxa"/>
          </w:tcPr>
          <w:p w14:paraId="1C8DE129" w14:textId="77777777" w:rsidR="00CF33B1" w:rsidRPr="00A25C55" w:rsidRDefault="00CF33B1" w:rsidP="00252742">
            <w:pPr>
              <w:spacing w:line="240" w:lineRule="auto"/>
              <w:rPr>
                <w:sz w:val="20"/>
                <w:szCs w:val="20"/>
              </w:rPr>
            </w:pPr>
            <w:r w:rsidRPr="00A25C55">
              <w:rPr>
                <w:sz w:val="20"/>
                <w:szCs w:val="20"/>
              </w:rPr>
              <w:t>µm</w:t>
            </w:r>
          </w:p>
        </w:tc>
        <w:tc>
          <w:tcPr>
            <w:tcW w:w="4536" w:type="dxa"/>
          </w:tcPr>
          <w:p w14:paraId="0A03AACE" w14:textId="77777777" w:rsidR="00CF33B1" w:rsidRPr="00A25C55" w:rsidRDefault="00CF33B1" w:rsidP="00252742">
            <w:pPr>
              <w:spacing w:line="240" w:lineRule="auto"/>
              <w:rPr>
                <w:sz w:val="20"/>
                <w:szCs w:val="20"/>
              </w:rPr>
            </w:pPr>
            <w:r w:rsidRPr="00A25C55">
              <w:rPr>
                <w:sz w:val="20"/>
                <w:szCs w:val="20"/>
              </w:rPr>
              <w:t>Minimum of the Feret diameters measured over 31 angles</w:t>
            </w:r>
          </w:p>
        </w:tc>
      </w:tr>
      <w:tr w:rsidR="00CF33B1" w:rsidRPr="00A25C55" w14:paraId="5F137AB2" w14:textId="77777777" w:rsidTr="00252742">
        <w:tc>
          <w:tcPr>
            <w:tcW w:w="759" w:type="dxa"/>
            <w:vMerge/>
          </w:tcPr>
          <w:p w14:paraId="57774431" w14:textId="77777777" w:rsidR="00CF33B1" w:rsidRPr="00A25C55" w:rsidRDefault="00CF33B1" w:rsidP="00252742">
            <w:pPr>
              <w:spacing w:line="240" w:lineRule="auto"/>
              <w:rPr>
                <w:sz w:val="20"/>
                <w:szCs w:val="20"/>
              </w:rPr>
            </w:pPr>
          </w:p>
        </w:tc>
        <w:tc>
          <w:tcPr>
            <w:tcW w:w="2785" w:type="dxa"/>
          </w:tcPr>
          <w:p w14:paraId="157FF873" w14:textId="77777777" w:rsidR="00CF33B1" w:rsidRPr="00A25C55" w:rsidRDefault="00CF33B1" w:rsidP="00252742">
            <w:pPr>
              <w:spacing w:line="240" w:lineRule="auto"/>
              <w:rPr>
                <w:sz w:val="20"/>
                <w:szCs w:val="20"/>
              </w:rPr>
            </w:pPr>
            <w:r w:rsidRPr="00A25C55">
              <w:rPr>
                <w:sz w:val="20"/>
                <w:szCs w:val="20"/>
              </w:rPr>
              <w:t>Surface area</w:t>
            </w:r>
          </w:p>
        </w:tc>
        <w:tc>
          <w:tcPr>
            <w:tcW w:w="709" w:type="dxa"/>
          </w:tcPr>
          <w:p w14:paraId="696B15C9" w14:textId="77777777" w:rsidR="00CF33B1" w:rsidRPr="00A25C55" w:rsidRDefault="00CF33B1" w:rsidP="00252742">
            <w:pPr>
              <w:spacing w:line="240" w:lineRule="auto"/>
              <w:rPr>
                <w:sz w:val="20"/>
                <w:szCs w:val="20"/>
              </w:rPr>
            </w:pPr>
            <w:r w:rsidRPr="00A25C55">
              <w:rPr>
                <w:sz w:val="20"/>
                <w:szCs w:val="20"/>
              </w:rPr>
              <w:t>mm²</w:t>
            </w:r>
          </w:p>
        </w:tc>
        <w:tc>
          <w:tcPr>
            <w:tcW w:w="4536" w:type="dxa"/>
          </w:tcPr>
          <w:p w14:paraId="4C2FC132" w14:textId="77777777" w:rsidR="00CF33B1" w:rsidRPr="00A25C55" w:rsidRDefault="00CF33B1" w:rsidP="00252742">
            <w:pPr>
              <w:spacing w:line="240" w:lineRule="auto"/>
              <w:rPr>
                <w:sz w:val="20"/>
                <w:szCs w:val="20"/>
              </w:rPr>
            </w:pPr>
            <w:r w:rsidRPr="00A25C55">
              <w:rPr>
                <w:sz w:val="20"/>
                <w:szCs w:val="20"/>
              </w:rPr>
              <w:t>Surface area of the cell/pore</w:t>
            </w:r>
          </w:p>
        </w:tc>
      </w:tr>
      <w:tr w:rsidR="00CF33B1" w:rsidRPr="00A25C55" w14:paraId="7255DFD1" w14:textId="77777777" w:rsidTr="00252742">
        <w:tc>
          <w:tcPr>
            <w:tcW w:w="759" w:type="dxa"/>
            <w:vMerge/>
          </w:tcPr>
          <w:p w14:paraId="0956EF36" w14:textId="77777777" w:rsidR="00CF33B1" w:rsidRPr="00A25C55" w:rsidRDefault="00CF33B1" w:rsidP="00252742">
            <w:pPr>
              <w:spacing w:line="240" w:lineRule="auto"/>
              <w:rPr>
                <w:sz w:val="20"/>
                <w:szCs w:val="20"/>
              </w:rPr>
            </w:pPr>
          </w:p>
        </w:tc>
        <w:tc>
          <w:tcPr>
            <w:tcW w:w="2785" w:type="dxa"/>
          </w:tcPr>
          <w:p w14:paraId="67239759" w14:textId="77777777" w:rsidR="00CF33B1" w:rsidRPr="00A25C55" w:rsidRDefault="00CF33B1" w:rsidP="00252742">
            <w:pPr>
              <w:spacing w:line="240" w:lineRule="auto"/>
              <w:rPr>
                <w:sz w:val="20"/>
                <w:szCs w:val="20"/>
              </w:rPr>
            </w:pPr>
            <w:r w:rsidRPr="00A25C55">
              <w:rPr>
                <w:sz w:val="20"/>
                <w:szCs w:val="20"/>
              </w:rPr>
              <w:t>Equivalent diameter</w:t>
            </w:r>
          </w:p>
        </w:tc>
        <w:tc>
          <w:tcPr>
            <w:tcW w:w="709" w:type="dxa"/>
          </w:tcPr>
          <w:p w14:paraId="5B721C07" w14:textId="77777777" w:rsidR="00CF33B1" w:rsidRPr="00A25C55" w:rsidRDefault="00CF33B1" w:rsidP="00252742">
            <w:pPr>
              <w:spacing w:line="240" w:lineRule="auto"/>
              <w:rPr>
                <w:sz w:val="20"/>
                <w:szCs w:val="20"/>
              </w:rPr>
            </w:pPr>
            <w:r w:rsidRPr="00A25C55">
              <w:rPr>
                <w:sz w:val="20"/>
                <w:szCs w:val="20"/>
              </w:rPr>
              <w:t>µm</w:t>
            </w:r>
          </w:p>
        </w:tc>
        <w:tc>
          <w:tcPr>
            <w:tcW w:w="4536" w:type="dxa"/>
          </w:tcPr>
          <w:p w14:paraId="43AA2B8F" w14:textId="77777777" w:rsidR="00CF33B1" w:rsidRPr="00A25C55" w:rsidRDefault="00CF33B1" w:rsidP="00252742">
            <w:pPr>
              <w:spacing w:line="240" w:lineRule="auto"/>
              <w:rPr>
                <w:sz w:val="20"/>
                <w:szCs w:val="20"/>
              </w:rPr>
            </w:pPr>
            <w:r w:rsidRPr="00A25C55">
              <w:rPr>
                <w:sz w:val="20"/>
                <w:szCs w:val="20"/>
              </w:rPr>
              <w:t xml:space="preserve">Diameter of a sphere with the same cell/pore volume </w:t>
            </w:r>
          </w:p>
        </w:tc>
      </w:tr>
      <w:tr w:rsidR="00CF33B1" w:rsidRPr="00A25C55" w14:paraId="29D0F7EB" w14:textId="77777777" w:rsidTr="00252742">
        <w:tc>
          <w:tcPr>
            <w:tcW w:w="759" w:type="dxa"/>
            <w:vMerge/>
          </w:tcPr>
          <w:p w14:paraId="63785115" w14:textId="77777777" w:rsidR="00CF33B1" w:rsidRPr="00A25C55" w:rsidRDefault="00CF33B1" w:rsidP="00252742">
            <w:pPr>
              <w:spacing w:line="240" w:lineRule="auto"/>
              <w:rPr>
                <w:sz w:val="20"/>
                <w:szCs w:val="20"/>
              </w:rPr>
            </w:pPr>
          </w:p>
        </w:tc>
        <w:tc>
          <w:tcPr>
            <w:tcW w:w="2785" w:type="dxa"/>
          </w:tcPr>
          <w:p w14:paraId="19CB6BB9" w14:textId="77777777" w:rsidR="00CF33B1" w:rsidRPr="00A25C55" w:rsidRDefault="00CF33B1" w:rsidP="00252742">
            <w:pPr>
              <w:spacing w:line="240" w:lineRule="auto"/>
              <w:rPr>
                <w:sz w:val="20"/>
                <w:szCs w:val="20"/>
              </w:rPr>
            </w:pPr>
            <w:r w:rsidRPr="00A25C55">
              <w:rPr>
                <w:sz w:val="20"/>
                <w:szCs w:val="20"/>
              </w:rPr>
              <w:t>Volume</w:t>
            </w:r>
          </w:p>
        </w:tc>
        <w:tc>
          <w:tcPr>
            <w:tcW w:w="709" w:type="dxa"/>
          </w:tcPr>
          <w:p w14:paraId="2BF04A8F" w14:textId="77777777" w:rsidR="00CF33B1" w:rsidRPr="00A25C55" w:rsidRDefault="00CF33B1" w:rsidP="00252742">
            <w:pPr>
              <w:spacing w:line="240" w:lineRule="auto"/>
              <w:rPr>
                <w:sz w:val="20"/>
                <w:szCs w:val="20"/>
              </w:rPr>
            </w:pPr>
            <w:r w:rsidRPr="00A25C55">
              <w:rPr>
                <w:sz w:val="20"/>
                <w:szCs w:val="20"/>
              </w:rPr>
              <w:t>mm³</w:t>
            </w:r>
          </w:p>
        </w:tc>
        <w:tc>
          <w:tcPr>
            <w:tcW w:w="4536" w:type="dxa"/>
          </w:tcPr>
          <w:p w14:paraId="3C692C30" w14:textId="77777777" w:rsidR="00CF33B1" w:rsidRPr="00A25C55" w:rsidRDefault="00CF33B1" w:rsidP="00252742">
            <w:pPr>
              <w:spacing w:line="240" w:lineRule="auto"/>
              <w:rPr>
                <w:sz w:val="20"/>
                <w:szCs w:val="20"/>
              </w:rPr>
            </w:pPr>
            <w:r w:rsidRPr="00A25C55">
              <w:rPr>
                <w:sz w:val="20"/>
                <w:szCs w:val="20"/>
              </w:rPr>
              <w:t>Volume of the cell/pore</w:t>
            </w:r>
          </w:p>
        </w:tc>
      </w:tr>
      <w:tr w:rsidR="00CF33B1" w:rsidRPr="00A25C55" w14:paraId="149921CA" w14:textId="77777777" w:rsidTr="00252742">
        <w:tc>
          <w:tcPr>
            <w:tcW w:w="759" w:type="dxa"/>
            <w:vMerge/>
          </w:tcPr>
          <w:p w14:paraId="50C3BAFA" w14:textId="77777777" w:rsidR="00CF33B1" w:rsidRPr="00A25C55" w:rsidRDefault="00CF33B1" w:rsidP="00252742">
            <w:pPr>
              <w:spacing w:line="240" w:lineRule="auto"/>
              <w:rPr>
                <w:sz w:val="20"/>
                <w:szCs w:val="20"/>
              </w:rPr>
            </w:pPr>
          </w:p>
        </w:tc>
        <w:tc>
          <w:tcPr>
            <w:tcW w:w="2785" w:type="dxa"/>
          </w:tcPr>
          <w:p w14:paraId="7FE8E308" w14:textId="77777777" w:rsidR="00CF33B1" w:rsidRPr="00A25C55" w:rsidRDefault="00CF33B1" w:rsidP="00252742">
            <w:pPr>
              <w:spacing w:line="240" w:lineRule="auto"/>
              <w:rPr>
                <w:sz w:val="20"/>
                <w:szCs w:val="20"/>
              </w:rPr>
            </w:pPr>
            <w:r w:rsidRPr="00A25C55">
              <w:rPr>
                <w:sz w:val="20"/>
                <w:szCs w:val="20"/>
              </w:rPr>
              <w:t>Anisotropy</w:t>
            </w:r>
          </w:p>
        </w:tc>
        <w:tc>
          <w:tcPr>
            <w:tcW w:w="709" w:type="dxa"/>
          </w:tcPr>
          <w:p w14:paraId="245A9E6C"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437C5A18" w14:textId="77777777" w:rsidR="00CF33B1" w:rsidRPr="00A25C55" w:rsidRDefault="00CF33B1" w:rsidP="00252742">
            <w:pPr>
              <w:spacing w:line="240" w:lineRule="auto"/>
              <w:rPr>
                <w:sz w:val="20"/>
                <w:szCs w:val="20"/>
              </w:rPr>
            </w:pPr>
            <w:r w:rsidRPr="00A25C55">
              <w:rPr>
                <w:sz w:val="20"/>
                <w:szCs w:val="20"/>
              </w:rPr>
              <w:t>1 minus the ratio of the smallest to the largest eigenvalue of the covariance matrix. Measures the deviation of an object from a spherical shape with 0 = perfect isotropy and 1 = complete anisotropy</w:t>
            </w:r>
          </w:p>
        </w:tc>
      </w:tr>
      <w:tr w:rsidR="00CF33B1" w:rsidRPr="00A25C55" w14:paraId="176625DB" w14:textId="77777777" w:rsidTr="00252742">
        <w:tc>
          <w:tcPr>
            <w:tcW w:w="759" w:type="dxa"/>
            <w:vMerge/>
          </w:tcPr>
          <w:p w14:paraId="51B1F868" w14:textId="77777777" w:rsidR="00CF33B1" w:rsidRPr="00A25C55" w:rsidRDefault="00CF33B1" w:rsidP="00252742">
            <w:pPr>
              <w:spacing w:line="240" w:lineRule="auto"/>
              <w:rPr>
                <w:sz w:val="20"/>
                <w:szCs w:val="20"/>
              </w:rPr>
            </w:pPr>
          </w:p>
        </w:tc>
        <w:tc>
          <w:tcPr>
            <w:tcW w:w="2785" w:type="dxa"/>
          </w:tcPr>
          <w:p w14:paraId="33938633" w14:textId="77777777" w:rsidR="00CF33B1" w:rsidRPr="00A25C55" w:rsidRDefault="00CF33B1" w:rsidP="00252742">
            <w:pPr>
              <w:spacing w:line="240" w:lineRule="auto"/>
              <w:rPr>
                <w:sz w:val="20"/>
                <w:szCs w:val="20"/>
              </w:rPr>
            </w:pPr>
            <w:r w:rsidRPr="00A25C55">
              <w:rPr>
                <w:sz w:val="20"/>
                <w:szCs w:val="20"/>
              </w:rPr>
              <w:t>Specific surface area</w:t>
            </w:r>
          </w:p>
        </w:tc>
        <w:tc>
          <w:tcPr>
            <w:tcW w:w="709" w:type="dxa"/>
          </w:tcPr>
          <w:p w14:paraId="3D9012E4" w14:textId="77777777" w:rsidR="00CF33B1" w:rsidRPr="00A25C55" w:rsidRDefault="00CF33B1" w:rsidP="00252742">
            <w:pPr>
              <w:spacing w:line="240" w:lineRule="auto"/>
              <w:rPr>
                <w:sz w:val="20"/>
                <w:szCs w:val="20"/>
              </w:rPr>
            </w:pPr>
            <w:r w:rsidRPr="00A25C55">
              <w:rPr>
                <w:sz w:val="20"/>
                <w:szCs w:val="20"/>
              </w:rPr>
              <w:t>mm</w:t>
            </w:r>
            <w:r w:rsidRPr="00A25C55">
              <w:rPr>
                <w:sz w:val="20"/>
                <w:szCs w:val="20"/>
                <w:vertAlign w:val="superscript"/>
              </w:rPr>
              <w:t>-1</w:t>
            </w:r>
          </w:p>
        </w:tc>
        <w:tc>
          <w:tcPr>
            <w:tcW w:w="4536" w:type="dxa"/>
          </w:tcPr>
          <w:p w14:paraId="5B318FCA" w14:textId="77777777" w:rsidR="00CF33B1" w:rsidRPr="00A25C55" w:rsidRDefault="00CF33B1" w:rsidP="00252742">
            <w:pPr>
              <w:spacing w:line="240" w:lineRule="auto"/>
              <w:rPr>
                <w:sz w:val="20"/>
                <w:szCs w:val="20"/>
              </w:rPr>
            </w:pPr>
            <w:r w:rsidRPr="00A25C55">
              <w:rPr>
                <w:sz w:val="20"/>
                <w:szCs w:val="20"/>
              </w:rPr>
              <w:t>Surface area of the cell/pore divided by its volume</w:t>
            </w:r>
          </w:p>
        </w:tc>
      </w:tr>
      <w:tr w:rsidR="00CF33B1" w:rsidRPr="00A25C55" w14:paraId="70A32942" w14:textId="77777777" w:rsidTr="00252742">
        <w:tc>
          <w:tcPr>
            <w:tcW w:w="759" w:type="dxa"/>
            <w:vMerge/>
          </w:tcPr>
          <w:p w14:paraId="44C7047F" w14:textId="77777777" w:rsidR="00CF33B1" w:rsidRPr="00A25C55" w:rsidRDefault="00CF33B1" w:rsidP="00252742">
            <w:pPr>
              <w:spacing w:line="240" w:lineRule="auto"/>
              <w:rPr>
                <w:sz w:val="20"/>
                <w:szCs w:val="20"/>
              </w:rPr>
            </w:pPr>
          </w:p>
        </w:tc>
        <w:tc>
          <w:tcPr>
            <w:tcW w:w="2785" w:type="dxa"/>
          </w:tcPr>
          <w:p w14:paraId="22044FFC" w14:textId="77777777" w:rsidR="00CF33B1" w:rsidRPr="00A25C55" w:rsidRDefault="00CF33B1" w:rsidP="00252742">
            <w:pPr>
              <w:spacing w:line="240" w:lineRule="auto"/>
              <w:rPr>
                <w:sz w:val="20"/>
                <w:szCs w:val="20"/>
              </w:rPr>
            </w:pPr>
            <w:r w:rsidRPr="00A25C55">
              <w:rPr>
                <w:sz w:val="20"/>
                <w:szCs w:val="20"/>
              </w:rPr>
              <w:t>Length/width</w:t>
            </w:r>
          </w:p>
        </w:tc>
        <w:tc>
          <w:tcPr>
            <w:tcW w:w="709" w:type="dxa"/>
          </w:tcPr>
          <w:p w14:paraId="1A7D33D7"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503A88E9" w14:textId="77777777" w:rsidR="00CF33B1" w:rsidRPr="00A25C55" w:rsidRDefault="00CF33B1" w:rsidP="00252742">
            <w:pPr>
              <w:spacing w:line="240" w:lineRule="auto"/>
              <w:rPr>
                <w:sz w:val="20"/>
                <w:szCs w:val="20"/>
              </w:rPr>
            </w:pPr>
            <w:r w:rsidRPr="00A25C55">
              <w:rPr>
                <w:sz w:val="20"/>
                <w:szCs w:val="20"/>
              </w:rPr>
              <w:t>Length-to-width ratio</w:t>
            </w:r>
          </w:p>
        </w:tc>
      </w:tr>
      <w:tr w:rsidR="00CF33B1" w:rsidRPr="00A25C55" w14:paraId="0B7E471B" w14:textId="77777777" w:rsidTr="00252742">
        <w:trPr>
          <w:trHeight w:val="80"/>
        </w:trPr>
        <w:tc>
          <w:tcPr>
            <w:tcW w:w="759" w:type="dxa"/>
            <w:vMerge/>
          </w:tcPr>
          <w:p w14:paraId="3E72C848" w14:textId="77777777" w:rsidR="00CF33B1" w:rsidRPr="00A25C55" w:rsidRDefault="00CF33B1" w:rsidP="00252742">
            <w:pPr>
              <w:spacing w:line="240" w:lineRule="auto"/>
              <w:rPr>
                <w:sz w:val="20"/>
                <w:szCs w:val="20"/>
              </w:rPr>
            </w:pPr>
          </w:p>
        </w:tc>
        <w:tc>
          <w:tcPr>
            <w:tcW w:w="2785" w:type="dxa"/>
          </w:tcPr>
          <w:p w14:paraId="547A3D02" w14:textId="77777777" w:rsidR="00CF33B1" w:rsidRPr="00A25C55" w:rsidRDefault="00CF33B1" w:rsidP="00252742">
            <w:pPr>
              <w:spacing w:line="240" w:lineRule="auto"/>
              <w:rPr>
                <w:sz w:val="20"/>
                <w:szCs w:val="20"/>
              </w:rPr>
            </w:pPr>
            <w:r w:rsidRPr="00A25C55">
              <w:rPr>
                <w:sz w:val="20"/>
                <w:szCs w:val="20"/>
              </w:rPr>
              <w:t>Sphericity</w:t>
            </w:r>
          </w:p>
        </w:tc>
        <w:tc>
          <w:tcPr>
            <w:tcW w:w="709" w:type="dxa"/>
          </w:tcPr>
          <w:p w14:paraId="7083612C" w14:textId="77777777" w:rsidR="00CF33B1" w:rsidRPr="00A25C55" w:rsidRDefault="00CF33B1" w:rsidP="00252742">
            <w:pPr>
              <w:spacing w:line="240" w:lineRule="auto"/>
              <w:rPr>
                <w:sz w:val="20"/>
                <w:szCs w:val="20"/>
              </w:rPr>
            </w:pPr>
            <w:r w:rsidRPr="00A25C55">
              <w:rPr>
                <w:sz w:val="20"/>
                <w:szCs w:val="20"/>
              </w:rPr>
              <w:t>-</w:t>
            </w:r>
          </w:p>
        </w:tc>
        <w:tc>
          <w:tcPr>
            <w:tcW w:w="4536" w:type="dxa"/>
          </w:tcPr>
          <w:p w14:paraId="7B33C0F4" w14:textId="5747730D" w:rsidR="00CF33B1" w:rsidRPr="00A25C55" w:rsidRDefault="00CF33B1" w:rsidP="00252742">
            <w:pPr>
              <w:spacing w:line="240" w:lineRule="auto"/>
              <w:rPr>
                <w:sz w:val="20"/>
                <w:szCs w:val="20"/>
              </w:rPr>
            </w:pPr>
            <w:r w:rsidRPr="00A25C55">
              <w:rPr>
                <w:sz w:val="20"/>
                <w:szCs w:val="20"/>
              </w:rPr>
              <w:t xml:space="preserve">The surface area of a sphere with the same cell/pore volume divided by the cell/pore surface area </w:t>
            </w:r>
            <w:r w:rsidRPr="00A25C55">
              <w:rPr>
                <w:sz w:val="20"/>
                <w:szCs w:val="20"/>
              </w:rPr>
              <w:fldChar w:fldCharType="begin" w:fldLock="1"/>
            </w:r>
            <w:r w:rsidR="00A25C55" w:rsidRPr="00A25C55">
              <w:rPr>
                <w:sz w:val="20"/>
                <w:szCs w:val="20"/>
              </w:rPr>
              <w:instrText>ADDIN CSL_CITATION {"citationItems":[{"id":"ITEM-1","itemData":{"DOI":"10.1103/PhysRevE.99.033107","ISSN":"24700053","PMID":"30999407","abstract":"Stand-alone and portable lab-on-chips (LOC) can be obtained by exploiting capillary flow in porous media. Polymethylmethacrylate (PMMA) platforms obtained through powder-based three-dimensional (3D) printing are appropriate for capillarity-driven LOCs. However, fluid flow in such platforms needs to be characterized well. For this purpose, a 3D pore network (PN) was extracted from high-resolution μCT images of printed PMMA through a watershed algorithm and a PN model was developed with the final goal of characterizing material permeability. The effect of all parameters involved in the PN extraction and modeling was investigated. The study focused in particular on the effect of the number of seeds for the watershed segmentation, pore sphericity, and pore-to-pore channel shape that was modeled as a bicylindrical or biconical object. The results proved that all PN extraction and modeling parameters influenced the permeability, which was found to be lower the higher the number of seeds and when using sphericity and biconical channels. Eventually, the Calinski-Harabasz index value was used to identify the optimal number of watershed seeds.","author":[{"dropping-particle":"","family":"Piovesan","given":"Agnese","non-dropping-particle":"","parse-names":false,"suffix":""},{"dropping-particle":"","family":"Achille","given":"Clement","non-dropping-particle":"","parse-names":false,"suffix":""},{"dropping-particle":"","family":"Ameloot","given":"Rob","non-dropping-particle":"","parse-names":false,"suffix":""},{"dropping-particle":"","family":"Nicolai","given":"Bart","non-dropping-particle":"","parse-names":false,"suffix":""},{"dropping-particle":"","family":"Verboven","given":"Pieter","non-dropping-particle":"","parse-names":false,"suffix":""}],"container-title":"Physical Review E","id":"ITEM-1","issue":"3","issued":{"date-parts":[["2019"]]},"page":"1-13","publisher":"American Physical Society","title":"Pore network model for permeability characterization of three-dimensionally-printed porous materials for passive microfluidics","type":"article-journal","volume":"99"},"uris":["http://www.mendeley.com/documents/?uuid=fd877ecf-c872-428f-bd01-589db051d66d"]}],"mendeley":{"formattedCitation":"[2]","plainTextFormattedCitation":"[2]","previouslyFormattedCitation":"&lt;sup&gt;2&lt;/sup&gt;"},"properties":{"noteIndex":0},"schema":"https://github.com/citation-style-language/schema/raw/master/csl-citation.json"}</w:instrText>
            </w:r>
            <w:r w:rsidRPr="00A25C55">
              <w:rPr>
                <w:sz w:val="20"/>
                <w:szCs w:val="20"/>
              </w:rPr>
              <w:fldChar w:fldCharType="separate"/>
            </w:r>
            <w:r w:rsidR="00A25C55" w:rsidRPr="00A25C55">
              <w:rPr>
                <w:noProof/>
                <w:sz w:val="20"/>
                <w:szCs w:val="20"/>
              </w:rPr>
              <w:t>[2]</w:t>
            </w:r>
            <w:r w:rsidRPr="00A25C55">
              <w:rPr>
                <w:sz w:val="20"/>
                <w:szCs w:val="20"/>
              </w:rPr>
              <w:fldChar w:fldCharType="end"/>
            </w:r>
          </w:p>
        </w:tc>
      </w:tr>
    </w:tbl>
    <w:p w14:paraId="2C4C8D0F" w14:textId="77777777" w:rsidR="00CF33B1" w:rsidRPr="00A70690" w:rsidRDefault="00CF33B1" w:rsidP="00CF33B1">
      <w:pPr>
        <w:pStyle w:val="Heading1"/>
        <w:rPr>
          <w:color w:val="auto"/>
        </w:rPr>
      </w:pPr>
      <w:r w:rsidRPr="00A70690">
        <w:rPr>
          <w:color w:val="auto"/>
        </w:rPr>
        <w:t>References</w:t>
      </w:r>
    </w:p>
    <w:p w14:paraId="4FB29306" w14:textId="666B5438" w:rsidR="00A25C55" w:rsidRPr="00A25C55" w:rsidRDefault="00CF33B1" w:rsidP="00A25C55">
      <w:pPr>
        <w:widowControl w:val="0"/>
        <w:autoSpaceDE w:val="0"/>
        <w:autoSpaceDN w:val="0"/>
        <w:adjustRightInd w:val="0"/>
        <w:spacing w:after="160" w:line="240" w:lineRule="auto"/>
        <w:rPr>
          <w:rFonts w:ascii="Calibri" w:hAnsi="Calibri" w:cs="Calibri"/>
          <w:noProof/>
          <w:szCs w:val="24"/>
        </w:rPr>
      </w:pPr>
      <w:r w:rsidRPr="00A25C55">
        <w:fldChar w:fldCharType="begin" w:fldLock="1"/>
      </w:r>
      <w:r w:rsidRPr="00A25C55">
        <w:instrText xml:space="preserve">ADDIN Mendeley Bibliography CSL_BIBLIOGRAPHY </w:instrText>
      </w:r>
      <w:r w:rsidRPr="00A25C55">
        <w:fldChar w:fldCharType="separate"/>
      </w:r>
      <w:r w:rsidR="00A25C55" w:rsidRPr="00A25C55">
        <w:rPr>
          <w:rFonts w:ascii="Calibri" w:hAnsi="Calibri" w:cs="Calibri"/>
          <w:noProof/>
          <w:szCs w:val="24"/>
        </w:rPr>
        <w:t>1. Odgaard A, Gundersen HJ. Quantification of connectivity with special emphasis on 3D reconstractions. Bone. 1993;14:173–82.</w:t>
      </w:r>
    </w:p>
    <w:p w14:paraId="10BF3CFA" w14:textId="77777777" w:rsidR="00A25C55" w:rsidRPr="00A25C55" w:rsidRDefault="00A25C55" w:rsidP="00A25C55">
      <w:pPr>
        <w:widowControl w:val="0"/>
        <w:autoSpaceDE w:val="0"/>
        <w:autoSpaceDN w:val="0"/>
        <w:adjustRightInd w:val="0"/>
        <w:spacing w:after="160" w:line="240" w:lineRule="auto"/>
        <w:rPr>
          <w:rFonts w:ascii="Calibri" w:hAnsi="Calibri" w:cs="Calibri"/>
          <w:noProof/>
        </w:rPr>
      </w:pPr>
      <w:r w:rsidRPr="00A25C55">
        <w:rPr>
          <w:rFonts w:ascii="Calibri" w:hAnsi="Calibri" w:cs="Calibri"/>
          <w:noProof/>
          <w:szCs w:val="24"/>
        </w:rPr>
        <w:t>2. Piovesan A, Achille C, Ameloot R, Nicolai B, Verboven P. Pore network model for permeability characterization of three-dimensionally-printed porous materials for passive microfluidics. Phys Rev E. 2019;99:1–13.</w:t>
      </w:r>
    </w:p>
    <w:p w14:paraId="7B8F9171" w14:textId="080B12C5" w:rsidR="00331B19" w:rsidRPr="00A25C55" w:rsidRDefault="00CF33B1" w:rsidP="00A25C55">
      <w:pPr>
        <w:widowControl w:val="0"/>
        <w:autoSpaceDE w:val="0"/>
        <w:autoSpaceDN w:val="0"/>
        <w:adjustRightInd w:val="0"/>
        <w:spacing w:after="160" w:line="240" w:lineRule="auto"/>
        <w:ind w:left="640" w:hanging="640"/>
      </w:pPr>
      <w:r w:rsidRPr="00A25C55">
        <w:fldChar w:fldCharType="end"/>
      </w:r>
    </w:p>
    <w:sectPr w:rsidR="00331B19" w:rsidRPr="00A25C55" w:rsidSect="00EA4C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D4"/>
    <w:rsid w:val="000431B4"/>
    <w:rsid w:val="00046CEF"/>
    <w:rsid w:val="001E361A"/>
    <w:rsid w:val="003F75E0"/>
    <w:rsid w:val="00691474"/>
    <w:rsid w:val="00740F27"/>
    <w:rsid w:val="00A25C55"/>
    <w:rsid w:val="00A70690"/>
    <w:rsid w:val="00CA14D4"/>
    <w:rsid w:val="00CF33B1"/>
    <w:rsid w:val="00E1379F"/>
    <w:rsid w:val="00E51452"/>
    <w:rsid w:val="00E5455A"/>
    <w:rsid w:val="00EA4C89"/>
    <w:rsid w:val="00FA2F3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FCBD"/>
  <w15:chartTrackingRefBased/>
  <w15:docId w15:val="{9640DF9B-C658-464E-B08D-823BF493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3B1"/>
    <w:pPr>
      <w:spacing w:after="0" w:line="360" w:lineRule="auto"/>
      <w:jc w:val="both"/>
    </w:pPr>
    <w:rPr>
      <w:lang w:val="en-GB"/>
    </w:rPr>
  </w:style>
  <w:style w:type="paragraph" w:styleId="Heading1">
    <w:name w:val="heading 1"/>
    <w:basedOn w:val="Normal"/>
    <w:next w:val="Normal"/>
    <w:link w:val="Heading1Char"/>
    <w:uiPriority w:val="9"/>
    <w:qFormat/>
    <w:rsid w:val="00CF33B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3B1"/>
    <w:rPr>
      <w:rFonts w:asciiTheme="majorHAnsi" w:eastAsiaTheme="majorEastAsia" w:hAnsiTheme="majorHAnsi" w:cstheme="majorBidi"/>
      <w:color w:val="2F5496" w:themeColor="accent1" w:themeShade="BF"/>
      <w:sz w:val="32"/>
      <w:szCs w:val="32"/>
      <w:lang w:val="en-GB"/>
    </w:rPr>
  </w:style>
  <w:style w:type="paragraph" w:styleId="Caption">
    <w:name w:val="caption"/>
    <w:basedOn w:val="Normal"/>
    <w:next w:val="Normal"/>
    <w:uiPriority w:val="35"/>
    <w:unhideWhenUsed/>
    <w:qFormat/>
    <w:rsid w:val="00CF33B1"/>
    <w:pPr>
      <w:spacing w:after="200" w:line="240" w:lineRule="auto"/>
      <w:jc w:val="left"/>
    </w:pPr>
    <w:rPr>
      <w:i/>
      <w:iCs/>
      <w:color w:val="44546A" w:themeColor="text2"/>
      <w:sz w:val="18"/>
      <w:szCs w:val="18"/>
      <w:lang w:val="en-US"/>
    </w:rPr>
  </w:style>
  <w:style w:type="table" w:styleId="TableGrid">
    <w:name w:val="Table Grid"/>
    <w:basedOn w:val="TableNormal"/>
    <w:uiPriority w:val="39"/>
    <w:rsid w:val="00CF3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900</Words>
  <Characters>5132</Characters>
  <Application>Microsoft Office Word</Application>
  <DocSecurity>0</DocSecurity>
  <Lines>42</Lines>
  <Paragraphs>12</Paragraphs>
  <ScaleCrop>false</ScaleCrop>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 Van Doorselaer</dc:creator>
  <cp:keywords/>
  <dc:description/>
  <cp:lastModifiedBy>Leen Van Doorselaer</cp:lastModifiedBy>
  <cp:revision>8</cp:revision>
  <dcterms:created xsi:type="dcterms:W3CDTF">2023-08-23T11:59:00Z</dcterms:created>
  <dcterms:modified xsi:type="dcterms:W3CDTF">2024-01-15T11:52:00Z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4c0f99b2-cd43-3620-b046-14ab6b764b72</vt:lpwstr>
  </property>
  <property fmtid="{D5CDD505-2E9C-101B-9397-08002B2CF9AE}" pid="4" name="Mendeley Citation Style_1">
    <vt:lpwstr>http://www.zotero.org/styles/bmc-cell-biology</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 6th edition</vt:lpwstr>
  </property>
  <property fmtid="{D5CDD505-2E9C-101B-9397-08002B2CF9AE}" pid="7" name="Mendeley Recent Style Id 1_1">
    <vt:lpwstr>http://www.zotero.org/styles/bmc-cell-biology</vt:lpwstr>
  </property>
  <property fmtid="{D5CDD505-2E9C-101B-9397-08002B2CF9AE}" pid="8" name="Mendeley Recent Style Name 1_1">
    <vt:lpwstr>BMC Cell Biology</vt:lpwstr>
  </property>
  <property fmtid="{D5CDD505-2E9C-101B-9397-08002B2CF9AE}" pid="9" name="Mendeley Recent Style Id 2_1">
    <vt:lpwstr>http://www.zotero.org/styles/cell-numeric</vt:lpwstr>
  </property>
  <property fmtid="{D5CDD505-2E9C-101B-9397-08002B2CF9AE}" pid="10" name="Mendeley Recent Style Name 2_1">
    <vt:lpwstr>Cell journals (numeric)</vt:lpwstr>
  </property>
  <property fmtid="{D5CDD505-2E9C-101B-9397-08002B2CF9AE}" pid="11" name="Mendeley Recent Style Id 3_1">
    <vt:lpwstr>http://www.zotero.org/styles/elsevier-harvard</vt:lpwstr>
  </property>
  <property fmtid="{D5CDD505-2E9C-101B-9397-08002B2CF9AE}" pid="12" name="Mendeley Recent Style Name 3_1">
    <vt:lpwstr>Elsevier - Harvard (with titles)</vt:lpwstr>
  </property>
  <property fmtid="{D5CDD505-2E9C-101B-9397-08002B2CF9AE}" pid="13" name="Mendeley Recent Style Id 4_1">
    <vt:lpwstr>http://www.zotero.org/styles/nature-publishing-group-vancouver</vt:lpwstr>
  </property>
  <property fmtid="{D5CDD505-2E9C-101B-9397-08002B2CF9AE}" pid="14" name="Mendeley Recent Style Name 4_1">
    <vt:lpwstr>Nature Publishing Group - Vancouver</vt:lpwstr>
  </property>
  <property fmtid="{D5CDD505-2E9C-101B-9397-08002B2CF9AE}" pid="15" name="Mendeley Recent Style Id 5_1">
    <vt:lpwstr>http://www.zotero.org/styles/plant-methods</vt:lpwstr>
  </property>
  <property fmtid="{D5CDD505-2E9C-101B-9397-08002B2CF9AE}" pid="16" name="Mendeley Recent Style Name 5_1">
    <vt:lpwstr>Plant Methods</vt:lpwstr>
  </property>
  <property fmtid="{D5CDD505-2E9C-101B-9397-08002B2CF9AE}" pid="17" name="Mendeley Recent Style Id 6_1">
    <vt:lpwstr>http://www.zotero.org/styles/plant-physiology</vt:lpwstr>
  </property>
  <property fmtid="{D5CDD505-2E9C-101B-9397-08002B2CF9AE}" pid="18" name="Mendeley Recent Style Name 6_1">
    <vt:lpwstr>Plant Physiology</vt:lpwstr>
  </property>
  <property fmtid="{D5CDD505-2E9C-101B-9397-08002B2CF9AE}" pid="19" name="Mendeley Recent Style Id 7_1">
    <vt:lpwstr>http://www.zotero.org/styles/springer-vancouver-brackets</vt:lpwstr>
  </property>
  <property fmtid="{D5CDD505-2E9C-101B-9397-08002B2CF9AE}" pid="20" name="Mendeley Recent Style Name 7_1">
    <vt:lpwstr>Springer - Vancouver (brackets)</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http://www.zotero.org/styles/vancouver-brackets</vt:lpwstr>
  </property>
  <property fmtid="{D5CDD505-2E9C-101B-9397-08002B2CF9AE}" pid="24" name="Mendeley Recent Style Name 9_1">
    <vt:lpwstr>Vancouver (brackets)</vt:lpwstr>
  </property>
</Properties>
</file>