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3EB72D" w14:textId="5E99532E" w:rsidR="00781B20" w:rsidRPr="0012174B" w:rsidRDefault="0013260E" w:rsidP="00766583">
      <w:pPr>
        <w:spacing w:line="480" w:lineRule="auto"/>
        <w:jc w:val="both"/>
        <w:rPr>
          <w:rFonts w:ascii="Arial" w:hAnsi="Arial" w:cs="Arial"/>
          <w:b/>
          <w:bCs/>
        </w:rPr>
      </w:pPr>
      <w:r w:rsidRPr="0012174B">
        <w:rPr>
          <w:rFonts w:ascii="Arial" w:hAnsi="Arial" w:cs="Arial"/>
          <w:b/>
          <w:bCs/>
        </w:rPr>
        <w:t>Supplementary Note 1</w:t>
      </w:r>
    </w:p>
    <w:p w14:paraId="1DBE791F" w14:textId="0067DDED" w:rsidR="00766583" w:rsidRPr="00766583" w:rsidRDefault="00766583" w:rsidP="00766583">
      <w:pPr>
        <w:spacing w:line="480" w:lineRule="auto"/>
        <w:jc w:val="both"/>
        <w:rPr>
          <w:rFonts w:ascii="Arial" w:hAnsi="Arial" w:cs="Arial"/>
        </w:rPr>
      </w:pPr>
      <w:r w:rsidRPr="00766583">
        <w:rPr>
          <w:rFonts w:ascii="Arial" w:hAnsi="Arial" w:cs="Arial"/>
        </w:rPr>
        <w:t>Marginal posterior probability distribution</w:t>
      </w:r>
      <w:r>
        <w:rPr>
          <w:rFonts w:ascii="Arial" w:hAnsi="Arial" w:cs="Arial"/>
        </w:rPr>
        <w:t>s</w:t>
      </w:r>
      <w:r w:rsidRPr="00766583">
        <w:rPr>
          <w:rFonts w:ascii="Arial" w:hAnsi="Arial" w:cs="Arial"/>
        </w:rPr>
        <w:t xml:space="preserve"> for each </w:t>
      </w:r>
      <w:r w:rsidR="0012174B">
        <w:rPr>
          <w:rFonts w:ascii="Arial" w:hAnsi="Arial" w:cs="Arial"/>
        </w:rPr>
        <w:t xml:space="preserve">of the </w:t>
      </w:r>
      <w:r w:rsidRPr="00766583">
        <w:rPr>
          <w:rFonts w:ascii="Arial" w:hAnsi="Arial" w:cs="Arial"/>
        </w:rPr>
        <w:t>model parameter</w:t>
      </w:r>
      <w:r>
        <w:rPr>
          <w:rFonts w:ascii="Arial" w:hAnsi="Arial" w:cs="Arial"/>
        </w:rPr>
        <w:t>s. The bracket notation “[.]” indicates a probability density distribution. The m</w:t>
      </w:r>
      <w:r w:rsidRPr="00766583">
        <w:rPr>
          <w:rFonts w:ascii="Arial" w:hAnsi="Arial" w:cs="Arial"/>
        </w:rPr>
        <w:t>arginal posterior probability distribution</w:t>
      </w:r>
      <w:r>
        <w:rPr>
          <w:rFonts w:ascii="Arial" w:hAnsi="Arial" w:cs="Arial"/>
        </w:rPr>
        <w:t>s</w:t>
      </w:r>
      <w:r w:rsidRPr="00766583">
        <w:rPr>
          <w:rFonts w:ascii="Arial" w:hAnsi="Arial" w:cs="Arial"/>
        </w:rPr>
        <w:t xml:space="preserve"> </w:t>
      </w:r>
      <w:r>
        <w:rPr>
          <w:rFonts w:ascii="Arial" w:hAnsi="Arial" w:cs="Arial"/>
        </w:rPr>
        <w:t>are obtained by integrating over all other variables in the joint posterior (</w:t>
      </w:r>
      <m:oMath>
        <m:d>
          <m:dPr>
            <m:begChr m:val="["/>
            <m:endChr m:val="]"/>
            <m:ctrlPr>
              <w:rPr>
                <w:rFonts w:ascii="Cambria Math" w:hAnsi="Cambria Math" w:cs="Arial"/>
                <w:i/>
              </w:rPr>
            </m:ctrlPr>
          </m:dPr>
          <m:e>
            <m:r>
              <w:rPr>
                <w:rFonts w:ascii="Cambria Math" w:hAnsi="Cambria Math" w:cs="Arial"/>
              </w:rPr>
              <m:t>y|</m:t>
            </m:r>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r>
              <w:rPr>
                <w:rFonts w:ascii="Cambria Math" w:hAnsi="Cambria Math" w:cs="Arial"/>
              </w:rPr>
              <m:t>,θ,σ</m:t>
            </m:r>
          </m:e>
        </m:d>
        <m:d>
          <m:dPr>
            <m:begChr m:val="["/>
            <m:endChr m:val="]"/>
            <m:ctrlPr>
              <w:rPr>
                <w:rFonts w:ascii="Cambria Math" w:hAnsi="Cambria Math" w:cs="Arial"/>
                <w:i/>
              </w:rPr>
            </m:ctrlPr>
          </m:dPr>
          <m:e>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e>
        </m:d>
        <m:d>
          <m:dPr>
            <m:begChr m:val="["/>
            <m:endChr m:val="]"/>
            <m:ctrlPr>
              <w:rPr>
                <w:rFonts w:ascii="Cambria Math" w:hAnsi="Cambria Math" w:cs="Arial"/>
                <w:i/>
              </w:rPr>
            </m:ctrlPr>
          </m:dPr>
          <m:e>
            <m:r>
              <w:rPr>
                <w:rFonts w:ascii="Cambria Math" w:hAnsi="Cambria Math" w:cs="Arial"/>
              </w:rPr>
              <m:t>θ</m:t>
            </m:r>
          </m:e>
        </m:d>
        <m:d>
          <m:dPr>
            <m:begChr m:val="["/>
            <m:endChr m:val="]"/>
            <m:ctrlPr>
              <w:rPr>
                <w:rFonts w:ascii="Cambria Math" w:hAnsi="Cambria Math" w:cs="Arial"/>
                <w:i/>
              </w:rPr>
            </m:ctrlPr>
          </m:dPr>
          <m:e>
            <m:r>
              <w:rPr>
                <w:rFonts w:ascii="Cambria Math" w:hAnsi="Cambria Math" w:cs="Arial"/>
              </w:rPr>
              <m:t>σ</m:t>
            </m:r>
          </m:e>
        </m:d>
      </m:oMath>
      <w:r>
        <w:rPr>
          <w:rFonts w:ascii="Arial" w:hAnsi="Arial" w:cs="Arial"/>
        </w:rPr>
        <w:t>).</w:t>
      </w:r>
    </w:p>
    <w:p w14:paraId="459B3EDA" w14:textId="45F0EF37" w:rsidR="0013260E" w:rsidRPr="00766583" w:rsidRDefault="00000000" w:rsidP="00766583">
      <w:pPr>
        <w:spacing w:line="480" w:lineRule="auto"/>
        <w:jc w:val="both"/>
        <w:rPr>
          <w:rFonts w:ascii="Arial" w:eastAsiaTheme="minorEastAsia" w:hAnsi="Arial" w:cs="Arial"/>
        </w:rPr>
      </w:pPr>
      <m:oMath>
        <m:d>
          <m:dPr>
            <m:begChr m:val="["/>
            <m:endChr m:val="]"/>
            <m:ctrlPr>
              <w:rPr>
                <w:rFonts w:ascii="Cambria Math" w:hAnsi="Cambria Math" w:cs="Arial"/>
                <w:i/>
              </w:rPr>
            </m:ctrlPr>
          </m:dPr>
          <m:e>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r>
              <w:rPr>
                <w:rFonts w:ascii="Cambria Math" w:hAnsi="Cambria Math" w:cs="Arial"/>
              </w:rPr>
              <m:t>|.</m:t>
            </m:r>
          </m:e>
        </m:d>
        <m:r>
          <w:rPr>
            <w:rFonts w:ascii="Cambria Math" w:hAnsi="Cambria Math" w:cs="Arial"/>
          </w:rPr>
          <m:t>∝</m:t>
        </m:r>
        <m:nary>
          <m:naryPr>
            <m:limLoc m:val="undOvr"/>
            <m:ctrlPr>
              <w:rPr>
                <w:rFonts w:ascii="Cambria Math" w:hAnsi="Cambria Math" w:cs="Arial"/>
                <w:i/>
              </w:rPr>
            </m:ctrlPr>
          </m:naryPr>
          <m:sub>
            <m:r>
              <w:rPr>
                <w:rFonts w:ascii="Cambria Math" w:hAnsi="Cambria Math" w:cs="Arial"/>
              </w:rPr>
              <m:t>0</m:t>
            </m:r>
          </m:sub>
          <m:sup>
            <m:r>
              <w:rPr>
                <w:rFonts w:ascii="Cambria Math" w:hAnsi="Cambria Math" w:cs="Arial"/>
              </w:rPr>
              <m:t>∞</m:t>
            </m:r>
          </m:sup>
          <m:e>
            <m:nary>
              <m:naryPr>
                <m:limLoc m:val="subSup"/>
                <m:ctrlPr>
                  <w:rPr>
                    <w:rFonts w:ascii="Cambria Math" w:hAnsi="Cambria Math" w:cs="Arial"/>
                    <w:i/>
                  </w:rPr>
                </m:ctrlPr>
              </m:naryPr>
              <m:sub>
                <m:r>
                  <w:rPr>
                    <w:rFonts w:ascii="Cambria Math" w:hAnsi="Cambria Math" w:cs="Arial"/>
                  </w:rPr>
                  <m:t>0</m:t>
                </m:r>
              </m:sub>
              <m:sup>
                <m:r>
                  <w:rPr>
                    <w:rFonts w:ascii="Cambria Math" w:hAnsi="Cambria Math" w:cs="Arial"/>
                  </w:rPr>
                  <m:t>1</m:t>
                </m:r>
              </m:sup>
              <m:e>
                <m:d>
                  <m:dPr>
                    <m:begChr m:val="["/>
                    <m:endChr m:val="]"/>
                    <m:ctrlPr>
                      <w:rPr>
                        <w:rFonts w:ascii="Cambria Math" w:hAnsi="Cambria Math" w:cs="Arial"/>
                        <w:i/>
                      </w:rPr>
                    </m:ctrlPr>
                  </m:dPr>
                  <m:e>
                    <m:r>
                      <w:rPr>
                        <w:rFonts w:ascii="Cambria Math" w:hAnsi="Cambria Math" w:cs="Arial"/>
                      </w:rPr>
                      <m:t>y|</m:t>
                    </m:r>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r>
                      <w:rPr>
                        <w:rFonts w:ascii="Cambria Math" w:hAnsi="Cambria Math" w:cs="Arial"/>
                      </w:rPr>
                      <m:t>, θ, σ</m:t>
                    </m:r>
                  </m:e>
                </m:d>
              </m:e>
            </m:nary>
          </m:e>
        </m:nary>
        <m:d>
          <m:dPr>
            <m:begChr m:val="["/>
            <m:endChr m:val="]"/>
            <m:ctrlPr>
              <w:rPr>
                <w:rFonts w:ascii="Cambria Math" w:hAnsi="Cambria Math" w:cs="Arial"/>
                <w:i/>
              </w:rPr>
            </m:ctrlPr>
          </m:dPr>
          <m:e>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e>
        </m:d>
        <m:d>
          <m:dPr>
            <m:begChr m:val="["/>
            <m:endChr m:val="]"/>
            <m:ctrlPr>
              <w:rPr>
                <w:rFonts w:ascii="Cambria Math" w:hAnsi="Cambria Math" w:cs="Arial"/>
                <w:i/>
              </w:rPr>
            </m:ctrlPr>
          </m:dPr>
          <m:e>
            <m:r>
              <w:rPr>
                <w:rFonts w:ascii="Cambria Math" w:hAnsi="Cambria Math" w:cs="Arial"/>
              </w:rPr>
              <m:t>θ</m:t>
            </m:r>
          </m:e>
        </m:d>
        <m:d>
          <m:dPr>
            <m:begChr m:val="["/>
            <m:endChr m:val="]"/>
            <m:ctrlPr>
              <w:rPr>
                <w:rFonts w:ascii="Cambria Math" w:hAnsi="Cambria Math" w:cs="Arial"/>
                <w:i/>
              </w:rPr>
            </m:ctrlPr>
          </m:dPr>
          <m:e>
            <m:r>
              <w:rPr>
                <w:rFonts w:ascii="Cambria Math" w:hAnsi="Cambria Math" w:cs="Arial"/>
              </w:rPr>
              <m:t>σ</m:t>
            </m:r>
          </m:e>
        </m:d>
        <m:r>
          <w:rPr>
            <w:rFonts w:ascii="Cambria Math" w:hAnsi="Cambria Math" w:cs="Arial"/>
          </w:rPr>
          <m:t xml:space="preserve"> dθdσ= </m:t>
        </m:r>
        <m:d>
          <m:dPr>
            <m:begChr m:val="["/>
            <m:endChr m:val="]"/>
            <m:ctrlPr>
              <w:rPr>
                <w:rFonts w:ascii="Cambria Math" w:hAnsi="Cambria Math" w:cs="Arial"/>
                <w:i/>
              </w:rPr>
            </m:ctrlPr>
          </m:dPr>
          <m:e>
            <m:r>
              <w:rPr>
                <w:rFonts w:ascii="Cambria Math" w:hAnsi="Cambria Math" w:cs="Arial"/>
              </w:rPr>
              <m:t>y|</m:t>
            </m:r>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r>
              <w:rPr>
                <w:rFonts w:ascii="Cambria Math" w:hAnsi="Cambria Math" w:cs="Arial"/>
              </w:rPr>
              <m:t>,θ,σ</m:t>
            </m:r>
          </m:e>
        </m:d>
        <m:d>
          <m:dPr>
            <m:begChr m:val="["/>
            <m:endChr m:val="]"/>
            <m:ctrlPr>
              <w:rPr>
                <w:rFonts w:ascii="Cambria Math" w:hAnsi="Cambria Math" w:cs="Arial"/>
                <w:i/>
              </w:rPr>
            </m:ctrlPr>
          </m:dPr>
          <m:e>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e>
        </m:d>
        <m:r>
          <w:rPr>
            <w:rFonts w:ascii="Cambria Math" w:hAnsi="Cambria Math" w:cs="Arial"/>
          </w:rPr>
          <m:t xml:space="preserve"> </m:t>
        </m:r>
      </m:oMath>
      <w:r w:rsidR="0013260E" w:rsidRPr="00766583">
        <w:rPr>
          <w:rFonts w:ascii="Arial" w:eastAsiaTheme="minorEastAsia" w:hAnsi="Arial" w:cs="Arial"/>
        </w:rPr>
        <w:t xml:space="preserve"> </w:t>
      </w:r>
    </w:p>
    <w:p w14:paraId="4A39CD4D" w14:textId="77777777" w:rsidR="00766583" w:rsidRPr="00766583" w:rsidRDefault="00000000" w:rsidP="00766583">
      <w:pPr>
        <w:spacing w:line="480" w:lineRule="auto"/>
        <w:jc w:val="both"/>
        <w:rPr>
          <w:rFonts w:ascii="Arial" w:eastAsiaTheme="minorEastAsia" w:hAnsi="Arial" w:cs="Arial"/>
        </w:rPr>
      </w:pPr>
      <m:oMath>
        <m:d>
          <m:dPr>
            <m:begChr m:val="["/>
            <m:endChr m:val="]"/>
            <m:ctrlPr>
              <w:rPr>
                <w:rFonts w:ascii="Cambria Math" w:hAnsi="Cambria Math" w:cs="Arial"/>
                <w:i/>
              </w:rPr>
            </m:ctrlPr>
          </m:dPr>
          <m:e>
            <m:r>
              <w:rPr>
                <w:rFonts w:ascii="Cambria Math" w:hAnsi="Cambria Math" w:cs="Arial"/>
              </w:rPr>
              <m:t>θ|.</m:t>
            </m:r>
          </m:e>
        </m:d>
        <m:r>
          <w:rPr>
            <w:rFonts w:ascii="Cambria Math" w:hAnsi="Cambria Math" w:cs="Arial"/>
          </w:rPr>
          <m:t>∝</m:t>
        </m:r>
        <m:nary>
          <m:naryPr>
            <m:limLoc m:val="undOvr"/>
            <m:ctrlPr>
              <w:rPr>
                <w:rFonts w:ascii="Cambria Math" w:hAnsi="Cambria Math" w:cs="Arial"/>
                <w:i/>
              </w:rPr>
            </m:ctrlPr>
          </m:naryPr>
          <m:sub>
            <m:r>
              <w:rPr>
                <w:rFonts w:ascii="Cambria Math" w:hAnsi="Cambria Math" w:cs="Arial"/>
              </w:rPr>
              <m:t>0</m:t>
            </m:r>
          </m:sub>
          <m:sup>
            <m:r>
              <w:rPr>
                <w:rFonts w:ascii="Cambria Math" w:hAnsi="Cambria Math" w:cs="Arial"/>
              </w:rPr>
              <m:t>∞</m:t>
            </m:r>
          </m:sup>
          <m:e>
            <m:nary>
              <m:naryPr>
                <m:limLoc m:val="subSup"/>
                <m:ctrlPr>
                  <w:rPr>
                    <w:rFonts w:ascii="Cambria Math" w:hAnsi="Cambria Math" w:cs="Arial"/>
                    <w:i/>
                  </w:rPr>
                </m:ctrlPr>
              </m:naryPr>
              <m:sub>
                <m:r>
                  <w:rPr>
                    <w:rFonts w:ascii="Cambria Math" w:hAnsi="Cambria Math" w:cs="Arial"/>
                  </w:rPr>
                  <m:t>0</m:t>
                </m:r>
              </m:sub>
              <m:sup>
                <m:r>
                  <w:rPr>
                    <w:rFonts w:ascii="Cambria Math" w:hAnsi="Cambria Math" w:cs="Arial"/>
                  </w:rPr>
                  <m:t>∞</m:t>
                </m:r>
              </m:sup>
              <m:e>
                <m:d>
                  <m:dPr>
                    <m:begChr m:val="["/>
                    <m:endChr m:val="]"/>
                    <m:ctrlPr>
                      <w:rPr>
                        <w:rFonts w:ascii="Cambria Math" w:hAnsi="Cambria Math" w:cs="Arial"/>
                        <w:i/>
                      </w:rPr>
                    </m:ctrlPr>
                  </m:dPr>
                  <m:e>
                    <m:r>
                      <w:rPr>
                        <w:rFonts w:ascii="Cambria Math" w:hAnsi="Cambria Math" w:cs="Arial"/>
                      </w:rPr>
                      <m:t>y|</m:t>
                    </m:r>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r>
                      <w:rPr>
                        <w:rFonts w:ascii="Cambria Math" w:hAnsi="Cambria Math" w:cs="Arial"/>
                      </w:rPr>
                      <m:t>, θ, σ</m:t>
                    </m:r>
                  </m:e>
                </m:d>
              </m:e>
            </m:nary>
          </m:e>
        </m:nary>
        <m:d>
          <m:dPr>
            <m:begChr m:val="["/>
            <m:endChr m:val="]"/>
            <m:ctrlPr>
              <w:rPr>
                <w:rFonts w:ascii="Cambria Math" w:hAnsi="Cambria Math" w:cs="Arial"/>
                <w:i/>
              </w:rPr>
            </m:ctrlPr>
          </m:dPr>
          <m:e>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e>
        </m:d>
        <m:d>
          <m:dPr>
            <m:begChr m:val="["/>
            <m:endChr m:val="]"/>
            <m:ctrlPr>
              <w:rPr>
                <w:rFonts w:ascii="Cambria Math" w:hAnsi="Cambria Math" w:cs="Arial"/>
                <w:i/>
              </w:rPr>
            </m:ctrlPr>
          </m:dPr>
          <m:e>
            <m:r>
              <w:rPr>
                <w:rFonts w:ascii="Cambria Math" w:hAnsi="Cambria Math" w:cs="Arial"/>
              </w:rPr>
              <m:t>θ</m:t>
            </m:r>
          </m:e>
        </m:d>
        <m:d>
          <m:dPr>
            <m:begChr m:val="["/>
            <m:endChr m:val="]"/>
            <m:ctrlPr>
              <w:rPr>
                <w:rFonts w:ascii="Cambria Math" w:hAnsi="Cambria Math" w:cs="Arial"/>
                <w:i/>
              </w:rPr>
            </m:ctrlPr>
          </m:dPr>
          <m:e>
            <m:r>
              <w:rPr>
                <w:rFonts w:ascii="Cambria Math" w:hAnsi="Cambria Math" w:cs="Arial"/>
              </w:rPr>
              <m:t>σ</m:t>
            </m:r>
          </m:e>
        </m:d>
        <m:r>
          <w:rPr>
            <w:rFonts w:ascii="Cambria Math" w:hAnsi="Cambria Math" w:cs="Arial"/>
          </w:rPr>
          <m:t xml:space="preserve"> d</m:t>
        </m:r>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r>
          <w:rPr>
            <w:rFonts w:ascii="Cambria Math" w:hAnsi="Cambria Math" w:cs="Arial"/>
          </w:rPr>
          <m:t xml:space="preserve">dσ= </m:t>
        </m:r>
        <m:d>
          <m:dPr>
            <m:begChr m:val="["/>
            <m:endChr m:val="]"/>
            <m:ctrlPr>
              <w:rPr>
                <w:rFonts w:ascii="Cambria Math" w:hAnsi="Cambria Math" w:cs="Arial"/>
                <w:i/>
              </w:rPr>
            </m:ctrlPr>
          </m:dPr>
          <m:e>
            <m:r>
              <w:rPr>
                <w:rFonts w:ascii="Cambria Math" w:hAnsi="Cambria Math" w:cs="Arial"/>
              </w:rPr>
              <m:t>y|</m:t>
            </m:r>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r>
              <w:rPr>
                <w:rFonts w:ascii="Cambria Math" w:hAnsi="Cambria Math" w:cs="Arial"/>
              </w:rPr>
              <m:t>,θ,σ</m:t>
            </m:r>
          </m:e>
        </m:d>
        <m:d>
          <m:dPr>
            <m:begChr m:val="["/>
            <m:endChr m:val="]"/>
            <m:ctrlPr>
              <w:rPr>
                <w:rFonts w:ascii="Cambria Math" w:hAnsi="Cambria Math" w:cs="Arial"/>
                <w:i/>
              </w:rPr>
            </m:ctrlPr>
          </m:dPr>
          <m:e>
            <m:r>
              <w:rPr>
                <w:rFonts w:ascii="Cambria Math" w:hAnsi="Cambria Math" w:cs="Arial"/>
              </w:rPr>
              <m:t>θ</m:t>
            </m:r>
          </m:e>
        </m:d>
        <m:r>
          <w:rPr>
            <w:rFonts w:ascii="Cambria Math" w:hAnsi="Cambria Math" w:cs="Arial"/>
          </w:rPr>
          <m:t xml:space="preserve"> </m:t>
        </m:r>
      </m:oMath>
      <w:r w:rsidR="00766583" w:rsidRPr="00766583">
        <w:rPr>
          <w:rFonts w:ascii="Arial" w:eastAsiaTheme="minorEastAsia" w:hAnsi="Arial" w:cs="Arial"/>
        </w:rPr>
        <w:t xml:space="preserve"> </w:t>
      </w:r>
    </w:p>
    <w:p w14:paraId="2685E881" w14:textId="7E4074C0" w:rsidR="00766583" w:rsidRDefault="00000000" w:rsidP="00766583">
      <w:pPr>
        <w:spacing w:line="480" w:lineRule="auto"/>
        <w:jc w:val="both"/>
        <w:rPr>
          <w:rFonts w:ascii="Arial" w:eastAsiaTheme="minorEastAsia" w:hAnsi="Arial" w:cs="Arial"/>
        </w:rPr>
      </w:pPr>
      <m:oMath>
        <m:d>
          <m:dPr>
            <m:begChr m:val="["/>
            <m:endChr m:val="]"/>
            <m:ctrlPr>
              <w:rPr>
                <w:rFonts w:ascii="Cambria Math" w:hAnsi="Cambria Math" w:cs="Arial"/>
                <w:i/>
              </w:rPr>
            </m:ctrlPr>
          </m:dPr>
          <m:e>
            <m:r>
              <w:rPr>
                <w:rFonts w:ascii="Cambria Math" w:hAnsi="Cambria Math" w:cs="Arial"/>
              </w:rPr>
              <m:t>σ|.</m:t>
            </m:r>
          </m:e>
        </m:d>
        <m:r>
          <w:rPr>
            <w:rFonts w:ascii="Cambria Math" w:hAnsi="Cambria Math" w:cs="Arial"/>
          </w:rPr>
          <m:t>∝</m:t>
        </m:r>
        <m:nary>
          <m:naryPr>
            <m:limLoc m:val="undOvr"/>
            <m:ctrlPr>
              <w:rPr>
                <w:rFonts w:ascii="Cambria Math" w:hAnsi="Cambria Math" w:cs="Arial"/>
                <w:i/>
              </w:rPr>
            </m:ctrlPr>
          </m:naryPr>
          <m:sub>
            <m:r>
              <w:rPr>
                <w:rFonts w:ascii="Cambria Math" w:hAnsi="Cambria Math" w:cs="Arial"/>
              </w:rPr>
              <m:t>0</m:t>
            </m:r>
          </m:sub>
          <m:sup>
            <m:r>
              <w:rPr>
                <w:rFonts w:ascii="Cambria Math" w:hAnsi="Cambria Math" w:cs="Arial"/>
              </w:rPr>
              <m:t>∞</m:t>
            </m:r>
          </m:sup>
          <m:e>
            <m:nary>
              <m:naryPr>
                <m:limLoc m:val="subSup"/>
                <m:ctrlPr>
                  <w:rPr>
                    <w:rFonts w:ascii="Cambria Math" w:hAnsi="Cambria Math" w:cs="Arial"/>
                    <w:i/>
                  </w:rPr>
                </m:ctrlPr>
              </m:naryPr>
              <m:sub>
                <m:r>
                  <w:rPr>
                    <w:rFonts w:ascii="Cambria Math" w:hAnsi="Cambria Math" w:cs="Arial"/>
                  </w:rPr>
                  <m:t>0</m:t>
                </m:r>
              </m:sub>
              <m:sup>
                <m:r>
                  <w:rPr>
                    <w:rFonts w:ascii="Cambria Math" w:hAnsi="Cambria Math" w:cs="Arial"/>
                  </w:rPr>
                  <m:t>1</m:t>
                </m:r>
              </m:sup>
              <m:e>
                <m:d>
                  <m:dPr>
                    <m:begChr m:val="["/>
                    <m:endChr m:val="]"/>
                    <m:ctrlPr>
                      <w:rPr>
                        <w:rFonts w:ascii="Cambria Math" w:hAnsi="Cambria Math" w:cs="Arial"/>
                        <w:i/>
                      </w:rPr>
                    </m:ctrlPr>
                  </m:dPr>
                  <m:e>
                    <m:r>
                      <w:rPr>
                        <w:rFonts w:ascii="Cambria Math" w:hAnsi="Cambria Math" w:cs="Arial"/>
                      </w:rPr>
                      <m:t>y|</m:t>
                    </m:r>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r>
                      <w:rPr>
                        <w:rFonts w:ascii="Cambria Math" w:hAnsi="Cambria Math" w:cs="Arial"/>
                      </w:rPr>
                      <m:t>, θ, σ</m:t>
                    </m:r>
                  </m:e>
                </m:d>
              </m:e>
            </m:nary>
          </m:e>
        </m:nary>
        <m:d>
          <m:dPr>
            <m:begChr m:val="["/>
            <m:endChr m:val="]"/>
            <m:ctrlPr>
              <w:rPr>
                <w:rFonts w:ascii="Cambria Math" w:hAnsi="Cambria Math" w:cs="Arial"/>
                <w:i/>
              </w:rPr>
            </m:ctrlPr>
          </m:dPr>
          <m:e>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e>
        </m:d>
        <m:d>
          <m:dPr>
            <m:begChr m:val="["/>
            <m:endChr m:val="]"/>
            <m:ctrlPr>
              <w:rPr>
                <w:rFonts w:ascii="Cambria Math" w:hAnsi="Cambria Math" w:cs="Arial"/>
                <w:i/>
              </w:rPr>
            </m:ctrlPr>
          </m:dPr>
          <m:e>
            <m:r>
              <w:rPr>
                <w:rFonts w:ascii="Cambria Math" w:hAnsi="Cambria Math" w:cs="Arial"/>
              </w:rPr>
              <m:t>θ</m:t>
            </m:r>
          </m:e>
        </m:d>
        <m:d>
          <m:dPr>
            <m:begChr m:val="["/>
            <m:endChr m:val="]"/>
            <m:ctrlPr>
              <w:rPr>
                <w:rFonts w:ascii="Cambria Math" w:hAnsi="Cambria Math" w:cs="Arial"/>
                <w:i/>
              </w:rPr>
            </m:ctrlPr>
          </m:dPr>
          <m:e>
            <m:r>
              <w:rPr>
                <w:rFonts w:ascii="Cambria Math" w:hAnsi="Cambria Math" w:cs="Arial"/>
              </w:rPr>
              <m:t>σ</m:t>
            </m:r>
          </m:e>
        </m:d>
        <m:r>
          <w:rPr>
            <w:rFonts w:ascii="Cambria Math" w:hAnsi="Cambria Math" w:cs="Arial"/>
          </w:rPr>
          <m:t xml:space="preserve"> dθd</m:t>
        </m:r>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r>
          <w:rPr>
            <w:rFonts w:ascii="Cambria Math" w:hAnsi="Cambria Math" w:cs="Arial"/>
          </w:rPr>
          <m:t xml:space="preserve">= </m:t>
        </m:r>
        <m:d>
          <m:dPr>
            <m:begChr m:val="["/>
            <m:endChr m:val="]"/>
            <m:ctrlPr>
              <w:rPr>
                <w:rFonts w:ascii="Cambria Math" w:hAnsi="Cambria Math" w:cs="Arial"/>
                <w:i/>
              </w:rPr>
            </m:ctrlPr>
          </m:dPr>
          <m:e>
            <m:r>
              <w:rPr>
                <w:rFonts w:ascii="Cambria Math" w:hAnsi="Cambria Math" w:cs="Arial"/>
              </w:rPr>
              <m:t>y|</m:t>
            </m:r>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r>
              <w:rPr>
                <w:rFonts w:ascii="Cambria Math" w:hAnsi="Cambria Math" w:cs="Arial"/>
              </w:rPr>
              <m:t>,θ,σ</m:t>
            </m:r>
          </m:e>
        </m:d>
        <m:d>
          <m:dPr>
            <m:begChr m:val="["/>
            <m:endChr m:val="]"/>
            <m:ctrlPr>
              <w:rPr>
                <w:rFonts w:ascii="Cambria Math" w:hAnsi="Cambria Math" w:cs="Arial"/>
                <w:i/>
              </w:rPr>
            </m:ctrlPr>
          </m:dPr>
          <m:e>
            <m:r>
              <w:rPr>
                <w:rFonts w:ascii="Cambria Math" w:hAnsi="Cambria Math" w:cs="Arial"/>
              </w:rPr>
              <m:t>σ</m:t>
            </m:r>
          </m:e>
        </m:d>
        <m:r>
          <w:rPr>
            <w:rFonts w:ascii="Cambria Math" w:hAnsi="Cambria Math" w:cs="Arial"/>
          </w:rPr>
          <m:t xml:space="preserve"> </m:t>
        </m:r>
      </m:oMath>
      <w:r w:rsidR="00766583" w:rsidRPr="00766583">
        <w:rPr>
          <w:rFonts w:ascii="Arial" w:eastAsiaTheme="minorEastAsia" w:hAnsi="Arial" w:cs="Arial"/>
        </w:rPr>
        <w:t xml:space="preserve"> </w:t>
      </w:r>
    </w:p>
    <w:p w14:paraId="335BA4D7" w14:textId="77777777" w:rsidR="007D6C05" w:rsidRDefault="007D6C05">
      <w:pPr>
        <w:rPr>
          <w:rFonts w:ascii="Arial" w:hAnsi="Arial" w:cs="Arial"/>
          <w:b/>
          <w:bCs/>
        </w:rPr>
      </w:pPr>
      <w:r>
        <w:rPr>
          <w:rFonts w:ascii="Arial" w:hAnsi="Arial" w:cs="Arial"/>
          <w:b/>
          <w:bCs/>
        </w:rPr>
        <w:br w:type="page"/>
      </w:r>
    </w:p>
    <w:p w14:paraId="19548620" w14:textId="3C3E0BE8" w:rsidR="000A06B6" w:rsidRDefault="00324D25" w:rsidP="00324D25">
      <w:pPr>
        <w:spacing w:line="480" w:lineRule="auto"/>
        <w:jc w:val="both"/>
        <w:rPr>
          <w:rFonts w:ascii="Arial" w:eastAsiaTheme="minorEastAsia" w:hAnsi="Arial" w:cs="Arial"/>
        </w:rPr>
      </w:pPr>
      <w:r w:rsidRPr="0012174B">
        <w:rPr>
          <w:rFonts w:ascii="Arial" w:hAnsi="Arial" w:cs="Arial"/>
          <w:b/>
          <w:bCs/>
        </w:rPr>
        <w:lastRenderedPageBreak/>
        <w:t xml:space="preserve">Supplementary Note </w:t>
      </w:r>
      <w:r w:rsidR="000A06B6">
        <w:rPr>
          <w:rFonts w:ascii="Arial" w:hAnsi="Arial" w:cs="Arial"/>
          <w:b/>
          <w:bCs/>
        </w:rPr>
        <w:t>2</w:t>
      </w:r>
      <w:r>
        <w:rPr>
          <w:rFonts w:ascii="Arial" w:eastAsiaTheme="minorEastAsia" w:hAnsi="Arial" w:cs="Arial"/>
        </w:rPr>
        <w:t xml:space="preserve"> </w:t>
      </w:r>
    </w:p>
    <w:p w14:paraId="658DBB44" w14:textId="3C6C1453" w:rsidR="00324D25" w:rsidRPr="000E2EE1" w:rsidRDefault="00324D25" w:rsidP="00324D25">
      <w:pPr>
        <w:spacing w:line="480" w:lineRule="auto"/>
        <w:jc w:val="both"/>
        <w:rPr>
          <w:rFonts w:ascii="Arial" w:hAnsi="Arial" w:cs="Arial"/>
        </w:rPr>
      </w:pPr>
      <w:r w:rsidRPr="00D358DD">
        <w:rPr>
          <w:rFonts w:ascii="Arial" w:eastAsiaTheme="minorEastAsia" w:hAnsi="Arial" w:cs="Arial"/>
        </w:rPr>
        <w:t>Probability Distributions: Moments and Moment Matching</w:t>
      </w:r>
    </w:p>
    <w:p w14:paraId="09560F6D" w14:textId="4A34EB6E" w:rsidR="00324D25" w:rsidRPr="00D358DD" w:rsidRDefault="00324D25" w:rsidP="00324D25">
      <w:pPr>
        <w:spacing w:line="480" w:lineRule="auto"/>
        <w:ind w:firstLine="360"/>
        <w:jc w:val="both"/>
        <w:rPr>
          <w:rFonts w:ascii="Arial" w:eastAsiaTheme="minorEastAsia" w:hAnsi="Arial" w:cs="Arial"/>
        </w:rPr>
      </w:pPr>
      <w:r w:rsidRPr="00D358DD">
        <w:rPr>
          <w:rFonts w:ascii="Arial" w:eastAsiaTheme="minorEastAsia" w:hAnsi="Arial" w:cs="Arial"/>
        </w:rPr>
        <w:t>Probability distributions can be specified and summarized using what is known as moments of the distribution (</w:t>
      </w:r>
      <w:r w:rsidRPr="00D358DD">
        <w:rPr>
          <w:rFonts w:ascii="Arial" w:eastAsiaTheme="minorEastAsia" w:hAnsi="Arial" w:cs="Arial"/>
          <w:b/>
          <w:bCs/>
        </w:rPr>
        <w:t>Table 1</w:t>
      </w:r>
      <w:r w:rsidRPr="00D358DD">
        <w:rPr>
          <w:rFonts w:ascii="Arial" w:eastAsiaTheme="minorEastAsia" w:hAnsi="Arial" w:cs="Arial"/>
        </w:rPr>
        <w:t>;</w:t>
      </w:r>
      <w:r w:rsidR="00664403">
        <w:rPr>
          <w:rFonts w:ascii="Arial" w:eastAsiaTheme="minorEastAsia" w:hAnsi="Arial" w:cs="Arial"/>
        </w:rPr>
        <w:t xml:space="preserve"> </w:t>
      </w:r>
      <w:r w:rsidR="00664403">
        <w:rPr>
          <w:rFonts w:ascii="Arial" w:eastAsiaTheme="minorEastAsia" w:hAnsi="Arial" w:cs="Arial"/>
        </w:rPr>
        <w:fldChar w:fldCharType="begin"/>
      </w:r>
      <w:r w:rsidR="00664403">
        <w:rPr>
          <w:rFonts w:ascii="Arial" w:eastAsiaTheme="minorEastAsia" w:hAnsi="Arial" w:cs="Arial"/>
        </w:rPr>
        <w:instrText xml:space="preserve"> ADDIN ZOTERO_ITEM CSL_CITATION {"citationID":"pXzZuWSB","properties":{"formattedCitation":"[1]","plainCitation":"[1]","noteIndex":0},"citationItems":[{"id":1018,"uris":["http://zotero.org/users/10374515/items/RU3MBBY5"],"itemData":{"id":1018,"type":"book","call-number":"QH541.15.S72 H63 2015","event-place":"Princeton, New Jersey","ISBN":"978-0-691-15928-7","language":"en","number-of-pages":"299","publisher":"Princeton University Press","publisher-place":"Princeton, New Jersey","source":"Library of Congress ISBN","title":"Bayesian models: a statistical primer for ecologists","title-short":"Bayesian models","author":[{"family":"Hobbs","given":"N. Thompson"},{"family":"Hooten","given":"Mevin B."}],"issued":{"date-parts":[["2015"]]}}}],"schema":"https://github.com/citation-style-language/schema/raw/master/csl-citation.json"} </w:instrText>
      </w:r>
      <w:r w:rsidR="00664403">
        <w:rPr>
          <w:rFonts w:ascii="Arial" w:eastAsiaTheme="minorEastAsia" w:hAnsi="Arial" w:cs="Arial"/>
        </w:rPr>
        <w:fldChar w:fldCharType="separate"/>
      </w:r>
      <w:r w:rsidR="00664403" w:rsidRPr="00664403">
        <w:rPr>
          <w:rFonts w:ascii="Arial" w:hAnsi="Arial" w:cs="Arial"/>
        </w:rPr>
        <w:t>[1]</w:t>
      </w:r>
      <w:r w:rsidR="00664403">
        <w:rPr>
          <w:rFonts w:ascii="Arial" w:eastAsiaTheme="minorEastAsia" w:hAnsi="Arial" w:cs="Arial"/>
        </w:rPr>
        <w:fldChar w:fldCharType="end"/>
      </w:r>
      <w:r w:rsidRPr="00D358DD">
        <w:rPr>
          <w:rFonts w:ascii="Arial" w:eastAsiaTheme="minorEastAsia" w:hAnsi="Arial" w:cs="Arial"/>
        </w:rPr>
        <w:t xml:space="preserve">). The first moment and the second central moment of a random variable are well known since they represent its expected value (mean) and variance, respectively. Therefore, the first moment summarizes the mean of the distribution of a random variable, while the second central moment provides an intuitive measure of the spread around the mean. These probability distributions are shaped by specific parameters that, usually, are functions of the first moment and the second central moment. Thus, it is usually not possible to directly use the mean and the variance to fully describe the distribution except in special cases. This presents a challenge when we seek to describe the knowledge of parameters such as </w:t>
      </w:r>
      <m:oMath>
        <m:r>
          <w:rPr>
            <w:rFonts w:ascii="Cambria Math" w:eastAsiaTheme="minorEastAsia" w:hAnsi="Cambria Math" w:cs="Arial"/>
          </w:rPr>
          <m:t>θ</m:t>
        </m:r>
      </m:oMath>
      <w:r w:rsidRPr="00D358DD">
        <w:rPr>
          <w:rFonts w:ascii="Arial" w:eastAsiaTheme="minorEastAsia" w:hAnsi="Arial" w:cs="Arial"/>
        </w:rPr>
        <w:t xml:space="preserve">, as we often think directly in terms of the mean and variance (or standard deviation) and not in terms of functions of these moments.   </w:t>
      </w:r>
    </w:p>
    <w:p w14:paraId="459A7568" w14:textId="664B89FC" w:rsidR="00324D25" w:rsidRPr="00D358DD" w:rsidRDefault="00324D25" w:rsidP="00324D25">
      <w:pPr>
        <w:spacing w:line="480" w:lineRule="auto"/>
        <w:ind w:firstLine="360"/>
        <w:jc w:val="both"/>
        <w:rPr>
          <w:rFonts w:ascii="Arial" w:eastAsiaTheme="minorEastAsia" w:hAnsi="Arial" w:cs="Arial"/>
        </w:rPr>
      </w:pPr>
      <w:r w:rsidRPr="00D358DD">
        <w:rPr>
          <w:rFonts w:ascii="Arial" w:eastAsiaTheme="minorEastAsia" w:hAnsi="Arial" w:cs="Arial"/>
        </w:rPr>
        <w:t xml:space="preserve">This challenge can be addressed through moment matching </w:t>
      </w:r>
      <w:r w:rsidRPr="00D358DD">
        <w:rPr>
          <w:rFonts w:ascii="Arial" w:eastAsiaTheme="minorEastAsia" w:hAnsi="Arial" w:cs="Arial"/>
        </w:rPr>
        <w:fldChar w:fldCharType="begin"/>
      </w:r>
      <w:r w:rsidR="00664403">
        <w:rPr>
          <w:rFonts w:ascii="Arial" w:eastAsiaTheme="minorEastAsia" w:hAnsi="Arial" w:cs="Arial"/>
        </w:rPr>
        <w:instrText xml:space="preserve"> ADDIN ZOTERO_ITEM CSL_CITATION {"citationID":"FU4Qqc1J","properties":{"formattedCitation":"[1]","plainCitation":"[1]","noteIndex":0},"citationItems":[{"id":1018,"uris":["http://zotero.org/users/10374515/items/RU3MBBY5"],"itemData":{"id":1018,"type":"book","call-number":"QH541.15.S72 H63 2015","event-place":"Princeton, New Jersey","ISBN":"978-0-691-15928-7","language":"en","number-of-pages":"299","publisher":"Princeton University Press","publisher-place":"Princeton, New Jersey","source":"Library of Congress ISBN","title":"Bayesian models: a statistical primer for ecologists","title-short":"Bayesian models","author":[{"family":"Hobbs","given":"N. Thompson"},{"family":"Hooten","given":"Mevin B."}],"issued":{"date-parts":[["2015"]]}}}],"schema":"https://github.com/citation-style-language/schema/raw/master/csl-citation.json"} </w:instrText>
      </w:r>
      <w:r w:rsidRPr="00D358DD">
        <w:rPr>
          <w:rFonts w:ascii="Arial" w:eastAsiaTheme="minorEastAsia" w:hAnsi="Arial" w:cs="Arial"/>
        </w:rPr>
        <w:fldChar w:fldCharType="separate"/>
      </w:r>
      <w:r w:rsidR="00664403" w:rsidRPr="00664403">
        <w:rPr>
          <w:rFonts w:ascii="Arial" w:hAnsi="Arial" w:cs="Arial"/>
        </w:rPr>
        <w:t>[1]</w:t>
      </w:r>
      <w:r w:rsidRPr="00D358DD">
        <w:rPr>
          <w:rFonts w:ascii="Arial" w:eastAsiaTheme="minorEastAsia" w:hAnsi="Arial" w:cs="Arial"/>
        </w:rPr>
        <w:fldChar w:fldCharType="end"/>
      </w:r>
      <w:r w:rsidRPr="00D358DD">
        <w:rPr>
          <w:rFonts w:ascii="Arial" w:eastAsiaTheme="minorEastAsia" w:hAnsi="Arial" w:cs="Arial"/>
        </w:rPr>
        <w:t xml:space="preserve">. The parameters of the distribution are functions of the mean and variance. For instance, the gamma distribution has two parameters called </w:t>
      </w:r>
      <m:oMath>
        <m:r>
          <w:rPr>
            <w:rFonts w:ascii="Cambria Math" w:eastAsiaTheme="minorEastAsia" w:hAnsi="Cambria Math" w:cs="Arial"/>
          </w:rPr>
          <m:t>α</m:t>
        </m:r>
      </m:oMath>
      <w:r w:rsidRPr="00D358DD">
        <w:rPr>
          <w:rFonts w:ascii="Arial" w:eastAsiaTheme="minorEastAsia" w:hAnsi="Arial" w:cs="Arial"/>
        </w:rPr>
        <w:t xml:space="preserve"> and </w:t>
      </w:r>
      <m:oMath>
        <m:r>
          <w:rPr>
            <w:rFonts w:ascii="Cambria Math" w:eastAsiaTheme="minorEastAsia" w:hAnsi="Cambria Math" w:cs="Arial"/>
          </w:rPr>
          <m:t>β</m:t>
        </m:r>
      </m:oMath>
      <w:r w:rsidRPr="00D358DD">
        <w:rPr>
          <w:rFonts w:ascii="Arial" w:eastAsiaTheme="minorEastAsia" w:hAnsi="Arial" w:cs="Arial"/>
        </w:rPr>
        <w:t xml:space="preserve"> (1.6 and 0.8 in Eq.9, respectively). These parameters can be written as </w:t>
      </w:r>
      <m:oMath>
        <m:r>
          <w:rPr>
            <w:rFonts w:ascii="Cambria Math" w:eastAsiaTheme="minorEastAsia" w:hAnsi="Cambria Math" w:cs="Arial"/>
          </w:rPr>
          <m:t xml:space="preserve">α= </m:t>
        </m:r>
        <m:f>
          <m:fPr>
            <m:ctrlPr>
              <w:rPr>
                <w:rFonts w:ascii="Cambria Math" w:eastAsiaTheme="minorEastAsia" w:hAnsi="Cambria Math" w:cs="Arial"/>
                <w:i/>
              </w:rPr>
            </m:ctrlPr>
          </m:fPr>
          <m:num>
            <m:sSup>
              <m:sSupPr>
                <m:ctrlPr>
                  <w:rPr>
                    <w:rFonts w:ascii="Cambria Math" w:eastAsiaTheme="minorEastAsia" w:hAnsi="Cambria Math" w:cs="Arial"/>
                    <w:i/>
                  </w:rPr>
                </m:ctrlPr>
              </m:sSupPr>
              <m:e>
                <m:r>
                  <w:rPr>
                    <w:rFonts w:ascii="Cambria Math" w:eastAsiaTheme="minorEastAsia" w:hAnsi="Cambria Math" w:cs="Arial"/>
                  </w:rPr>
                  <m:t>μ</m:t>
                </m:r>
              </m:e>
              <m:sup>
                <m:r>
                  <w:rPr>
                    <w:rFonts w:ascii="Cambria Math" w:eastAsiaTheme="minorEastAsia" w:hAnsi="Cambria Math" w:cs="Arial"/>
                  </w:rPr>
                  <m:t>2</m:t>
                </m:r>
              </m:sup>
            </m:sSup>
          </m:num>
          <m:den>
            <m:sSup>
              <m:sSupPr>
                <m:ctrlPr>
                  <w:rPr>
                    <w:rFonts w:ascii="Cambria Math" w:eastAsiaTheme="minorEastAsia" w:hAnsi="Cambria Math" w:cs="Arial"/>
                    <w:i/>
                  </w:rPr>
                </m:ctrlPr>
              </m:sSupPr>
              <m:e>
                <m:r>
                  <w:rPr>
                    <w:rFonts w:ascii="Cambria Math" w:eastAsiaTheme="minorEastAsia" w:hAnsi="Cambria Math" w:cs="Arial"/>
                  </w:rPr>
                  <m:t>σ</m:t>
                </m:r>
              </m:e>
              <m:sup>
                <m:r>
                  <w:rPr>
                    <w:rFonts w:ascii="Cambria Math" w:eastAsiaTheme="minorEastAsia" w:hAnsi="Cambria Math" w:cs="Arial"/>
                  </w:rPr>
                  <m:t>2</m:t>
                </m:r>
              </m:sup>
            </m:sSup>
          </m:den>
        </m:f>
      </m:oMath>
      <w:r w:rsidRPr="00D358DD">
        <w:rPr>
          <w:rFonts w:ascii="Arial" w:eastAsiaTheme="minorEastAsia" w:hAnsi="Arial" w:cs="Arial"/>
        </w:rPr>
        <w:t xml:space="preserve"> and </w:t>
      </w:r>
      <m:oMath>
        <m:r>
          <w:rPr>
            <w:rFonts w:ascii="Cambria Math" w:eastAsiaTheme="minorEastAsia" w:hAnsi="Cambria Math" w:cs="Arial"/>
          </w:rPr>
          <m:t>β=</m:t>
        </m:r>
        <m:f>
          <m:fPr>
            <m:ctrlPr>
              <w:rPr>
                <w:rFonts w:ascii="Cambria Math" w:eastAsiaTheme="minorEastAsia" w:hAnsi="Cambria Math" w:cs="Arial"/>
                <w:i/>
              </w:rPr>
            </m:ctrlPr>
          </m:fPr>
          <m:num>
            <m:r>
              <w:rPr>
                <w:rFonts w:ascii="Cambria Math" w:eastAsiaTheme="minorEastAsia" w:hAnsi="Cambria Math" w:cs="Arial"/>
              </w:rPr>
              <m:t>μ</m:t>
            </m:r>
          </m:num>
          <m:den>
            <m:sSup>
              <m:sSupPr>
                <m:ctrlPr>
                  <w:rPr>
                    <w:rFonts w:ascii="Cambria Math" w:eastAsiaTheme="minorEastAsia" w:hAnsi="Cambria Math" w:cs="Arial"/>
                    <w:i/>
                  </w:rPr>
                </m:ctrlPr>
              </m:sSupPr>
              <m:e>
                <m:r>
                  <w:rPr>
                    <w:rFonts w:ascii="Cambria Math" w:eastAsiaTheme="minorEastAsia" w:hAnsi="Cambria Math" w:cs="Arial"/>
                  </w:rPr>
                  <m:t>σ</m:t>
                </m:r>
              </m:e>
              <m:sup>
                <m:r>
                  <w:rPr>
                    <w:rFonts w:ascii="Cambria Math" w:eastAsiaTheme="minorEastAsia" w:hAnsi="Cambria Math" w:cs="Arial"/>
                  </w:rPr>
                  <m:t>2</m:t>
                </m:r>
              </m:sup>
            </m:sSup>
          </m:den>
        </m:f>
      </m:oMath>
      <w:r w:rsidRPr="00D358DD">
        <w:rPr>
          <w:rFonts w:ascii="Arial" w:eastAsiaTheme="minorEastAsia" w:hAnsi="Arial" w:cs="Arial"/>
        </w:rPr>
        <w:t xml:space="preserve">, where </w:t>
      </w:r>
      <m:oMath>
        <m:r>
          <w:rPr>
            <w:rFonts w:ascii="Cambria Math" w:eastAsiaTheme="minorEastAsia" w:hAnsi="Cambria Math" w:cs="Arial"/>
          </w:rPr>
          <m:t>μ</m:t>
        </m:r>
      </m:oMath>
      <w:r w:rsidRPr="00D358DD">
        <w:rPr>
          <w:rFonts w:ascii="Arial" w:eastAsiaTheme="minorEastAsia" w:hAnsi="Arial" w:cs="Arial"/>
        </w:rPr>
        <w:t xml:space="preserve"> and </w:t>
      </w:r>
      <m:oMath>
        <m:sSup>
          <m:sSupPr>
            <m:ctrlPr>
              <w:rPr>
                <w:rFonts w:ascii="Cambria Math" w:eastAsiaTheme="minorEastAsia" w:hAnsi="Cambria Math" w:cs="Arial"/>
                <w:i/>
              </w:rPr>
            </m:ctrlPr>
          </m:sSupPr>
          <m:e>
            <m:r>
              <w:rPr>
                <w:rFonts w:ascii="Cambria Math" w:eastAsiaTheme="minorEastAsia" w:hAnsi="Cambria Math" w:cs="Arial"/>
              </w:rPr>
              <m:t>σ</m:t>
            </m:r>
          </m:e>
          <m:sup>
            <m:r>
              <w:rPr>
                <w:rFonts w:ascii="Cambria Math" w:eastAsiaTheme="minorEastAsia" w:hAnsi="Cambria Math" w:cs="Arial"/>
              </w:rPr>
              <m:t>2</m:t>
            </m:r>
          </m:sup>
        </m:sSup>
      </m:oMath>
      <w:r w:rsidRPr="00D358DD">
        <w:rPr>
          <w:rFonts w:ascii="Arial" w:eastAsiaTheme="minorEastAsia" w:hAnsi="Arial" w:cs="Arial"/>
        </w:rPr>
        <w:t xml:space="preserve"> are the mean and the variance of the distribution, respectively. Therefore, it is possible to express these moments as a function of the parameters as </w:t>
      </w:r>
      <m:oMath>
        <m:r>
          <w:rPr>
            <w:rFonts w:ascii="Cambria Math" w:eastAsiaTheme="minorEastAsia" w:hAnsi="Cambria Math" w:cs="Arial"/>
          </w:rPr>
          <m:t xml:space="preserve">μ= </m:t>
        </m:r>
        <m:f>
          <m:fPr>
            <m:ctrlPr>
              <w:rPr>
                <w:rFonts w:ascii="Cambria Math" w:eastAsiaTheme="minorEastAsia" w:hAnsi="Cambria Math" w:cs="Arial"/>
                <w:i/>
              </w:rPr>
            </m:ctrlPr>
          </m:fPr>
          <m:num>
            <m:r>
              <w:rPr>
                <w:rFonts w:ascii="Cambria Math" w:eastAsiaTheme="minorEastAsia" w:hAnsi="Cambria Math" w:cs="Arial"/>
              </w:rPr>
              <m:t>α</m:t>
            </m:r>
          </m:num>
          <m:den>
            <m:r>
              <w:rPr>
                <w:rFonts w:ascii="Cambria Math" w:eastAsiaTheme="minorEastAsia" w:hAnsi="Cambria Math" w:cs="Arial"/>
              </w:rPr>
              <m:t>β</m:t>
            </m:r>
          </m:den>
        </m:f>
      </m:oMath>
      <w:r w:rsidRPr="00D358DD">
        <w:rPr>
          <w:rFonts w:ascii="Arial" w:eastAsiaTheme="minorEastAsia" w:hAnsi="Arial" w:cs="Arial"/>
        </w:rPr>
        <w:t xml:space="preserve"> and </w:t>
      </w:r>
      <m:oMath>
        <m:sSup>
          <m:sSupPr>
            <m:ctrlPr>
              <w:rPr>
                <w:rFonts w:ascii="Cambria Math" w:eastAsiaTheme="minorEastAsia" w:hAnsi="Cambria Math" w:cs="Arial"/>
                <w:i/>
              </w:rPr>
            </m:ctrlPr>
          </m:sSupPr>
          <m:e>
            <m:r>
              <w:rPr>
                <w:rFonts w:ascii="Cambria Math" w:eastAsiaTheme="minorEastAsia" w:hAnsi="Cambria Math" w:cs="Arial"/>
              </w:rPr>
              <m:t>σ</m:t>
            </m:r>
          </m:e>
          <m:sup>
            <m:r>
              <w:rPr>
                <w:rFonts w:ascii="Cambria Math" w:eastAsiaTheme="minorEastAsia" w:hAnsi="Cambria Math" w:cs="Arial"/>
              </w:rPr>
              <m:t>2</m:t>
            </m:r>
          </m:sup>
        </m:sSup>
        <m:r>
          <w:rPr>
            <w:rFonts w:ascii="Cambria Math" w:eastAsiaTheme="minorEastAsia" w:hAnsi="Cambria Math" w:cs="Arial"/>
          </w:rPr>
          <m:t xml:space="preserve">= </m:t>
        </m:r>
        <m:f>
          <m:fPr>
            <m:ctrlPr>
              <w:rPr>
                <w:rFonts w:ascii="Cambria Math" w:eastAsiaTheme="minorEastAsia" w:hAnsi="Cambria Math" w:cs="Arial"/>
                <w:i/>
              </w:rPr>
            </m:ctrlPr>
          </m:fPr>
          <m:num>
            <m:r>
              <w:rPr>
                <w:rFonts w:ascii="Cambria Math" w:eastAsiaTheme="minorEastAsia" w:hAnsi="Cambria Math" w:cs="Arial"/>
              </w:rPr>
              <m:t>α</m:t>
            </m:r>
          </m:num>
          <m:den>
            <m:sSup>
              <m:sSupPr>
                <m:ctrlPr>
                  <w:rPr>
                    <w:rFonts w:ascii="Cambria Math" w:eastAsiaTheme="minorEastAsia" w:hAnsi="Cambria Math" w:cs="Arial"/>
                    <w:i/>
                  </w:rPr>
                </m:ctrlPr>
              </m:sSupPr>
              <m:e>
                <m:r>
                  <w:rPr>
                    <w:rFonts w:ascii="Cambria Math" w:eastAsiaTheme="minorEastAsia" w:hAnsi="Cambria Math" w:cs="Arial"/>
                  </w:rPr>
                  <m:t>β</m:t>
                </m:r>
              </m:e>
              <m:sup>
                <m:r>
                  <w:rPr>
                    <w:rFonts w:ascii="Cambria Math" w:eastAsiaTheme="minorEastAsia" w:hAnsi="Cambria Math" w:cs="Arial"/>
                  </w:rPr>
                  <m:t>2</m:t>
                </m:r>
              </m:sup>
            </m:sSup>
          </m:den>
        </m:f>
      </m:oMath>
      <w:r w:rsidRPr="00D358DD">
        <w:rPr>
          <w:rFonts w:ascii="Arial" w:eastAsiaTheme="minorEastAsia" w:hAnsi="Arial" w:cs="Arial"/>
        </w:rPr>
        <w:t xml:space="preserve">. Then, once we know </w:t>
      </w:r>
      <m:oMath>
        <m:r>
          <w:rPr>
            <w:rFonts w:ascii="Cambria Math" w:eastAsiaTheme="minorEastAsia" w:hAnsi="Cambria Math" w:cs="Arial"/>
          </w:rPr>
          <m:t>μ</m:t>
        </m:r>
      </m:oMath>
      <w:r w:rsidRPr="00D358DD">
        <w:rPr>
          <w:rFonts w:ascii="Arial" w:eastAsiaTheme="minorEastAsia" w:hAnsi="Arial" w:cs="Arial"/>
        </w:rPr>
        <w:t xml:space="preserve"> and </w:t>
      </w:r>
      <m:oMath>
        <m:sSup>
          <m:sSupPr>
            <m:ctrlPr>
              <w:rPr>
                <w:rFonts w:ascii="Cambria Math" w:eastAsiaTheme="minorEastAsia" w:hAnsi="Cambria Math" w:cs="Arial"/>
                <w:i/>
              </w:rPr>
            </m:ctrlPr>
          </m:sSupPr>
          <m:e>
            <m:r>
              <w:rPr>
                <w:rFonts w:ascii="Cambria Math" w:eastAsiaTheme="minorEastAsia" w:hAnsi="Cambria Math" w:cs="Arial"/>
              </w:rPr>
              <m:t>σ</m:t>
            </m:r>
          </m:e>
          <m:sup>
            <m:r>
              <w:rPr>
                <w:rFonts w:ascii="Cambria Math" w:eastAsiaTheme="minorEastAsia" w:hAnsi="Cambria Math" w:cs="Arial"/>
              </w:rPr>
              <m:t>2</m:t>
            </m:r>
          </m:sup>
        </m:sSup>
      </m:oMath>
      <w:r w:rsidRPr="00D358DD">
        <w:rPr>
          <w:rFonts w:ascii="Arial" w:eastAsiaTheme="minorEastAsia" w:hAnsi="Arial" w:cs="Arial"/>
        </w:rPr>
        <w:t xml:space="preserve">, we can simultaneously solve for </w:t>
      </w:r>
      <m:oMath>
        <m:r>
          <w:rPr>
            <w:rFonts w:ascii="Cambria Math" w:eastAsiaTheme="minorEastAsia" w:hAnsi="Cambria Math" w:cs="Arial"/>
          </w:rPr>
          <m:t>α</m:t>
        </m:r>
      </m:oMath>
      <w:r w:rsidRPr="00D358DD">
        <w:rPr>
          <w:rFonts w:ascii="Arial" w:eastAsiaTheme="minorEastAsia" w:hAnsi="Arial" w:cs="Arial"/>
        </w:rPr>
        <w:t xml:space="preserve"> and </w:t>
      </w:r>
      <m:oMath>
        <m:r>
          <w:rPr>
            <w:rFonts w:ascii="Cambria Math" w:eastAsiaTheme="minorEastAsia" w:hAnsi="Cambria Math" w:cs="Arial"/>
          </w:rPr>
          <m:t>β</m:t>
        </m:r>
      </m:oMath>
      <w:r w:rsidRPr="00D358DD">
        <w:rPr>
          <w:rFonts w:ascii="Arial" w:eastAsiaTheme="minorEastAsia" w:hAnsi="Arial" w:cs="Arial"/>
        </w:rPr>
        <w:t xml:space="preserve"> in </w:t>
      </w:r>
      <m:oMath>
        <m:r>
          <w:rPr>
            <w:rFonts w:ascii="Cambria Math" w:eastAsiaTheme="minorEastAsia" w:hAnsi="Cambria Math" w:cs="Arial"/>
          </w:rPr>
          <m:t xml:space="preserve">μ= </m:t>
        </m:r>
        <m:f>
          <m:fPr>
            <m:ctrlPr>
              <w:rPr>
                <w:rFonts w:ascii="Cambria Math" w:eastAsiaTheme="minorEastAsia" w:hAnsi="Cambria Math" w:cs="Arial"/>
                <w:i/>
              </w:rPr>
            </m:ctrlPr>
          </m:fPr>
          <m:num>
            <m:r>
              <w:rPr>
                <w:rFonts w:ascii="Cambria Math" w:eastAsiaTheme="minorEastAsia" w:hAnsi="Cambria Math" w:cs="Arial"/>
              </w:rPr>
              <m:t>α</m:t>
            </m:r>
          </m:num>
          <m:den>
            <m:r>
              <w:rPr>
                <w:rFonts w:ascii="Cambria Math" w:eastAsiaTheme="minorEastAsia" w:hAnsi="Cambria Math" w:cs="Arial"/>
              </w:rPr>
              <m:t>β</m:t>
            </m:r>
          </m:den>
        </m:f>
      </m:oMath>
      <w:r w:rsidRPr="00D358DD">
        <w:rPr>
          <w:rFonts w:ascii="Arial" w:eastAsiaTheme="minorEastAsia" w:hAnsi="Arial" w:cs="Arial"/>
        </w:rPr>
        <w:t xml:space="preserve"> and </w:t>
      </w:r>
      <m:oMath>
        <m:sSup>
          <m:sSupPr>
            <m:ctrlPr>
              <w:rPr>
                <w:rFonts w:ascii="Cambria Math" w:eastAsiaTheme="minorEastAsia" w:hAnsi="Cambria Math" w:cs="Arial"/>
                <w:i/>
              </w:rPr>
            </m:ctrlPr>
          </m:sSupPr>
          <m:e>
            <m:r>
              <w:rPr>
                <w:rFonts w:ascii="Cambria Math" w:eastAsiaTheme="minorEastAsia" w:hAnsi="Cambria Math" w:cs="Arial"/>
              </w:rPr>
              <m:t>σ</m:t>
            </m:r>
          </m:e>
          <m:sup>
            <m:r>
              <w:rPr>
                <w:rFonts w:ascii="Cambria Math" w:eastAsiaTheme="minorEastAsia" w:hAnsi="Cambria Math" w:cs="Arial"/>
              </w:rPr>
              <m:t>2</m:t>
            </m:r>
          </m:sup>
        </m:sSup>
        <m:r>
          <w:rPr>
            <w:rFonts w:ascii="Cambria Math" w:eastAsiaTheme="minorEastAsia" w:hAnsi="Cambria Math" w:cs="Arial"/>
          </w:rPr>
          <m:t xml:space="preserve">= </m:t>
        </m:r>
        <m:f>
          <m:fPr>
            <m:ctrlPr>
              <w:rPr>
                <w:rFonts w:ascii="Cambria Math" w:eastAsiaTheme="minorEastAsia" w:hAnsi="Cambria Math" w:cs="Arial"/>
                <w:i/>
              </w:rPr>
            </m:ctrlPr>
          </m:fPr>
          <m:num>
            <m:r>
              <w:rPr>
                <w:rFonts w:ascii="Cambria Math" w:eastAsiaTheme="minorEastAsia" w:hAnsi="Cambria Math" w:cs="Arial"/>
              </w:rPr>
              <m:t>α</m:t>
            </m:r>
          </m:num>
          <m:den>
            <m:sSup>
              <m:sSupPr>
                <m:ctrlPr>
                  <w:rPr>
                    <w:rFonts w:ascii="Cambria Math" w:eastAsiaTheme="minorEastAsia" w:hAnsi="Cambria Math" w:cs="Arial"/>
                    <w:i/>
                  </w:rPr>
                </m:ctrlPr>
              </m:sSupPr>
              <m:e>
                <m:r>
                  <w:rPr>
                    <w:rFonts w:ascii="Cambria Math" w:eastAsiaTheme="minorEastAsia" w:hAnsi="Cambria Math" w:cs="Arial"/>
                  </w:rPr>
                  <m:t>β</m:t>
                </m:r>
              </m:e>
              <m:sup>
                <m:r>
                  <w:rPr>
                    <w:rFonts w:ascii="Cambria Math" w:eastAsiaTheme="minorEastAsia" w:hAnsi="Cambria Math" w:cs="Arial"/>
                  </w:rPr>
                  <m:t>2</m:t>
                </m:r>
              </m:sup>
            </m:sSup>
          </m:den>
        </m:f>
      </m:oMath>
      <w:r w:rsidRPr="00D358DD">
        <w:rPr>
          <w:rFonts w:ascii="Arial" w:eastAsiaTheme="minorEastAsia" w:hAnsi="Arial" w:cs="Arial"/>
        </w:rPr>
        <w:t xml:space="preserve"> to compute the values of</w:t>
      </w:r>
      <w:r w:rsidRPr="00D358DD">
        <w:rPr>
          <w:rFonts w:ascii="Cambria Math" w:eastAsiaTheme="minorEastAsia" w:hAnsi="Cambria Math" w:cs="Arial"/>
          <w:i/>
        </w:rPr>
        <w:t xml:space="preserve"> </w:t>
      </w:r>
      <m:oMath>
        <m:r>
          <w:rPr>
            <w:rFonts w:ascii="Cambria Math" w:eastAsiaTheme="minorEastAsia" w:hAnsi="Cambria Math" w:cs="Arial"/>
          </w:rPr>
          <m:t>α</m:t>
        </m:r>
      </m:oMath>
      <w:r w:rsidRPr="00D358DD">
        <w:rPr>
          <w:rFonts w:ascii="Arial" w:eastAsiaTheme="minorEastAsia" w:hAnsi="Arial" w:cs="Arial"/>
        </w:rPr>
        <w:t xml:space="preserve"> and </w:t>
      </w:r>
      <m:oMath>
        <m:r>
          <w:rPr>
            <w:rFonts w:ascii="Cambria Math" w:eastAsiaTheme="minorEastAsia" w:hAnsi="Cambria Math" w:cs="Arial"/>
          </w:rPr>
          <m:t>β</m:t>
        </m:r>
      </m:oMath>
      <w:r w:rsidRPr="00D358DD">
        <w:rPr>
          <w:rFonts w:ascii="Arial" w:eastAsiaTheme="minorEastAsia" w:hAnsi="Arial" w:cs="Arial"/>
        </w:rPr>
        <w:t xml:space="preserve"> that give the known </w:t>
      </w:r>
      <m:oMath>
        <m:r>
          <w:rPr>
            <w:rFonts w:ascii="Cambria Math" w:eastAsiaTheme="minorEastAsia" w:hAnsi="Cambria Math" w:cs="Arial"/>
          </w:rPr>
          <m:t>μ</m:t>
        </m:r>
      </m:oMath>
      <w:r w:rsidRPr="00D358DD">
        <w:rPr>
          <w:rFonts w:ascii="Arial" w:eastAsiaTheme="minorEastAsia" w:hAnsi="Arial" w:cs="Arial"/>
        </w:rPr>
        <w:t xml:space="preserve"> and </w:t>
      </w:r>
      <m:oMath>
        <m:sSup>
          <m:sSupPr>
            <m:ctrlPr>
              <w:rPr>
                <w:rFonts w:ascii="Cambria Math" w:eastAsiaTheme="minorEastAsia" w:hAnsi="Cambria Math" w:cs="Arial"/>
                <w:i/>
              </w:rPr>
            </m:ctrlPr>
          </m:sSupPr>
          <m:e>
            <m:r>
              <w:rPr>
                <w:rFonts w:ascii="Cambria Math" w:eastAsiaTheme="minorEastAsia" w:hAnsi="Cambria Math" w:cs="Arial"/>
              </w:rPr>
              <m:t>σ</m:t>
            </m:r>
          </m:e>
          <m:sup>
            <m:r>
              <w:rPr>
                <w:rFonts w:ascii="Cambria Math" w:eastAsiaTheme="minorEastAsia" w:hAnsi="Cambria Math" w:cs="Arial"/>
              </w:rPr>
              <m:t>2</m:t>
            </m:r>
          </m:sup>
        </m:sSup>
      </m:oMath>
      <w:r w:rsidRPr="00D358DD">
        <w:rPr>
          <w:rFonts w:ascii="Arial" w:eastAsiaTheme="minorEastAsia" w:hAnsi="Arial" w:cs="Arial"/>
        </w:rPr>
        <w:t xml:space="preserve">. This example illustrates that, via moment matching, it is possible to come up with the parameters of the distribution by initially knowing the mean and the variance of a random variable. </w:t>
      </w:r>
    </w:p>
    <w:p w14:paraId="648A36BB" w14:textId="77777777" w:rsidR="00766583" w:rsidRDefault="00766583" w:rsidP="00766583">
      <w:pPr>
        <w:spacing w:line="480" w:lineRule="auto"/>
        <w:jc w:val="both"/>
        <w:rPr>
          <w:rFonts w:ascii="Arial" w:eastAsiaTheme="minorEastAsia" w:hAnsi="Arial" w:cs="Arial"/>
        </w:rPr>
      </w:pPr>
    </w:p>
    <w:p w14:paraId="3F626A5F" w14:textId="4ED394AC" w:rsidR="00766583" w:rsidRDefault="00766583" w:rsidP="00766583">
      <w:pPr>
        <w:spacing w:line="480" w:lineRule="auto"/>
        <w:jc w:val="both"/>
        <w:rPr>
          <w:rFonts w:ascii="Arial" w:eastAsiaTheme="minorEastAsia" w:hAnsi="Arial" w:cs="Arial"/>
        </w:rPr>
      </w:pPr>
      <w:r w:rsidRPr="00766583">
        <w:rPr>
          <w:rFonts w:ascii="Arial" w:hAnsi="Arial" w:cs="Arial"/>
          <w:b/>
          <w:bCs/>
          <w:noProof/>
        </w:rPr>
        <w:lastRenderedPageBreak/>
        <w:drawing>
          <wp:anchor distT="0" distB="0" distL="114300" distR="114300" simplePos="0" relativeHeight="251658240" behindDoc="0" locked="0" layoutInCell="1" allowOverlap="1" wp14:anchorId="188D586A" wp14:editId="25FB702A">
            <wp:simplePos x="0" y="0"/>
            <wp:positionH relativeFrom="margin">
              <wp:align>right</wp:align>
            </wp:positionH>
            <wp:positionV relativeFrom="paragraph">
              <wp:posOffset>105410</wp:posOffset>
            </wp:positionV>
            <wp:extent cx="5943600" cy="3782060"/>
            <wp:effectExtent l="0" t="0" r="0" b="8890"/>
            <wp:wrapTopAndBottom/>
            <wp:docPr id="1432266748" name="Picture 1" descr="A group of graphs showing different types of dat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266748" name="Picture 1" descr="A group of graphs showing different types of data&#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3782060"/>
                    </a:xfrm>
                    <a:prstGeom prst="rect">
                      <a:avLst/>
                    </a:prstGeom>
                  </pic:spPr>
                </pic:pic>
              </a:graphicData>
            </a:graphic>
          </wp:anchor>
        </w:drawing>
      </w:r>
      <w:r w:rsidRPr="00766583">
        <w:rPr>
          <w:rFonts w:ascii="Arial" w:eastAsiaTheme="minorEastAsia" w:hAnsi="Arial" w:cs="Arial"/>
          <w:b/>
          <w:bCs/>
        </w:rPr>
        <w:t>Supplementary Figure 1</w:t>
      </w:r>
      <w:r>
        <w:rPr>
          <w:rFonts w:ascii="Arial" w:eastAsiaTheme="minorEastAsia" w:hAnsi="Arial" w:cs="Arial"/>
        </w:rPr>
        <w:t xml:space="preserve">. </w:t>
      </w:r>
      <w:r w:rsidRPr="00766583">
        <w:rPr>
          <w:rFonts w:ascii="Arial" w:eastAsiaTheme="minorEastAsia" w:hAnsi="Arial" w:cs="Arial"/>
        </w:rPr>
        <w:t xml:space="preserve">Prior probability distributions for </w:t>
      </w:r>
      <m:oMath>
        <m:sSub>
          <m:sSubPr>
            <m:ctrlPr>
              <w:rPr>
                <w:rFonts w:ascii="Cambria Math" w:eastAsiaTheme="minorEastAsia" w:hAnsi="Cambria Math" w:cs="Arial"/>
                <w:i/>
                <w:iCs/>
              </w:rPr>
            </m:ctrlPr>
          </m:sSubPr>
          <m:e>
            <m:r>
              <w:rPr>
                <w:rFonts w:ascii="Cambria Math" w:eastAsiaTheme="minorEastAsia" w:hAnsi="Cambria Math" w:cs="Arial"/>
              </w:rPr>
              <m:t>θ</m:t>
            </m:r>
          </m:e>
          <m:sub>
            <m:r>
              <w:rPr>
                <w:rFonts w:ascii="Cambria Math" w:eastAsiaTheme="minorEastAsia" w:hAnsi="Cambria Math" w:cs="Arial"/>
              </w:rPr>
              <m:t>PNB</m:t>
            </m:r>
          </m:sub>
        </m:sSub>
      </m:oMath>
      <w:r w:rsidRPr="00766583">
        <w:rPr>
          <w:rFonts w:ascii="Arial" w:eastAsiaTheme="minorEastAsia" w:hAnsi="Arial" w:cs="Arial"/>
        </w:rPr>
        <w:t xml:space="preserve"> (red) and </w:t>
      </w:r>
      <m:oMath>
        <m:sSub>
          <m:sSubPr>
            <m:ctrlPr>
              <w:rPr>
                <w:rFonts w:ascii="Cambria Math" w:eastAsiaTheme="minorEastAsia" w:hAnsi="Cambria Math" w:cs="Arial"/>
                <w:i/>
                <w:iCs/>
              </w:rPr>
            </m:ctrlPr>
          </m:sSubPr>
          <m:e>
            <m:r>
              <w:rPr>
                <w:rFonts w:ascii="Cambria Math" w:eastAsiaTheme="minorEastAsia" w:hAnsi="Cambria Math" w:cs="Arial"/>
              </w:rPr>
              <m:t>θ</m:t>
            </m:r>
          </m:e>
          <m:sub>
            <m:r>
              <w:rPr>
                <w:rFonts w:ascii="Cambria Math" w:eastAsiaTheme="minorEastAsia" w:hAnsi="Cambria Math" w:cs="Arial"/>
              </w:rPr>
              <m:t>TNB</m:t>
            </m:r>
          </m:sub>
        </m:sSub>
      </m:oMath>
      <w:r w:rsidRPr="00766583">
        <w:rPr>
          <w:rFonts w:ascii="Arial" w:eastAsiaTheme="minorEastAsia" w:hAnsi="Arial" w:cs="Arial"/>
        </w:rPr>
        <w:t xml:space="preserve"> (blue) for each legume species.</w:t>
      </w:r>
      <w:r>
        <w:rPr>
          <w:rFonts w:ascii="Arial" w:eastAsiaTheme="minorEastAsia" w:hAnsi="Arial" w:cs="Arial"/>
        </w:rPr>
        <w:t xml:space="preserve"> In both cases (</w:t>
      </w:r>
      <m:oMath>
        <m:sSub>
          <m:sSubPr>
            <m:ctrlPr>
              <w:rPr>
                <w:rFonts w:ascii="Cambria Math" w:eastAsiaTheme="minorEastAsia" w:hAnsi="Cambria Math" w:cs="Arial"/>
                <w:i/>
                <w:iCs/>
              </w:rPr>
            </m:ctrlPr>
          </m:sSubPr>
          <m:e>
            <m:r>
              <w:rPr>
                <w:rFonts w:ascii="Cambria Math" w:eastAsiaTheme="minorEastAsia" w:hAnsi="Cambria Math" w:cs="Arial"/>
              </w:rPr>
              <m:t>θ</m:t>
            </m:r>
          </m:e>
          <m:sub>
            <m:r>
              <w:rPr>
                <w:rFonts w:ascii="Cambria Math" w:eastAsiaTheme="minorEastAsia" w:hAnsi="Cambria Math" w:cs="Arial"/>
              </w:rPr>
              <m:t>PNB</m:t>
            </m:r>
          </m:sub>
        </m:sSub>
      </m:oMath>
      <w:r>
        <w:rPr>
          <w:rFonts w:ascii="Arial" w:eastAsiaTheme="minorEastAsia" w:hAnsi="Arial" w:cs="Arial"/>
        </w:rPr>
        <w:t xml:space="preserve"> </w:t>
      </w:r>
      <w:r w:rsidRPr="00766583">
        <w:rPr>
          <w:rFonts w:ascii="Arial" w:eastAsiaTheme="minorEastAsia" w:hAnsi="Arial" w:cs="Arial"/>
        </w:rPr>
        <w:t xml:space="preserve">and </w:t>
      </w:r>
      <m:oMath>
        <m:sSub>
          <m:sSubPr>
            <m:ctrlPr>
              <w:rPr>
                <w:rFonts w:ascii="Cambria Math" w:eastAsiaTheme="minorEastAsia" w:hAnsi="Cambria Math" w:cs="Arial"/>
                <w:i/>
                <w:iCs/>
              </w:rPr>
            </m:ctrlPr>
          </m:sSubPr>
          <m:e>
            <m:r>
              <w:rPr>
                <w:rFonts w:ascii="Cambria Math" w:eastAsiaTheme="minorEastAsia" w:hAnsi="Cambria Math" w:cs="Arial"/>
              </w:rPr>
              <m:t>θ</m:t>
            </m:r>
          </m:e>
          <m:sub>
            <m:r>
              <w:rPr>
                <w:rFonts w:ascii="Cambria Math" w:eastAsiaTheme="minorEastAsia" w:hAnsi="Cambria Math" w:cs="Arial"/>
              </w:rPr>
              <m:t>TNB</m:t>
            </m:r>
          </m:sub>
        </m:sSub>
      </m:oMath>
      <w:r>
        <w:rPr>
          <w:rFonts w:ascii="Arial" w:eastAsiaTheme="minorEastAsia" w:hAnsi="Arial" w:cs="Arial"/>
        </w:rPr>
        <w:t xml:space="preserve">) the prior probability distributions were beta distributions which were scaled to get values in the interval [0,100]. </w:t>
      </w:r>
    </w:p>
    <w:p w14:paraId="2D60730D" w14:textId="1A719F5E" w:rsidR="00766583" w:rsidRPr="00766583" w:rsidRDefault="00766583" w:rsidP="00766583">
      <w:pPr>
        <w:spacing w:line="480" w:lineRule="auto"/>
        <w:jc w:val="both"/>
        <w:rPr>
          <w:rFonts w:ascii="Arial" w:hAnsi="Arial" w:cs="Arial"/>
        </w:rPr>
      </w:pPr>
    </w:p>
    <w:p w14:paraId="055FCF6E" w14:textId="17524550" w:rsidR="0013260E" w:rsidRPr="00766583" w:rsidRDefault="0013260E" w:rsidP="00766583">
      <w:pPr>
        <w:spacing w:line="480" w:lineRule="auto"/>
        <w:jc w:val="both"/>
        <w:rPr>
          <w:rFonts w:ascii="Arial" w:hAnsi="Arial" w:cs="Arial"/>
        </w:rPr>
      </w:pPr>
      <w:r w:rsidRPr="00766583">
        <w:rPr>
          <w:rFonts w:ascii="Arial" w:eastAsiaTheme="minorEastAsia" w:hAnsi="Arial" w:cs="Arial"/>
        </w:rPr>
        <w:t xml:space="preserve"> </w:t>
      </w:r>
    </w:p>
    <w:p w14:paraId="545569FC" w14:textId="7FD15DBE" w:rsidR="007D6C05" w:rsidRDefault="007D6C05" w:rsidP="00766583">
      <w:pPr>
        <w:spacing w:line="480" w:lineRule="auto"/>
        <w:jc w:val="both"/>
        <w:rPr>
          <w:rFonts w:ascii="Arial" w:hAnsi="Arial" w:cs="Arial"/>
        </w:rPr>
      </w:pPr>
    </w:p>
    <w:p w14:paraId="1E063FFB" w14:textId="77777777" w:rsidR="007D6C05" w:rsidRDefault="007D6C05">
      <w:pPr>
        <w:rPr>
          <w:rFonts w:ascii="Arial" w:hAnsi="Arial" w:cs="Arial"/>
        </w:rPr>
      </w:pPr>
      <w:r>
        <w:rPr>
          <w:rFonts w:ascii="Arial" w:hAnsi="Arial" w:cs="Arial"/>
        </w:rPr>
        <w:br w:type="page"/>
      </w:r>
    </w:p>
    <w:p w14:paraId="16CADEC8" w14:textId="5A266E7F" w:rsidR="0013260E" w:rsidRPr="007D6C05" w:rsidRDefault="007D6C05" w:rsidP="00766583">
      <w:pPr>
        <w:spacing w:line="480" w:lineRule="auto"/>
        <w:jc w:val="both"/>
        <w:rPr>
          <w:rFonts w:ascii="Arial" w:hAnsi="Arial" w:cs="Arial"/>
          <w:b/>
          <w:bCs/>
        </w:rPr>
      </w:pPr>
      <w:r w:rsidRPr="007D6C05">
        <w:rPr>
          <w:rFonts w:ascii="Arial" w:hAnsi="Arial" w:cs="Arial"/>
          <w:b/>
          <w:bCs/>
        </w:rPr>
        <w:lastRenderedPageBreak/>
        <w:t>References</w:t>
      </w:r>
    </w:p>
    <w:p w14:paraId="19546B2D" w14:textId="77777777" w:rsidR="007D6C05" w:rsidRPr="007D6C05" w:rsidRDefault="007D6C05" w:rsidP="007D6C05">
      <w:pPr>
        <w:pStyle w:val="Bibliography"/>
        <w:spacing w:line="276" w:lineRule="auto"/>
        <w:jc w:val="both"/>
        <w:rPr>
          <w:rFonts w:ascii="Arial" w:hAnsi="Arial" w:cs="Arial"/>
        </w:rPr>
      </w:pPr>
      <w:r>
        <w:rPr>
          <w:rFonts w:ascii="Arial" w:hAnsi="Arial" w:cs="Arial"/>
        </w:rPr>
        <w:fldChar w:fldCharType="begin"/>
      </w:r>
      <w:r>
        <w:rPr>
          <w:rFonts w:ascii="Arial" w:hAnsi="Arial" w:cs="Arial"/>
        </w:rPr>
        <w:instrText xml:space="preserve"> ADDIN ZOTERO_BIBL {"uncited":[],"omitted":[],"custom":[]} CSL_BIBLIOGRAPHY </w:instrText>
      </w:r>
      <w:r>
        <w:rPr>
          <w:rFonts w:ascii="Arial" w:hAnsi="Arial" w:cs="Arial"/>
        </w:rPr>
        <w:fldChar w:fldCharType="separate"/>
      </w:r>
      <w:r w:rsidRPr="007D6C05">
        <w:rPr>
          <w:rFonts w:ascii="Arial" w:hAnsi="Arial" w:cs="Arial"/>
        </w:rPr>
        <w:t xml:space="preserve">1. Hobbs NT, Hooten MB. Bayesian models: a statistical primer for ecologists. Princeton, New Jersey: Princeton University Press; 2015. </w:t>
      </w:r>
    </w:p>
    <w:p w14:paraId="6AB1E1F0" w14:textId="62A11E77" w:rsidR="007D6C05" w:rsidRPr="00766583" w:rsidRDefault="007D6C05" w:rsidP="007D6C05">
      <w:pPr>
        <w:spacing w:line="276" w:lineRule="auto"/>
        <w:jc w:val="both"/>
        <w:rPr>
          <w:rFonts w:ascii="Arial" w:hAnsi="Arial" w:cs="Arial"/>
        </w:rPr>
      </w:pPr>
      <w:r>
        <w:rPr>
          <w:rFonts w:ascii="Arial" w:hAnsi="Arial" w:cs="Arial"/>
        </w:rPr>
        <w:fldChar w:fldCharType="end"/>
      </w:r>
    </w:p>
    <w:sectPr w:rsidR="007D6C05" w:rsidRPr="007665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60E"/>
    <w:rsid w:val="000A06B6"/>
    <w:rsid w:val="000E2EE1"/>
    <w:rsid w:val="0012174B"/>
    <w:rsid w:val="0013260E"/>
    <w:rsid w:val="001C6FD6"/>
    <w:rsid w:val="002464C1"/>
    <w:rsid w:val="00324D25"/>
    <w:rsid w:val="00664403"/>
    <w:rsid w:val="00766583"/>
    <w:rsid w:val="00781B20"/>
    <w:rsid w:val="007D6C05"/>
    <w:rsid w:val="00AA48EE"/>
    <w:rsid w:val="00B35BF1"/>
    <w:rsid w:val="00C26CE1"/>
    <w:rsid w:val="00CE4304"/>
    <w:rsid w:val="00DB5082"/>
    <w:rsid w:val="00E967A7"/>
    <w:rsid w:val="00ED0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28DDE"/>
  <w15:chartTrackingRefBased/>
  <w15:docId w15:val="{F32E852D-94E6-4B5C-BE67-D1E105E59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260E"/>
    <w:rPr>
      <w:color w:val="666666"/>
    </w:rPr>
  </w:style>
  <w:style w:type="paragraph" w:styleId="Revision">
    <w:name w:val="Revision"/>
    <w:hidden/>
    <w:uiPriority w:val="99"/>
    <w:semiHidden/>
    <w:rsid w:val="00324D25"/>
    <w:pPr>
      <w:spacing w:after="0" w:line="240" w:lineRule="auto"/>
    </w:pPr>
  </w:style>
  <w:style w:type="paragraph" w:styleId="Bibliography">
    <w:name w:val="Bibliography"/>
    <w:basedOn w:val="Normal"/>
    <w:next w:val="Normal"/>
    <w:uiPriority w:val="37"/>
    <w:unhideWhenUsed/>
    <w:rsid w:val="007D6C05"/>
    <w:pPr>
      <w:spacing w:after="2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711</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 Palmero</dc:creator>
  <cp:keywords/>
  <dc:description/>
  <cp:lastModifiedBy>Francisco Palmero</cp:lastModifiedBy>
  <cp:revision>7</cp:revision>
  <dcterms:created xsi:type="dcterms:W3CDTF">2023-12-24T14:52:00Z</dcterms:created>
  <dcterms:modified xsi:type="dcterms:W3CDTF">2024-06-11T01:09:00Z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id="jLlVMyVx"/&gt;&lt;style id="http://www.zotero.org/styles/plant-methods" hasBibliography="1" bibliographyStyleHasBeenSet="1"/&gt;&lt;prefs&gt;&lt;pref name="fieldType" value="Field"/&gt;&lt;/prefs&gt;&lt;/data&gt;</vt:lpwstr>
  </property>
</Properties>
</file>