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236B9" w14:textId="50738A9D" w:rsidR="00494090" w:rsidRPr="00E41F56" w:rsidRDefault="00494090" w:rsidP="00494090">
      <w:pPr>
        <w:spacing w:after="0" w:line="240" w:lineRule="auto"/>
        <w:jc w:val="both"/>
        <w:rPr>
          <w:b/>
          <w:bCs/>
        </w:rPr>
      </w:pPr>
      <w:r w:rsidRPr="00E41F56">
        <w:rPr>
          <w:b/>
          <w:bCs/>
        </w:rPr>
        <w:t xml:space="preserve">Two-fold Red Excess (TREx): A </w:t>
      </w:r>
      <w:r>
        <w:rPr>
          <w:b/>
          <w:bCs/>
        </w:rPr>
        <w:t>simple</w:t>
      </w:r>
      <w:r w:rsidRPr="00E41F56">
        <w:rPr>
          <w:b/>
          <w:bCs/>
        </w:rPr>
        <w:t xml:space="preserve"> and novel digital color index </w:t>
      </w:r>
      <w:r>
        <w:rPr>
          <w:b/>
          <w:bCs/>
        </w:rPr>
        <w:t xml:space="preserve">that enables non-invasive real-time </w:t>
      </w:r>
      <w:r w:rsidR="00973785">
        <w:rPr>
          <w:b/>
          <w:bCs/>
        </w:rPr>
        <w:t>monitoring</w:t>
      </w:r>
      <w:r>
        <w:rPr>
          <w:b/>
          <w:bCs/>
        </w:rPr>
        <w:t xml:space="preserve"> </w:t>
      </w:r>
      <w:r w:rsidRPr="00E41F56">
        <w:rPr>
          <w:b/>
          <w:bCs/>
        </w:rPr>
        <w:t>of green-leaved as well as anthocyanin-rich crops</w:t>
      </w:r>
    </w:p>
    <w:p w14:paraId="29DA2C8D" w14:textId="77777777" w:rsidR="00494090" w:rsidRPr="00494090" w:rsidRDefault="00494090" w:rsidP="00494090">
      <w:pPr>
        <w:spacing w:after="0" w:line="240" w:lineRule="auto"/>
        <w:jc w:val="both"/>
        <w:rPr>
          <w:spacing w:val="-4"/>
          <w:sz w:val="20"/>
          <w:szCs w:val="20"/>
        </w:rPr>
      </w:pPr>
      <w:r w:rsidRPr="00494090">
        <w:rPr>
          <w:spacing w:val="-4"/>
          <w:sz w:val="20"/>
          <w:szCs w:val="20"/>
        </w:rPr>
        <w:t>Avinash Agarwal</w:t>
      </w:r>
      <w:r w:rsidRPr="00494090">
        <w:rPr>
          <w:spacing w:val="-4"/>
          <w:sz w:val="20"/>
          <w:szCs w:val="20"/>
          <w:vertAlign w:val="superscript"/>
        </w:rPr>
        <w:t>1,4</w:t>
      </w:r>
      <w:r w:rsidRPr="00494090">
        <w:rPr>
          <w:spacing w:val="-4"/>
          <w:sz w:val="20"/>
          <w:szCs w:val="20"/>
        </w:rPr>
        <w:t>*, Filipe de Jesus Colwell</w:t>
      </w:r>
      <w:r w:rsidRPr="00494090">
        <w:rPr>
          <w:spacing w:val="-4"/>
          <w:sz w:val="20"/>
          <w:szCs w:val="20"/>
          <w:vertAlign w:val="superscript"/>
        </w:rPr>
        <w:t>2</w:t>
      </w:r>
      <w:r w:rsidRPr="00494090">
        <w:rPr>
          <w:spacing w:val="-4"/>
          <w:sz w:val="20"/>
          <w:szCs w:val="20"/>
        </w:rPr>
        <w:t>, Viviana Andrea Correa Galvis</w:t>
      </w:r>
      <w:r w:rsidRPr="00494090">
        <w:rPr>
          <w:spacing w:val="-4"/>
          <w:sz w:val="20"/>
          <w:szCs w:val="20"/>
          <w:vertAlign w:val="superscript"/>
        </w:rPr>
        <w:t>2</w:t>
      </w:r>
      <w:r w:rsidRPr="00494090">
        <w:rPr>
          <w:spacing w:val="-4"/>
          <w:sz w:val="20"/>
          <w:szCs w:val="20"/>
        </w:rPr>
        <w:t>, Tom R. Hill</w:t>
      </w:r>
      <w:r w:rsidRPr="00494090">
        <w:rPr>
          <w:spacing w:val="-4"/>
          <w:sz w:val="20"/>
          <w:szCs w:val="20"/>
          <w:vertAlign w:val="superscript"/>
        </w:rPr>
        <w:t>3</w:t>
      </w:r>
      <w:r w:rsidRPr="00494090">
        <w:rPr>
          <w:spacing w:val="-4"/>
          <w:sz w:val="20"/>
          <w:szCs w:val="20"/>
        </w:rPr>
        <w:t>, Neil Boonham</w:t>
      </w:r>
      <w:r w:rsidRPr="00494090">
        <w:rPr>
          <w:spacing w:val="-4"/>
          <w:sz w:val="20"/>
          <w:szCs w:val="20"/>
          <w:vertAlign w:val="superscript"/>
        </w:rPr>
        <w:t>1</w:t>
      </w:r>
      <w:r w:rsidRPr="00494090">
        <w:rPr>
          <w:spacing w:val="-4"/>
          <w:sz w:val="20"/>
          <w:szCs w:val="20"/>
        </w:rPr>
        <w:t>, Ankush Prashar</w:t>
      </w:r>
      <w:r w:rsidRPr="00494090">
        <w:rPr>
          <w:spacing w:val="-4"/>
          <w:sz w:val="20"/>
          <w:szCs w:val="20"/>
          <w:vertAlign w:val="superscript"/>
        </w:rPr>
        <w:t>1</w:t>
      </w:r>
      <w:r w:rsidRPr="00494090">
        <w:rPr>
          <w:spacing w:val="-4"/>
          <w:sz w:val="20"/>
          <w:szCs w:val="20"/>
        </w:rPr>
        <w:t>*</w:t>
      </w:r>
    </w:p>
    <w:p w14:paraId="31EBF2CB" w14:textId="77777777" w:rsidR="00494090" w:rsidRPr="00494090" w:rsidRDefault="00494090" w:rsidP="00494090">
      <w:pPr>
        <w:spacing w:after="0" w:line="240" w:lineRule="auto"/>
        <w:rPr>
          <w:i/>
          <w:iCs/>
          <w:sz w:val="18"/>
          <w:szCs w:val="18"/>
        </w:rPr>
      </w:pPr>
      <w:r w:rsidRPr="00494090">
        <w:rPr>
          <w:i/>
          <w:iCs/>
          <w:sz w:val="18"/>
          <w:szCs w:val="18"/>
          <w:vertAlign w:val="superscript"/>
        </w:rPr>
        <w:t>1</w:t>
      </w:r>
      <w:r w:rsidRPr="00494090">
        <w:rPr>
          <w:i/>
          <w:iCs/>
          <w:sz w:val="18"/>
          <w:szCs w:val="18"/>
        </w:rPr>
        <w:t>School of Natural and Environmental Sciences, Newcastle University, Newcastle upon Tyne, UK</w:t>
      </w:r>
    </w:p>
    <w:p w14:paraId="43CE19DB" w14:textId="77777777" w:rsidR="00494090" w:rsidRPr="00494090" w:rsidRDefault="00494090" w:rsidP="00494090">
      <w:pPr>
        <w:spacing w:after="0" w:line="240" w:lineRule="auto"/>
        <w:rPr>
          <w:i/>
          <w:iCs/>
          <w:sz w:val="18"/>
          <w:szCs w:val="18"/>
        </w:rPr>
      </w:pPr>
      <w:r w:rsidRPr="00494090">
        <w:rPr>
          <w:i/>
          <w:iCs/>
          <w:sz w:val="18"/>
          <w:szCs w:val="18"/>
          <w:vertAlign w:val="superscript"/>
        </w:rPr>
        <w:t>2</w:t>
      </w:r>
      <w:r w:rsidRPr="00494090">
        <w:rPr>
          <w:i/>
          <w:iCs/>
          <w:sz w:val="18"/>
          <w:szCs w:val="18"/>
        </w:rPr>
        <w:t>Crop Science R&amp;D Division, Infarm - Indoor Urban Farming B.V., Amsterdam, The Netherlands</w:t>
      </w:r>
    </w:p>
    <w:p w14:paraId="54C2C4AB" w14:textId="77777777" w:rsidR="00494090" w:rsidRPr="00494090" w:rsidRDefault="00494090" w:rsidP="00494090">
      <w:pPr>
        <w:spacing w:after="0" w:line="240" w:lineRule="auto"/>
        <w:rPr>
          <w:i/>
          <w:iCs/>
          <w:sz w:val="18"/>
          <w:szCs w:val="18"/>
        </w:rPr>
      </w:pPr>
      <w:r w:rsidRPr="00494090">
        <w:rPr>
          <w:i/>
          <w:iCs/>
          <w:sz w:val="18"/>
          <w:szCs w:val="18"/>
          <w:vertAlign w:val="superscript"/>
        </w:rPr>
        <w:t>3</w:t>
      </w:r>
      <w:r w:rsidRPr="00494090">
        <w:rPr>
          <w:i/>
          <w:iCs/>
          <w:sz w:val="18"/>
          <w:szCs w:val="18"/>
        </w:rPr>
        <w:t>Human Nutrition and Exercise Research Centre, Population Health Science Institute, Faculty of Medical Sciences, Newcastle University, Newcastle upon Tyne, UK</w:t>
      </w:r>
    </w:p>
    <w:p w14:paraId="4EFFB35B" w14:textId="77777777" w:rsidR="00494090" w:rsidRPr="00494090" w:rsidRDefault="00494090" w:rsidP="00494090">
      <w:pPr>
        <w:spacing w:line="240" w:lineRule="auto"/>
        <w:rPr>
          <w:i/>
          <w:iCs/>
          <w:sz w:val="18"/>
          <w:szCs w:val="18"/>
        </w:rPr>
      </w:pPr>
      <w:r w:rsidRPr="00494090">
        <w:rPr>
          <w:i/>
          <w:iCs/>
          <w:sz w:val="18"/>
          <w:szCs w:val="18"/>
          <w:vertAlign w:val="superscript"/>
        </w:rPr>
        <w:t>4</w:t>
      </w:r>
      <w:r w:rsidRPr="00494090">
        <w:rPr>
          <w:i/>
          <w:iCs/>
          <w:sz w:val="18"/>
          <w:szCs w:val="18"/>
        </w:rPr>
        <w:t>Institute of Bio- and Geosciences: Plant Sciences (IBG-2), Forschungszentrum Jülich GmbH, Jülich, Germany</w:t>
      </w:r>
    </w:p>
    <w:p w14:paraId="0CD97821" w14:textId="5717529F" w:rsidR="00157B1F" w:rsidRPr="008C03D2" w:rsidRDefault="00B61DFA" w:rsidP="00BC754D">
      <w:pPr>
        <w:rPr>
          <w:b/>
          <w:bCs/>
          <w:i/>
          <w:iCs/>
        </w:rPr>
      </w:pPr>
      <w:r w:rsidRPr="006C20AB">
        <w:rPr>
          <w:b/>
          <w:bCs/>
          <w:i/>
          <w:iCs/>
        </w:rPr>
        <w:t>SUPPLEMENTARY MATERIAL</w:t>
      </w:r>
    </w:p>
    <w:p w14:paraId="02DE3350" w14:textId="07EBEF96" w:rsidR="008C03D2" w:rsidRPr="008C03D2" w:rsidRDefault="00B61DFA" w:rsidP="008C03D2">
      <w:pPr>
        <w:rPr>
          <w:b/>
          <w:bCs/>
          <w:i/>
          <w:iCs/>
        </w:rPr>
      </w:pPr>
      <w:r w:rsidRPr="00B61DFA">
        <w:rPr>
          <w:b/>
          <w:bCs/>
          <w:i/>
          <w:iCs/>
        </w:rPr>
        <w:t>Supplementary figures</w:t>
      </w:r>
    </w:p>
    <w:p w14:paraId="2163409B" w14:textId="77777777" w:rsidR="008C03D2" w:rsidRDefault="008C03D2" w:rsidP="008C03D2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0DFA2E01" wp14:editId="2024F5C2">
            <wp:extent cx="6120000" cy="6099555"/>
            <wp:effectExtent l="0" t="0" r="0" b="0"/>
            <wp:docPr id="386685286" name="Picture 3" descr="A collage of graphs and diagr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685286" name="Picture 3" descr="A collage of graphs and diagram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6099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E32111" w14:textId="77777777" w:rsidR="008C03D2" w:rsidRDefault="008C03D2" w:rsidP="008C03D2">
      <w:pPr>
        <w:spacing w:after="0"/>
        <w:jc w:val="both"/>
        <w:rPr>
          <w:sz w:val="21"/>
          <w:szCs w:val="21"/>
        </w:rPr>
      </w:pPr>
      <w:r w:rsidRPr="00377871">
        <w:rPr>
          <w:b/>
          <w:bCs/>
          <w:sz w:val="21"/>
          <w:szCs w:val="21"/>
        </w:rPr>
        <w:t xml:space="preserve">Fig. </w:t>
      </w:r>
      <w:r>
        <w:rPr>
          <w:b/>
          <w:bCs/>
          <w:sz w:val="21"/>
          <w:szCs w:val="21"/>
        </w:rPr>
        <w:t>S1</w:t>
      </w:r>
      <w:r w:rsidRPr="00377871">
        <w:rPr>
          <w:sz w:val="21"/>
          <w:szCs w:val="21"/>
        </w:rPr>
        <w:t xml:space="preserve"> Plots of </w:t>
      </w:r>
      <w:r>
        <w:rPr>
          <w:sz w:val="21"/>
          <w:szCs w:val="21"/>
        </w:rPr>
        <w:t>anthocyanin/chlorophyll ratio (Anth/Chl)</w:t>
      </w:r>
      <w:r w:rsidRPr="00377871">
        <w:rPr>
          <w:sz w:val="21"/>
          <w:szCs w:val="21"/>
        </w:rPr>
        <w:t xml:space="preserve"> with different digital color features, i.e., </w:t>
      </w:r>
      <w:r>
        <w:rPr>
          <w:sz w:val="21"/>
          <w:szCs w:val="21"/>
        </w:rPr>
        <w:t>R</w:t>
      </w:r>
      <w:r w:rsidRPr="00377871">
        <w:rPr>
          <w:sz w:val="21"/>
          <w:szCs w:val="21"/>
        </w:rPr>
        <w:t xml:space="preserve">ed (R), </w:t>
      </w:r>
      <w:r>
        <w:rPr>
          <w:sz w:val="21"/>
          <w:szCs w:val="21"/>
        </w:rPr>
        <w:t>G</w:t>
      </w:r>
      <w:r w:rsidRPr="00377871">
        <w:rPr>
          <w:sz w:val="21"/>
          <w:szCs w:val="21"/>
        </w:rPr>
        <w:t xml:space="preserve">reen (G), </w:t>
      </w:r>
      <w:r>
        <w:rPr>
          <w:sz w:val="21"/>
          <w:szCs w:val="21"/>
        </w:rPr>
        <w:t>B</w:t>
      </w:r>
      <w:r w:rsidRPr="00377871">
        <w:rPr>
          <w:sz w:val="21"/>
          <w:szCs w:val="21"/>
        </w:rPr>
        <w:t>lue (B) (</w:t>
      </w:r>
      <w:r>
        <w:rPr>
          <w:sz w:val="21"/>
          <w:szCs w:val="21"/>
        </w:rPr>
        <w:t>a</w:t>
      </w:r>
      <w:r w:rsidRPr="00377871">
        <w:rPr>
          <w:rFonts w:cstheme="minorHAnsi"/>
          <w:sz w:val="21"/>
          <w:szCs w:val="21"/>
        </w:rPr>
        <w:t>–</w:t>
      </w:r>
      <w:r>
        <w:rPr>
          <w:rFonts w:cstheme="minorHAnsi"/>
          <w:sz w:val="21"/>
          <w:szCs w:val="21"/>
        </w:rPr>
        <w:t>c</w:t>
      </w:r>
      <w:r w:rsidRPr="00377871">
        <w:rPr>
          <w:sz w:val="21"/>
          <w:szCs w:val="21"/>
        </w:rPr>
        <w:t xml:space="preserve">), </w:t>
      </w:r>
      <w:r>
        <w:rPr>
          <w:sz w:val="21"/>
          <w:szCs w:val="21"/>
        </w:rPr>
        <w:t>H</w:t>
      </w:r>
      <w:r w:rsidRPr="00377871">
        <w:rPr>
          <w:sz w:val="21"/>
          <w:szCs w:val="21"/>
        </w:rPr>
        <w:t xml:space="preserve">ue (H), </w:t>
      </w:r>
      <w:r>
        <w:rPr>
          <w:sz w:val="21"/>
          <w:szCs w:val="21"/>
        </w:rPr>
        <w:t>S</w:t>
      </w:r>
      <w:r w:rsidRPr="00377871">
        <w:rPr>
          <w:sz w:val="21"/>
          <w:szCs w:val="21"/>
        </w:rPr>
        <w:t xml:space="preserve">aturation (S), </w:t>
      </w:r>
      <w:r>
        <w:rPr>
          <w:sz w:val="21"/>
          <w:szCs w:val="21"/>
        </w:rPr>
        <w:t>Value</w:t>
      </w:r>
      <w:r w:rsidRPr="00377871">
        <w:rPr>
          <w:sz w:val="21"/>
          <w:szCs w:val="21"/>
        </w:rPr>
        <w:t xml:space="preserve"> (</w:t>
      </w:r>
      <w:r>
        <w:rPr>
          <w:sz w:val="21"/>
          <w:szCs w:val="21"/>
        </w:rPr>
        <w:t>V</w:t>
      </w:r>
      <w:r w:rsidRPr="00377871">
        <w:rPr>
          <w:sz w:val="21"/>
          <w:szCs w:val="21"/>
        </w:rPr>
        <w:t>) (</w:t>
      </w:r>
      <w:r>
        <w:rPr>
          <w:sz w:val="21"/>
          <w:szCs w:val="21"/>
        </w:rPr>
        <w:t>d</w:t>
      </w:r>
      <w:r w:rsidRPr="00377871">
        <w:rPr>
          <w:rFonts w:cstheme="minorHAnsi"/>
          <w:sz w:val="21"/>
          <w:szCs w:val="21"/>
        </w:rPr>
        <w:t>–</w:t>
      </w:r>
      <w:r>
        <w:rPr>
          <w:rFonts w:cstheme="minorHAnsi"/>
          <w:sz w:val="21"/>
          <w:szCs w:val="21"/>
        </w:rPr>
        <w:t>f</w:t>
      </w:r>
      <w:r w:rsidRPr="00377871">
        <w:rPr>
          <w:sz w:val="21"/>
          <w:szCs w:val="21"/>
        </w:rPr>
        <w:t xml:space="preserve">), </w:t>
      </w:r>
      <w:r>
        <w:rPr>
          <w:sz w:val="21"/>
          <w:szCs w:val="21"/>
        </w:rPr>
        <w:t>L</w:t>
      </w:r>
      <w:r w:rsidRPr="00377871">
        <w:rPr>
          <w:sz w:val="21"/>
          <w:szCs w:val="21"/>
        </w:rPr>
        <w:t>ightness (</w:t>
      </w:r>
      <w:r w:rsidRPr="00377871">
        <w:rPr>
          <w:i/>
          <w:iCs/>
          <w:sz w:val="21"/>
          <w:szCs w:val="21"/>
        </w:rPr>
        <w:t>L*</w:t>
      </w:r>
      <w:r w:rsidRPr="00377871">
        <w:rPr>
          <w:sz w:val="21"/>
          <w:szCs w:val="21"/>
        </w:rPr>
        <w:t xml:space="preserve">), </w:t>
      </w:r>
      <w:r>
        <w:rPr>
          <w:sz w:val="21"/>
          <w:szCs w:val="21"/>
        </w:rPr>
        <w:t>R</w:t>
      </w:r>
      <w:r w:rsidRPr="00377871">
        <w:rPr>
          <w:sz w:val="21"/>
          <w:szCs w:val="21"/>
        </w:rPr>
        <w:t>edness-greenness (</w:t>
      </w:r>
      <w:r w:rsidRPr="00377871">
        <w:rPr>
          <w:i/>
          <w:iCs/>
          <w:sz w:val="21"/>
          <w:szCs w:val="21"/>
        </w:rPr>
        <w:t>a*</w:t>
      </w:r>
      <w:r w:rsidRPr="00377871">
        <w:rPr>
          <w:sz w:val="21"/>
          <w:szCs w:val="21"/>
        </w:rPr>
        <w:t xml:space="preserve">), </w:t>
      </w:r>
      <w:r>
        <w:rPr>
          <w:sz w:val="21"/>
          <w:szCs w:val="21"/>
        </w:rPr>
        <w:t>Y</w:t>
      </w:r>
      <w:r w:rsidRPr="00377871">
        <w:rPr>
          <w:sz w:val="21"/>
          <w:szCs w:val="21"/>
        </w:rPr>
        <w:t>ellowness-blueness (</w:t>
      </w:r>
      <w:r w:rsidRPr="00377871">
        <w:rPr>
          <w:i/>
          <w:iCs/>
          <w:sz w:val="21"/>
          <w:szCs w:val="21"/>
        </w:rPr>
        <w:t>b*</w:t>
      </w:r>
      <w:r w:rsidRPr="00377871">
        <w:rPr>
          <w:sz w:val="21"/>
          <w:szCs w:val="21"/>
        </w:rPr>
        <w:t>) (</w:t>
      </w:r>
      <w:r>
        <w:rPr>
          <w:sz w:val="21"/>
          <w:szCs w:val="21"/>
        </w:rPr>
        <w:t>g</w:t>
      </w:r>
      <w:r w:rsidRPr="00377871">
        <w:rPr>
          <w:rFonts w:cstheme="minorHAnsi"/>
          <w:sz w:val="21"/>
          <w:szCs w:val="21"/>
        </w:rPr>
        <w:t>–</w:t>
      </w:r>
      <w:r>
        <w:rPr>
          <w:sz w:val="21"/>
          <w:szCs w:val="21"/>
        </w:rPr>
        <w:t>i</w:t>
      </w:r>
      <w:r w:rsidRPr="00377871">
        <w:rPr>
          <w:sz w:val="21"/>
          <w:szCs w:val="21"/>
        </w:rPr>
        <w:t xml:space="preserve">), </w:t>
      </w:r>
      <w:r>
        <w:rPr>
          <w:sz w:val="21"/>
          <w:szCs w:val="21"/>
        </w:rPr>
        <w:t>normalized Red (</w:t>
      </w:r>
      <w:r w:rsidRPr="003F3864">
        <w:rPr>
          <w:i/>
          <w:iCs/>
          <w:sz w:val="21"/>
          <w:szCs w:val="21"/>
        </w:rPr>
        <w:t>r</w:t>
      </w:r>
      <w:r>
        <w:rPr>
          <w:sz w:val="21"/>
          <w:szCs w:val="21"/>
        </w:rPr>
        <w:t>), normalized Green (</w:t>
      </w:r>
      <w:r w:rsidRPr="003F3864">
        <w:rPr>
          <w:i/>
          <w:iCs/>
          <w:sz w:val="21"/>
          <w:szCs w:val="21"/>
        </w:rPr>
        <w:t>g</w:t>
      </w:r>
      <w:r>
        <w:rPr>
          <w:sz w:val="21"/>
          <w:szCs w:val="21"/>
        </w:rPr>
        <w:t>), and normalized Blue (</w:t>
      </w:r>
      <w:r w:rsidRPr="003F3864">
        <w:rPr>
          <w:i/>
          <w:iCs/>
          <w:sz w:val="21"/>
          <w:szCs w:val="21"/>
        </w:rPr>
        <w:t>b</w:t>
      </w:r>
      <w:r>
        <w:rPr>
          <w:sz w:val="21"/>
          <w:szCs w:val="21"/>
        </w:rPr>
        <w:t>) (j</w:t>
      </w:r>
      <w:r w:rsidRPr="00377871">
        <w:rPr>
          <w:rFonts w:cstheme="minorHAnsi"/>
          <w:sz w:val="21"/>
          <w:szCs w:val="21"/>
        </w:rPr>
        <w:t>–</w:t>
      </w:r>
      <w:r>
        <w:rPr>
          <w:rFonts w:cstheme="minorHAnsi"/>
          <w:sz w:val="21"/>
          <w:szCs w:val="21"/>
        </w:rPr>
        <w:t>l</w:t>
      </w:r>
      <w:r>
        <w:rPr>
          <w:sz w:val="21"/>
          <w:szCs w:val="21"/>
        </w:rPr>
        <w:t xml:space="preserve">), </w:t>
      </w:r>
      <w:r w:rsidRPr="00377871">
        <w:rPr>
          <w:sz w:val="21"/>
          <w:szCs w:val="21"/>
        </w:rPr>
        <w:t>for leaves with different levels of anthocyanin content</w:t>
      </w:r>
      <w:r>
        <w:rPr>
          <w:sz w:val="21"/>
          <w:szCs w:val="21"/>
        </w:rPr>
        <w:t>. Coefficients of determination (</w:t>
      </w:r>
      <w:r w:rsidRPr="00377871">
        <w:rPr>
          <w:i/>
          <w:iCs/>
          <w:sz w:val="21"/>
          <w:szCs w:val="21"/>
        </w:rPr>
        <w:t>R</w:t>
      </w:r>
      <w:r w:rsidRPr="00377871">
        <w:rPr>
          <w:i/>
          <w:iCs/>
          <w:sz w:val="21"/>
          <w:szCs w:val="21"/>
          <w:vertAlign w:val="superscript"/>
        </w:rPr>
        <w:t>2</w:t>
      </w:r>
      <w:r>
        <w:rPr>
          <w:sz w:val="21"/>
          <w:szCs w:val="21"/>
        </w:rPr>
        <w:t>)</w:t>
      </w:r>
      <w:r w:rsidRPr="00377871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and equations have been presented for the best-fit curve </w:t>
      </w:r>
      <w:r w:rsidRPr="00377871">
        <w:rPr>
          <w:sz w:val="21"/>
          <w:szCs w:val="21"/>
        </w:rPr>
        <w:t>(</w:t>
      </w:r>
      <w:r w:rsidRPr="00377871">
        <w:rPr>
          <w:i/>
          <w:iCs/>
          <w:sz w:val="21"/>
          <w:szCs w:val="21"/>
        </w:rPr>
        <w:t>n</w:t>
      </w:r>
      <w:r w:rsidRPr="00377871">
        <w:rPr>
          <w:sz w:val="21"/>
          <w:szCs w:val="21"/>
        </w:rPr>
        <w:t xml:space="preserve"> = 320).</w:t>
      </w:r>
    </w:p>
    <w:p w14:paraId="610A8962" w14:textId="0152FDE6" w:rsidR="00377871" w:rsidRDefault="00D036E2" w:rsidP="008C03D2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4F6D065B" wp14:editId="4D9D21C2">
            <wp:extent cx="6120000" cy="6108404"/>
            <wp:effectExtent l="0" t="0" r="0" b="6985"/>
            <wp:docPr id="15675101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6108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7A0FEE" w14:textId="1ABD3399" w:rsidR="00377871" w:rsidRDefault="00377871" w:rsidP="00C85D23">
      <w:pPr>
        <w:jc w:val="both"/>
        <w:rPr>
          <w:sz w:val="21"/>
          <w:szCs w:val="21"/>
        </w:rPr>
      </w:pPr>
      <w:r w:rsidRPr="00377871">
        <w:rPr>
          <w:b/>
          <w:bCs/>
          <w:sz w:val="21"/>
          <w:szCs w:val="21"/>
        </w:rPr>
        <w:t xml:space="preserve">Fig. </w:t>
      </w:r>
      <w:r w:rsidR="00246E7A">
        <w:rPr>
          <w:b/>
          <w:bCs/>
          <w:sz w:val="21"/>
          <w:szCs w:val="21"/>
        </w:rPr>
        <w:t>S</w:t>
      </w:r>
      <w:r w:rsidR="008C03D2">
        <w:rPr>
          <w:b/>
          <w:bCs/>
          <w:sz w:val="21"/>
          <w:szCs w:val="21"/>
        </w:rPr>
        <w:t>2</w:t>
      </w:r>
      <w:r w:rsidRPr="00377871">
        <w:rPr>
          <w:sz w:val="21"/>
          <w:szCs w:val="21"/>
        </w:rPr>
        <w:t xml:space="preserve"> Plots of SPAD measurements with different digital color features, i.e., </w:t>
      </w:r>
      <w:r w:rsidR="00C01D65">
        <w:rPr>
          <w:sz w:val="21"/>
          <w:szCs w:val="21"/>
        </w:rPr>
        <w:t>R</w:t>
      </w:r>
      <w:r w:rsidRPr="00377871">
        <w:rPr>
          <w:sz w:val="21"/>
          <w:szCs w:val="21"/>
        </w:rPr>
        <w:t xml:space="preserve">ed (R), </w:t>
      </w:r>
      <w:r w:rsidR="00C01D65">
        <w:rPr>
          <w:sz w:val="21"/>
          <w:szCs w:val="21"/>
        </w:rPr>
        <w:t>G</w:t>
      </w:r>
      <w:r w:rsidRPr="00377871">
        <w:rPr>
          <w:sz w:val="21"/>
          <w:szCs w:val="21"/>
        </w:rPr>
        <w:t xml:space="preserve">reen (G), </w:t>
      </w:r>
      <w:r w:rsidR="00C01D65">
        <w:rPr>
          <w:sz w:val="21"/>
          <w:szCs w:val="21"/>
        </w:rPr>
        <w:t>B</w:t>
      </w:r>
      <w:r w:rsidRPr="00377871">
        <w:rPr>
          <w:sz w:val="21"/>
          <w:szCs w:val="21"/>
        </w:rPr>
        <w:t>lue (B) (</w:t>
      </w:r>
      <w:r>
        <w:rPr>
          <w:sz w:val="21"/>
          <w:szCs w:val="21"/>
        </w:rPr>
        <w:t>a</w:t>
      </w:r>
      <w:r w:rsidRPr="00377871">
        <w:rPr>
          <w:rFonts w:cstheme="minorHAnsi"/>
          <w:sz w:val="21"/>
          <w:szCs w:val="21"/>
        </w:rPr>
        <w:t>–</w:t>
      </w:r>
      <w:r>
        <w:rPr>
          <w:rFonts w:cstheme="minorHAnsi"/>
          <w:sz w:val="21"/>
          <w:szCs w:val="21"/>
        </w:rPr>
        <w:t>c</w:t>
      </w:r>
      <w:r w:rsidRPr="00377871">
        <w:rPr>
          <w:sz w:val="21"/>
          <w:szCs w:val="21"/>
        </w:rPr>
        <w:t xml:space="preserve">), </w:t>
      </w:r>
      <w:r w:rsidR="00C01D65">
        <w:rPr>
          <w:sz w:val="21"/>
          <w:szCs w:val="21"/>
        </w:rPr>
        <w:t>H</w:t>
      </w:r>
      <w:r w:rsidRPr="00377871">
        <w:rPr>
          <w:sz w:val="21"/>
          <w:szCs w:val="21"/>
        </w:rPr>
        <w:t xml:space="preserve">ue (H), </w:t>
      </w:r>
      <w:r w:rsidR="00C01D65">
        <w:rPr>
          <w:sz w:val="21"/>
          <w:szCs w:val="21"/>
        </w:rPr>
        <w:t>S</w:t>
      </w:r>
      <w:r w:rsidRPr="00377871">
        <w:rPr>
          <w:sz w:val="21"/>
          <w:szCs w:val="21"/>
        </w:rPr>
        <w:t xml:space="preserve">aturation (S), </w:t>
      </w:r>
      <w:r w:rsidR="00C01D65">
        <w:rPr>
          <w:sz w:val="21"/>
          <w:szCs w:val="21"/>
        </w:rPr>
        <w:t>Value</w:t>
      </w:r>
      <w:r w:rsidRPr="00377871">
        <w:rPr>
          <w:sz w:val="21"/>
          <w:szCs w:val="21"/>
        </w:rPr>
        <w:t xml:space="preserve"> (</w:t>
      </w:r>
      <w:r w:rsidR="00C01D65">
        <w:rPr>
          <w:sz w:val="21"/>
          <w:szCs w:val="21"/>
        </w:rPr>
        <w:t>V</w:t>
      </w:r>
      <w:r w:rsidRPr="00377871">
        <w:rPr>
          <w:sz w:val="21"/>
          <w:szCs w:val="21"/>
        </w:rPr>
        <w:t>) (</w:t>
      </w:r>
      <w:r>
        <w:rPr>
          <w:sz w:val="21"/>
          <w:szCs w:val="21"/>
        </w:rPr>
        <w:t>d</w:t>
      </w:r>
      <w:r w:rsidRPr="00377871">
        <w:rPr>
          <w:rFonts w:cstheme="minorHAnsi"/>
          <w:sz w:val="21"/>
          <w:szCs w:val="21"/>
        </w:rPr>
        <w:t>–</w:t>
      </w:r>
      <w:r>
        <w:rPr>
          <w:rFonts w:cstheme="minorHAnsi"/>
          <w:sz w:val="21"/>
          <w:szCs w:val="21"/>
        </w:rPr>
        <w:t>f</w:t>
      </w:r>
      <w:r w:rsidRPr="00377871">
        <w:rPr>
          <w:sz w:val="21"/>
          <w:szCs w:val="21"/>
        </w:rPr>
        <w:t xml:space="preserve">), </w:t>
      </w:r>
      <w:r w:rsidR="00C01D65">
        <w:rPr>
          <w:sz w:val="21"/>
          <w:szCs w:val="21"/>
        </w:rPr>
        <w:t>L</w:t>
      </w:r>
      <w:r w:rsidRPr="00377871">
        <w:rPr>
          <w:sz w:val="21"/>
          <w:szCs w:val="21"/>
        </w:rPr>
        <w:t>ightness (</w:t>
      </w:r>
      <w:r w:rsidRPr="00377871">
        <w:rPr>
          <w:i/>
          <w:iCs/>
          <w:sz w:val="21"/>
          <w:szCs w:val="21"/>
        </w:rPr>
        <w:t>L*</w:t>
      </w:r>
      <w:r w:rsidRPr="00377871">
        <w:rPr>
          <w:sz w:val="21"/>
          <w:szCs w:val="21"/>
        </w:rPr>
        <w:t xml:space="preserve">), </w:t>
      </w:r>
      <w:r w:rsidR="00C01D65">
        <w:rPr>
          <w:sz w:val="21"/>
          <w:szCs w:val="21"/>
        </w:rPr>
        <w:t>R</w:t>
      </w:r>
      <w:r w:rsidRPr="00377871">
        <w:rPr>
          <w:sz w:val="21"/>
          <w:szCs w:val="21"/>
        </w:rPr>
        <w:t>edness-greenness (</w:t>
      </w:r>
      <w:r w:rsidRPr="00377871">
        <w:rPr>
          <w:i/>
          <w:iCs/>
          <w:sz w:val="21"/>
          <w:szCs w:val="21"/>
        </w:rPr>
        <w:t>a*</w:t>
      </w:r>
      <w:r w:rsidRPr="00377871">
        <w:rPr>
          <w:sz w:val="21"/>
          <w:szCs w:val="21"/>
        </w:rPr>
        <w:t xml:space="preserve">), </w:t>
      </w:r>
      <w:r w:rsidR="00C01D65">
        <w:rPr>
          <w:sz w:val="21"/>
          <w:szCs w:val="21"/>
        </w:rPr>
        <w:t>Y</w:t>
      </w:r>
      <w:r w:rsidRPr="00377871">
        <w:rPr>
          <w:sz w:val="21"/>
          <w:szCs w:val="21"/>
        </w:rPr>
        <w:t>ellowness-blueness (</w:t>
      </w:r>
      <w:r w:rsidRPr="00377871">
        <w:rPr>
          <w:i/>
          <w:iCs/>
          <w:sz w:val="21"/>
          <w:szCs w:val="21"/>
        </w:rPr>
        <w:t>b*</w:t>
      </w:r>
      <w:r w:rsidRPr="00377871">
        <w:rPr>
          <w:sz w:val="21"/>
          <w:szCs w:val="21"/>
        </w:rPr>
        <w:t>) (</w:t>
      </w:r>
      <w:r>
        <w:rPr>
          <w:sz w:val="21"/>
          <w:szCs w:val="21"/>
        </w:rPr>
        <w:t>g</w:t>
      </w:r>
      <w:r w:rsidRPr="00377871">
        <w:rPr>
          <w:rFonts w:cstheme="minorHAnsi"/>
          <w:sz w:val="21"/>
          <w:szCs w:val="21"/>
        </w:rPr>
        <w:t>–</w:t>
      </w:r>
      <w:r>
        <w:rPr>
          <w:sz w:val="21"/>
          <w:szCs w:val="21"/>
        </w:rPr>
        <w:t>i</w:t>
      </w:r>
      <w:r w:rsidRPr="00377871">
        <w:rPr>
          <w:sz w:val="21"/>
          <w:szCs w:val="21"/>
        </w:rPr>
        <w:t xml:space="preserve">), </w:t>
      </w:r>
      <w:r>
        <w:rPr>
          <w:sz w:val="21"/>
          <w:szCs w:val="21"/>
        </w:rPr>
        <w:t xml:space="preserve">normalized </w:t>
      </w:r>
      <w:r w:rsidR="00C01D65">
        <w:rPr>
          <w:sz w:val="21"/>
          <w:szCs w:val="21"/>
        </w:rPr>
        <w:t>R</w:t>
      </w:r>
      <w:r>
        <w:rPr>
          <w:sz w:val="21"/>
          <w:szCs w:val="21"/>
        </w:rPr>
        <w:t>ed (</w:t>
      </w:r>
      <w:r w:rsidR="003F3864" w:rsidRPr="003F3864">
        <w:rPr>
          <w:i/>
          <w:iCs/>
          <w:sz w:val="21"/>
          <w:szCs w:val="21"/>
        </w:rPr>
        <w:t>r</w:t>
      </w:r>
      <w:r>
        <w:rPr>
          <w:sz w:val="21"/>
          <w:szCs w:val="21"/>
        </w:rPr>
        <w:t xml:space="preserve">), normalized </w:t>
      </w:r>
      <w:r w:rsidR="00C01D65">
        <w:rPr>
          <w:sz w:val="21"/>
          <w:szCs w:val="21"/>
        </w:rPr>
        <w:t>G</w:t>
      </w:r>
      <w:r>
        <w:rPr>
          <w:sz w:val="21"/>
          <w:szCs w:val="21"/>
        </w:rPr>
        <w:t>reen (</w:t>
      </w:r>
      <w:r w:rsidR="003F3864" w:rsidRPr="003F3864">
        <w:rPr>
          <w:i/>
          <w:iCs/>
          <w:sz w:val="21"/>
          <w:szCs w:val="21"/>
        </w:rPr>
        <w:t>g</w:t>
      </w:r>
      <w:r>
        <w:rPr>
          <w:sz w:val="21"/>
          <w:szCs w:val="21"/>
        </w:rPr>
        <w:t xml:space="preserve">), and normalized </w:t>
      </w:r>
      <w:r w:rsidR="00C01D65">
        <w:rPr>
          <w:sz w:val="21"/>
          <w:szCs w:val="21"/>
        </w:rPr>
        <w:t>B</w:t>
      </w:r>
      <w:r>
        <w:rPr>
          <w:sz w:val="21"/>
          <w:szCs w:val="21"/>
        </w:rPr>
        <w:t>lue (</w:t>
      </w:r>
      <w:r w:rsidR="003F3864" w:rsidRPr="003F3864">
        <w:rPr>
          <w:i/>
          <w:iCs/>
          <w:sz w:val="21"/>
          <w:szCs w:val="21"/>
        </w:rPr>
        <w:t>b</w:t>
      </w:r>
      <w:r>
        <w:rPr>
          <w:sz w:val="21"/>
          <w:szCs w:val="21"/>
        </w:rPr>
        <w:t>) (j</w:t>
      </w:r>
      <w:r w:rsidRPr="00377871">
        <w:rPr>
          <w:rFonts w:cstheme="minorHAnsi"/>
          <w:sz w:val="21"/>
          <w:szCs w:val="21"/>
        </w:rPr>
        <w:t>–</w:t>
      </w:r>
      <w:r>
        <w:rPr>
          <w:rFonts w:cstheme="minorHAnsi"/>
          <w:sz w:val="21"/>
          <w:szCs w:val="21"/>
        </w:rPr>
        <w:t>l</w:t>
      </w:r>
      <w:r>
        <w:rPr>
          <w:sz w:val="21"/>
          <w:szCs w:val="21"/>
        </w:rPr>
        <w:t xml:space="preserve">), </w:t>
      </w:r>
      <w:r w:rsidRPr="00377871">
        <w:rPr>
          <w:sz w:val="21"/>
          <w:szCs w:val="21"/>
        </w:rPr>
        <w:t>for leaves with different levels of anthocyanin content</w:t>
      </w:r>
      <w:r>
        <w:rPr>
          <w:sz w:val="21"/>
          <w:szCs w:val="21"/>
        </w:rPr>
        <w:t>. Coefficients of determination (</w:t>
      </w:r>
      <w:r w:rsidRPr="00377871">
        <w:rPr>
          <w:i/>
          <w:iCs/>
          <w:sz w:val="21"/>
          <w:szCs w:val="21"/>
        </w:rPr>
        <w:t>R</w:t>
      </w:r>
      <w:r w:rsidRPr="00377871">
        <w:rPr>
          <w:i/>
          <w:iCs/>
          <w:sz w:val="21"/>
          <w:szCs w:val="21"/>
          <w:vertAlign w:val="superscript"/>
        </w:rPr>
        <w:t>2</w:t>
      </w:r>
      <w:r>
        <w:rPr>
          <w:sz w:val="21"/>
          <w:szCs w:val="21"/>
        </w:rPr>
        <w:t>)</w:t>
      </w:r>
      <w:r w:rsidRPr="00377871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and equations have been presented for the best-fit curve </w:t>
      </w:r>
      <w:r w:rsidRPr="00377871">
        <w:rPr>
          <w:sz w:val="21"/>
          <w:szCs w:val="21"/>
        </w:rPr>
        <w:t>(</w:t>
      </w:r>
      <w:r w:rsidRPr="00377871">
        <w:rPr>
          <w:i/>
          <w:iCs/>
          <w:sz w:val="21"/>
          <w:szCs w:val="21"/>
        </w:rPr>
        <w:t>n</w:t>
      </w:r>
      <w:r w:rsidRPr="00377871">
        <w:rPr>
          <w:sz w:val="21"/>
          <w:szCs w:val="21"/>
        </w:rPr>
        <w:t xml:space="preserve"> = 320).</w:t>
      </w:r>
    </w:p>
    <w:p w14:paraId="20B2DC65" w14:textId="2A9881F0" w:rsidR="00C01D65" w:rsidRDefault="00C01D65" w:rsidP="00C01D65">
      <w:pPr>
        <w:jc w:val="both"/>
        <w:rPr>
          <w:sz w:val="21"/>
          <w:szCs w:val="21"/>
        </w:rPr>
      </w:pPr>
    </w:p>
    <w:p w14:paraId="0CF6E202" w14:textId="74529F36" w:rsidR="00A22344" w:rsidRDefault="00A22344" w:rsidP="00C85D23">
      <w:pPr>
        <w:jc w:val="both"/>
      </w:pPr>
    </w:p>
    <w:p w14:paraId="5A1EDD3C" w14:textId="7F637CDC" w:rsidR="00494090" w:rsidRDefault="00BD247D" w:rsidP="00F57347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6B243B3A" wp14:editId="7B9992AE">
            <wp:extent cx="6120000" cy="4653622"/>
            <wp:effectExtent l="0" t="0" r="0" b="0"/>
            <wp:docPr id="86112386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4653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4B12DB" w14:textId="53736F61" w:rsidR="00494090" w:rsidRDefault="00494090" w:rsidP="00C85D23">
      <w:pPr>
        <w:jc w:val="both"/>
      </w:pPr>
      <w:r w:rsidRPr="00E41F56">
        <w:rPr>
          <w:b/>
          <w:bCs/>
          <w:sz w:val="21"/>
          <w:szCs w:val="21"/>
        </w:rPr>
        <w:t xml:space="preserve">Fig. </w:t>
      </w:r>
      <w:r>
        <w:rPr>
          <w:b/>
          <w:bCs/>
          <w:sz w:val="21"/>
          <w:szCs w:val="21"/>
        </w:rPr>
        <w:t>S</w:t>
      </w:r>
      <w:r w:rsidR="008C03D2">
        <w:rPr>
          <w:b/>
          <w:bCs/>
          <w:sz w:val="21"/>
          <w:szCs w:val="21"/>
        </w:rPr>
        <w:t>3</w:t>
      </w:r>
      <w:r w:rsidRPr="00E41F56">
        <w:rPr>
          <w:sz w:val="21"/>
          <w:szCs w:val="21"/>
        </w:rPr>
        <w:t xml:space="preserve"> Plots for SPAD measurements versus</w:t>
      </w:r>
      <w:r w:rsidR="00ED1418" w:rsidRPr="00ED1418">
        <w:rPr>
          <w:sz w:val="21"/>
          <w:szCs w:val="21"/>
        </w:rPr>
        <w:t xml:space="preserve"> </w:t>
      </w:r>
      <w:r w:rsidR="00ED1418" w:rsidRPr="00E41F56">
        <w:rPr>
          <w:sz w:val="21"/>
          <w:szCs w:val="21"/>
        </w:rPr>
        <w:t xml:space="preserve">Normalized Green-Blue Difference Index (NGBDI; </w:t>
      </w:r>
      <w:r w:rsidR="00ED1418">
        <w:rPr>
          <w:sz w:val="21"/>
          <w:szCs w:val="21"/>
        </w:rPr>
        <w:t>a</w:t>
      </w:r>
      <w:r w:rsidR="00ED1418" w:rsidRPr="00E41F56">
        <w:rPr>
          <w:sz w:val="21"/>
          <w:szCs w:val="21"/>
        </w:rPr>
        <w:t>)</w:t>
      </w:r>
      <w:r w:rsidRPr="00E41F56">
        <w:rPr>
          <w:sz w:val="21"/>
          <w:szCs w:val="21"/>
        </w:rPr>
        <w:t xml:space="preserve">, Normalized Difference Pigment Index (NDPI; </w:t>
      </w:r>
      <w:r w:rsidR="00ED1418">
        <w:rPr>
          <w:sz w:val="21"/>
          <w:szCs w:val="21"/>
        </w:rPr>
        <w:t>b</w:t>
      </w:r>
      <w:r w:rsidRPr="00E41F56">
        <w:rPr>
          <w:sz w:val="21"/>
          <w:szCs w:val="21"/>
        </w:rPr>
        <w:t xml:space="preserve">), </w:t>
      </w:r>
      <w:r w:rsidR="00F73636">
        <w:rPr>
          <w:sz w:val="21"/>
          <w:szCs w:val="21"/>
        </w:rPr>
        <w:t>Woe</w:t>
      </w:r>
      <w:r w:rsidR="002335AB">
        <w:rPr>
          <w:sz w:val="21"/>
          <w:szCs w:val="21"/>
        </w:rPr>
        <w:t>b</w:t>
      </w:r>
      <w:r w:rsidR="00F73636">
        <w:rPr>
          <w:sz w:val="21"/>
          <w:szCs w:val="21"/>
        </w:rPr>
        <w:t>becke’s</w:t>
      </w:r>
      <w:r w:rsidRPr="00E41F56">
        <w:rPr>
          <w:sz w:val="21"/>
          <w:szCs w:val="21"/>
        </w:rPr>
        <w:t xml:space="preserve"> Index (</w:t>
      </w:r>
      <w:r w:rsidR="00ED1418">
        <w:rPr>
          <w:sz w:val="21"/>
          <w:szCs w:val="21"/>
        </w:rPr>
        <w:t>W</w:t>
      </w:r>
      <w:r w:rsidRPr="00E41F56">
        <w:rPr>
          <w:sz w:val="21"/>
          <w:szCs w:val="21"/>
        </w:rPr>
        <w:t xml:space="preserve">I; </w:t>
      </w:r>
      <w:r w:rsidR="00773E8A">
        <w:rPr>
          <w:sz w:val="21"/>
          <w:szCs w:val="21"/>
        </w:rPr>
        <w:t>c</w:t>
      </w:r>
      <w:r w:rsidRPr="00E41F56">
        <w:rPr>
          <w:sz w:val="21"/>
          <w:szCs w:val="21"/>
        </w:rPr>
        <w:t xml:space="preserve">), </w:t>
      </w:r>
      <w:r w:rsidR="00C604DF" w:rsidRPr="00E41F56">
        <w:rPr>
          <w:sz w:val="21"/>
          <w:szCs w:val="21"/>
        </w:rPr>
        <w:t>Normalized Difference</w:t>
      </w:r>
      <w:r w:rsidRPr="00E41F56">
        <w:rPr>
          <w:sz w:val="21"/>
          <w:szCs w:val="21"/>
        </w:rPr>
        <w:t xml:space="preserve"> Index (</w:t>
      </w:r>
      <w:r w:rsidR="00773E8A">
        <w:rPr>
          <w:sz w:val="21"/>
          <w:szCs w:val="21"/>
        </w:rPr>
        <w:t>ND</w:t>
      </w:r>
      <w:r w:rsidRPr="00E41F56">
        <w:rPr>
          <w:sz w:val="21"/>
          <w:szCs w:val="21"/>
        </w:rPr>
        <w:t xml:space="preserve">I; </w:t>
      </w:r>
      <w:r w:rsidR="00773E8A">
        <w:rPr>
          <w:sz w:val="21"/>
          <w:szCs w:val="21"/>
        </w:rPr>
        <w:t>d</w:t>
      </w:r>
      <w:r w:rsidRPr="00E41F56">
        <w:rPr>
          <w:sz w:val="21"/>
          <w:szCs w:val="21"/>
        </w:rPr>
        <w:t xml:space="preserve">), </w:t>
      </w:r>
      <w:r w:rsidR="00773E8A">
        <w:rPr>
          <w:sz w:val="21"/>
          <w:szCs w:val="21"/>
        </w:rPr>
        <w:t>Green-Blue ratio</w:t>
      </w:r>
      <w:r w:rsidRPr="00E41F56">
        <w:rPr>
          <w:sz w:val="21"/>
          <w:szCs w:val="21"/>
        </w:rPr>
        <w:t xml:space="preserve"> (G</w:t>
      </w:r>
      <w:r w:rsidR="00773E8A">
        <w:rPr>
          <w:sz w:val="21"/>
          <w:szCs w:val="21"/>
        </w:rPr>
        <w:t>/B</w:t>
      </w:r>
      <w:r w:rsidRPr="00E41F56">
        <w:rPr>
          <w:sz w:val="21"/>
          <w:szCs w:val="21"/>
        </w:rPr>
        <w:t xml:space="preserve">; </w:t>
      </w:r>
      <w:r w:rsidR="00773E8A">
        <w:rPr>
          <w:sz w:val="21"/>
          <w:szCs w:val="21"/>
        </w:rPr>
        <w:t>e</w:t>
      </w:r>
      <w:r w:rsidRPr="00E41F56">
        <w:rPr>
          <w:sz w:val="21"/>
          <w:szCs w:val="21"/>
        </w:rPr>
        <w:t>),</w:t>
      </w:r>
      <w:r w:rsidR="00773E8A">
        <w:rPr>
          <w:sz w:val="21"/>
          <w:szCs w:val="21"/>
        </w:rPr>
        <w:t xml:space="preserve"> </w:t>
      </w:r>
      <w:r w:rsidRPr="00E41F56">
        <w:rPr>
          <w:sz w:val="21"/>
          <w:szCs w:val="21"/>
        </w:rPr>
        <w:t>Red-</w:t>
      </w:r>
      <w:r w:rsidR="00773E8A">
        <w:rPr>
          <w:sz w:val="21"/>
          <w:szCs w:val="21"/>
        </w:rPr>
        <w:t>Blue ratio</w:t>
      </w:r>
      <w:r w:rsidRPr="00E41F56">
        <w:rPr>
          <w:sz w:val="21"/>
          <w:szCs w:val="21"/>
        </w:rPr>
        <w:t xml:space="preserve"> (R</w:t>
      </w:r>
      <w:r w:rsidR="00773E8A">
        <w:rPr>
          <w:sz w:val="21"/>
          <w:szCs w:val="21"/>
        </w:rPr>
        <w:t>/B</w:t>
      </w:r>
      <w:r w:rsidRPr="00E41F56">
        <w:rPr>
          <w:sz w:val="21"/>
          <w:szCs w:val="21"/>
        </w:rPr>
        <w:t xml:space="preserve">; </w:t>
      </w:r>
      <w:r w:rsidR="00773E8A">
        <w:rPr>
          <w:sz w:val="21"/>
          <w:szCs w:val="21"/>
        </w:rPr>
        <w:t>f</w:t>
      </w:r>
      <w:r w:rsidRPr="00E41F56">
        <w:rPr>
          <w:sz w:val="21"/>
          <w:szCs w:val="21"/>
        </w:rPr>
        <w:t>)</w:t>
      </w:r>
      <w:r w:rsidR="00BB7D76">
        <w:rPr>
          <w:sz w:val="21"/>
          <w:szCs w:val="21"/>
        </w:rPr>
        <w:t>, Red-Green difference (R-G; g), Red-Blue</w:t>
      </w:r>
      <w:r w:rsidRPr="00E41F56">
        <w:rPr>
          <w:sz w:val="21"/>
          <w:szCs w:val="21"/>
        </w:rPr>
        <w:t xml:space="preserve"> </w:t>
      </w:r>
      <w:r w:rsidR="00BB7D76">
        <w:rPr>
          <w:sz w:val="21"/>
          <w:szCs w:val="21"/>
        </w:rPr>
        <w:t xml:space="preserve">difference (R-B; h),  and </w:t>
      </w:r>
      <w:r w:rsidR="00E1061D">
        <w:rPr>
          <w:sz w:val="21"/>
          <w:szCs w:val="21"/>
        </w:rPr>
        <w:t>Simple Red Excess index</w:t>
      </w:r>
      <w:r w:rsidR="00BB7D76">
        <w:rPr>
          <w:sz w:val="21"/>
          <w:szCs w:val="21"/>
        </w:rPr>
        <w:t xml:space="preserve"> (</w:t>
      </w:r>
      <w:r w:rsidR="00E1061D">
        <w:rPr>
          <w:sz w:val="21"/>
          <w:szCs w:val="21"/>
        </w:rPr>
        <w:t>SREx</w:t>
      </w:r>
      <w:r w:rsidR="00BB7D76">
        <w:rPr>
          <w:sz w:val="21"/>
          <w:szCs w:val="21"/>
        </w:rPr>
        <w:t xml:space="preserve">; i) </w:t>
      </w:r>
      <w:r w:rsidRPr="00E41F56">
        <w:rPr>
          <w:sz w:val="21"/>
          <w:szCs w:val="21"/>
        </w:rPr>
        <w:t>for leafy vegetables with different levels of anthocyanin (indicated with different symbols). Coefficients of determination (</w:t>
      </w:r>
      <w:r w:rsidRPr="00E41F56">
        <w:rPr>
          <w:i/>
          <w:iCs/>
          <w:sz w:val="21"/>
          <w:szCs w:val="21"/>
        </w:rPr>
        <w:t>R</w:t>
      </w:r>
      <w:r w:rsidRPr="00E41F56">
        <w:rPr>
          <w:i/>
          <w:iCs/>
          <w:sz w:val="21"/>
          <w:szCs w:val="21"/>
          <w:vertAlign w:val="superscript"/>
        </w:rPr>
        <w:t>2</w:t>
      </w:r>
      <w:r w:rsidRPr="00E41F56">
        <w:rPr>
          <w:sz w:val="21"/>
          <w:szCs w:val="21"/>
        </w:rPr>
        <w:t>) and equations have been presented for the best-fit curve for the combined dataset (</w:t>
      </w:r>
      <w:r w:rsidRPr="00E41F56">
        <w:rPr>
          <w:i/>
          <w:iCs/>
          <w:sz w:val="21"/>
          <w:szCs w:val="21"/>
        </w:rPr>
        <w:t>n</w:t>
      </w:r>
      <w:r w:rsidRPr="00E41F56">
        <w:rPr>
          <w:sz w:val="21"/>
          <w:szCs w:val="21"/>
        </w:rPr>
        <w:t xml:space="preserve"> = 320).</w:t>
      </w:r>
    </w:p>
    <w:sectPr w:rsidR="00494090" w:rsidSect="00C85D23">
      <w:pgSz w:w="11906" w:h="16838"/>
      <w:pgMar w:top="1134" w:right="1133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9FA"/>
    <w:rsid w:val="00006141"/>
    <w:rsid w:val="00010267"/>
    <w:rsid w:val="000175FB"/>
    <w:rsid w:val="000479C9"/>
    <w:rsid w:val="00056872"/>
    <w:rsid w:val="00060D53"/>
    <w:rsid w:val="00065D8B"/>
    <w:rsid w:val="00066B45"/>
    <w:rsid w:val="00070F59"/>
    <w:rsid w:val="00082A2D"/>
    <w:rsid w:val="000853BC"/>
    <w:rsid w:val="000909EE"/>
    <w:rsid w:val="00094867"/>
    <w:rsid w:val="000A7C9D"/>
    <w:rsid w:val="000D211E"/>
    <w:rsid w:val="000D746A"/>
    <w:rsid w:val="000E4677"/>
    <w:rsid w:val="0012331B"/>
    <w:rsid w:val="00127958"/>
    <w:rsid w:val="001430BD"/>
    <w:rsid w:val="00150FBC"/>
    <w:rsid w:val="001521B7"/>
    <w:rsid w:val="00157B1F"/>
    <w:rsid w:val="001675C5"/>
    <w:rsid w:val="00167CFD"/>
    <w:rsid w:val="00187DFE"/>
    <w:rsid w:val="00197285"/>
    <w:rsid w:val="0019731E"/>
    <w:rsid w:val="001B6938"/>
    <w:rsid w:val="001C455F"/>
    <w:rsid w:val="00216CA8"/>
    <w:rsid w:val="00225616"/>
    <w:rsid w:val="002335AB"/>
    <w:rsid w:val="002467D8"/>
    <w:rsid w:val="00246E7A"/>
    <w:rsid w:val="0025024E"/>
    <w:rsid w:val="002753B3"/>
    <w:rsid w:val="002915D0"/>
    <w:rsid w:val="002962A1"/>
    <w:rsid w:val="00296679"/>
    <w:rsid w:val="002A42E0"/>
    <w:rsid w:val="002D5888"/>
    <w:rsid w:val="002E79A9"/>
    <w:rsid w:val="002F2BB4"/>
    <w:rsid w:val="00331BE9"/>
    <w:rsid w:val="00332CF8"/>
    <w:rsid w:val="00334F72"/>
    <w:rsid w:val="00377871"/>
    <w:rsid w:val="0038642E"/>
    <w:rsid w:val="003B3648"/>
    <w:rsid w:val="003B69DC"/>
    <w:rsid w:val="003C4CFC"/>
    <w:rsid w:val="003F200C"/>
    <w:rsid w:val="003F3864"/>
    <w:rsid w:val="00406C71"/>
    <w:rsid w:val="00422316"/>
    <w:rsid w:val="004228A8"/>
    <w:rsid w:val="004257F6"/>
    <w:rsid w:val="00453E2C"/>
    <w:rsid w:val="0046160A"/>
    <w:rsid w:val="00472247"/>
    <w:rsid w:val="00476629"/>
    <w:rsid w:val="004910BD"/>
    <w:rsid w:val="00494090"/>
    <w:rsid w:val="004A1DD1"/>
    <w:rsid w:val="004A3147"/>
    <w:rsid w:val="004F23D1"/>
    <w:rsid w:val="004F4FE1"/>
    <w:rsid w:val="004F5547"/>
    <w:rsid w:val="0050037B"/>
    <w:rsid w:val="005215C3"/>
    <w:rsid w:val="0056558A"/>
    <w:rsid w:val="00574A8B"/>
    <w:rsid w:val="00576CB3"/>
    <w:rsid w:val="005B240E"/>
    <w:rsid w:val="005C5A5F"/>
    <w:rsid w:val="005E4A86"/>
    <w:rsid w:val="005E5D90"/>
    <w:rsid w:val="0062325C"/>
    <w:rsid w:val="00644467"/>
    <w:rsid w:val="0065248C"/>
    <w:rsid w:val="00661519"/>
    <w:rsid w:val="006660FF"/>
    <w:rsid w:val="00676E96"/>
    <w:rsid w:val="00687D94"/>
    <w:rsid w:val="0069178E"/>
    <w:rsid w:val="006A379C"/>
    <w:rsid w:val="006B49CC"/>
    <w:rsid w:val="006C20AB"/>
    <w:rsid w:val="006C54DC"/>
    <w:rsid w:val="006E209C"/>
    <w:rsid w:val="006E3343"/>
    <w:rsid w:val="006E4800"/>
    <w:rsid w:val="006E60F7"/>
    <w:rsid w:val="006F47BA"/>
    <w:rsid w:val="006F4EBF"/>
    <w:rsid w:val="00705360"/>
    <w:rsid w:val="007276A1"/>
    <w:rsid w:val="00743F41"/>
    <w:rsid w:val="007705A9"/>
    <w:rsid w:val="00773E8A"/>
    <w:rsid w:val="00782416"/>
    <w:rsid w:val="00785215"/>
    <w:rsid w:val="00796484"/>
    <w:rsid w:val="007C6744"/>
    <w:rsid w:val="007D2BAC"/>
    <w:rsid w:val="007D2DE9"/>
    <w:rsid w:val="007D3D3B"/>
    <w:rsid w:val="007D63A7"/>
    <w:rsid w:val="007E762F"/>
    <w:rsid w:val="00846449"/>
    <w:rsid w:val="00853669"/>
    <w:rsid w:val="008B5AE9"/>
    <w:rsid w:val="008C03D2"/>
    <w:rsid w:val="008C3A54"/>
    <w:rsid w:val="008D6BE1"/>
    <w:rsid w:val="008F44B2"/>
    <w:rsid w:val="008F4C21"/>
    <w:rsid w:val="00915946"/>
    <w:rsid w:val="00946C8D"/>
    <w:rsid w:val="00973785"/>
    <w:rsid w:val="00994FE8"/>
    <w:rsid w:val="00995A44"/>
    <w:rsid w:val="009B5979"/>
    <w:rsid w:val="009C1717"/>
    <w:rsid w:val="009D16FE"/>
    <w:rsid w:val="009E2A3C"/>
    <w:rsid w:val="009E3D56"/>
    <w:rsid w:val="009F66A1"/>
    <w:rsid w:val="00A20DB2"/>
    <w:rsid w:val="00A22344"/>
    <w:rsid w:val="00A45485"/>
    <w:rsid w:val="00A60A2F"/>
    <w:rsid w:val="00A63BF8"/>
    <w:rsid w:val="00A8051D"/>
    <w:rsid w:val="00A82F08"/>
    <w:rsid w:val="00A90A33"/>
    <w:rsid w:val="00A92A2E"/>
    <w:rsid w:val="00AC6E3F"/>
    <w:rsid w:val="00AD5FB7"/>
    <w:rsid w:val="00AE50A2"/>
    <w:rsid w:val="00AF125D"/>
    <w:rsid w:val="00B03193"/>
    <w:rsid w:val="00B22AF4"/>
    <w:rsid w:val="00B23C6C"/>
    <w:rsid w:val="00B449FA"/>
    <w:rsid w:val="00B52A95"/>
    <w:rsid w:val="00B5585D"/>
    <w:rsid w:val="00B61DFA"/>
    <w:rsid w:val="00B650D8"/>
    <w:rsid w:val="00B705A9"/>
    <w:rsid w:val="00B73832"/>
    <w:rsid w:val="00B8705C"/>
    <w:rsid w:val="00B9643F"/>
    <w:rsid w:val="00BB7D76"/>
    <w:rsid w:val="00BC1CD9"/>
    <w:rsid w:val="00BC754D"/>
    <w:rsid w:val="00BD247D"/>
    <w:rsid w:val="00BE6157"/>
    <w:rsid w:val="00C00EFC"/>
    <w:rsid w:val="00C01C33"/>
    <w:rsid w:val="00C01D65"/>
    <w:rsid w:val="00C05365"/>
    <w:rsid w:val="00C27665"/>
    <w:rsid w:val="00C35295"/>
    <w:rsid w:val="00C370BE"/>
    <w:rsid w:val="00C408BA"/>
    <w:rsid w:val="00C53058"/>
    <w:rsid w:val="00C604DF"/>
    <w:rsid w:val="00C85D23"/>
    <w:rsid w:val="00C941AB"/>
    <w:rsid w:val="00C94A87"/>
    <w:rsid w:val="00CA4C01"/>
    <w:rsid w:val="00CA7A06"/>
    <w:rsid w:val="00CF3FF2"/>
    <w:rsid w:val="00D036E2"/>
    <w:rsid w:val="00D03792"/>
    <w:rsid w:val="00D05D2B"/>
    <w:rsid w:val="00D063D0"/>
    <w:rsid w:val="00D06F71"/>
    <w:rsid w:val="00D10FDC"/>
    <w:rsid w:val="00D30F81"/>
    <w:rsid w:val="00D54C7C"/>
    <w:rsid w:val="00D60626"/>
    <w:rsid w:val="00D626B1"/>
    <w:rsid w:val="00D74752"/>
    <w:rsid w:val="00D922D0"/>
    <w:rsid w:val="00DA1F54"/>
    <w:rsid w:val="00DC4D96"/>
    <w:rsid w:val="00DC4F9B"/>
    <w:rsid w:val="00DE6A5E"/>
    <w:rsid w:val="00DF70D8"/>
    <w:rsid w:val="00E015D9"/>
    <w:rsid w:val="00E1061D"/>
    <w:rsid w:val="00E14D03"/>
    <w:rsid w:val="00E3041B"/>
    <w:rsid w:val="00E35779"/>
    <w:rsid w:val="00E57A9F"/>
    <w:rsid w:val="00E61C5E"/>
    <w:rsid w:val="00E63043"/>
    <w:rsid w:val="00E64FF1"/>
    <w:rsid w:val="00EA13EC"/>
    <w:rsid w:val="00EA5A09"/>
    <w:rsid w:val="00ED1418"/>
    <w:rsid w:val="00F32916"/>
    <w:rsid w:val="00F36D48"/>
    <w:rsid w:val="00F57347"/>
    <w:rsid w:val="00F7156F"/>
    <w:rsid w:val="00F73636"/>
    <w:rsid w:val="00F756D9"/>
    <w:rsid w:val="00F77AD0"/>
    <w:rsid w:val="00F83713"/>
    <w:rsid w:val="00F86091"/>
    <w:rsid w:val="00F92073"/>
    <w:rsid w:val="00FB4731"/>
    <w:rsid w:val="00FE2DD1"/>
    <w:rsid w:val="00FE4C23"/>
    <w:rsid w:val="00FF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6E06E"/>
  <w15:chartTrackingRefBased/>
  <w15:docId w15:val="{4F896893-99F2-4E31-A56A-2E1549795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3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1B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8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3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Avinash Agarwal</dc:creator>
  <cp:keywords/>
  <dc:description/>
  <cp:lastModifiedBy>Agarwal, Avinash</cp:lastModifiedBy>
  <cp:revision>277</cp:revision>
  <cp:lastPrinted>2024-09-30T11:41:00Z</cp:lastPrinted>
  <dcterms:created xsi:type="dcterms:W3CDTF">2024-02-27T21:09:00Z</dcterms:created>
  <dcterms:modified xsi:type="dcterms:W3CDTF">2025-01-03T15:01:00Z</dcterms:modified>
</cp:coreProperties>
</file>