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39BC1" w14:textId="77777777" w:rsidR="0074321C" w:rsidRDefault="00000000">
      <w:pPr>
        <w:spacing w:after="240"/>
        <w:rPr>
          <w:b/>
        </w:rPr>
      </w:pPr>
      <w:r>
        <w:rPr>
          <w:b/>
        </w:rPr>
        <w:t>Additional supporting information for</w:t>
      </w:r>
    </w:p>
    <w:p w14:paraId="403B0E5C" w14:textId="527FFB16" w:rsidR="0074321C" w:rsidRDefault="00D21213">
      <w:pPr>
        <w:spacing w:after="240"/>
        <w:rPr>
          <w:b/>
          <w:sz w:val="32"/>
          <w:szCs w:val="32"/>
        </w:rPr>
      </w:pPr>
      <w:r>
        <w:rPr>
          <w:b/>
          <w:sz w:val="32"/>
          <w:szCs w:val="32"/>
        </w:rPr>
        <w:t xml:space="preserve">Leaf spectroscopy as a tool for predicting the presence of isoprene emissions and terpene storage in </w:t>
      </w:r>
      <w:r w:rsidR="00763085">
        <w:rPr>
          <w:b/>
          <w:sz w:val="32"/>
          <w:szCs w:val="32"/>
        </w:rPr>
        <w:t>c</w:t>
      </w:r>
      <w:r>
        <w:rPr>
          <w:b/>
          <w:sz w:val="32"/>
          <w:szCs w:val="32"/>
        </w:rPr>
        <w:t>entral Amazon forest trees</w:t>
      </w:r>
    </w:p>
    <w:p w14:paraId="34A2B1B2" w14:textId="7291B2CC" w:rsidR="0074321C" w:rsidRDefault="00000000">
      <w:pPr>
        <w:spacing w:after="240"/>
        <w:rPr>
          <w:b/>
        </w:rPr>
      </w:pPr>
      <w:r>
        <w:rPr>
          <w:b/>
        </w:rPr>
        <w:t>Michelle Robin</w:t>
      </w:r>
      <w:r>
        <w:rPr>
          <w:b/>
          <w:vertAlign w:val="superscript"/>
        </w:rPr>
        <w:t>1*</w:t>
      </w:r>
      <w:r>
        <w:rPr>
          <w:b/>
        </w:rPr>
        <w:t>, Fl</w:t>
      </w:r>
      <w:r w:rsidR="00763085">
        <w:rPr>
          <w:b/>
        </w:rPr>
        <w:t>a</w:t>
      </w:r>
      <w:r>
        <w:rPr>
          <w:b/>
        </w:rPr>
        <w:t>via Machado Durgante</w:t>
      </w:r>
      <w:r>
        <w:rPr>
          <w:b/>
          <w:vertAlign w:val="superscript"/>
        </w:rPr>
        <w:t>2,4</w:t>
      </w:r>
      <w:r>
        <w:rPr>
          <w:b/>
        </w:rPr>
        <w:t>, Caroline Lorenci Mallmann</w:t>
      </w:r>
      <w:r>
        <w:rPr>
          <w:b/>
          <w:vertAlign w:val="superscript"/>
        </w:rPr>
        <w:t>3</w:t>
      </w:r>
      <w:r>
        <w:rPr>
          <w:b/>
        </w:rPr>
        <w:t>, Hilana Louise Hadlich</w:t>
      </w:r>
      <w:r>
        <w:rPr>
          <w:b/>
          <w:vertAlign w:val="superscript"/>
        </w:rPr>
        <w:t>4</w:t>
      </w:r>
      <w:r>
        <w:rPr>
          <w:b/>
        </w:rPr>
        <w:t>, Christine Römermann</w:t>
      </w:r>
      <w:r>
        <w:rPr>
          <w:b/>
          <w:vertAlign w:val="superscript"/>
        </w:rPr>
        <w:t>5,6,7</w:t>
      </w:r>
      <w:r>
        <w:rPr>
          <w:b/>
        </w:rPr>
        <w:t>, Lucas de Souza Falcão</w:t>
      </w:r>
      <w:r>
        <w:rPr>
          <w:b/>
          <w:vertAlign w:val="superscript"/>
        </w:rPr>
        <w:t>8</w:t>
      </w:r>
      <w:r>
        <w:rPr>
          <w:b/>
        </w:rPr>
        <w:t>, Caroline Dutra Lacerda</w:t>
      </w:r>
      <w:r>
        <w:rPr>
          <w:b/>
          <w:vertAlign w:val="superscript"/>
        </w:rPr>
        <w:t>8</w:t>
      </w:r>
      <w:r>
        <w:rPr>
          <w:b/>
        </w:rPr>
        <w:t>, Sérgio Duvoisin Júnior</w:t>
      </w:r>
      <w:r>
        <w:rPr>
          <w:b/>
          <w:vertAlign w:val="superscript"/>
        </w:rPr>
        <w:t>8</w:t>
      </w:r>
      <w:r>
        <w:rPr>
          <w:b/>
        </w:rPr>
        <w:t>, Florian Wittmann</w:t>
      </w:r>
      <w:r>
        <w:rPr>
          <w:b/>
          <w:vertAlign w:val="superscript"/>
        </w:rPr>
        <w:t>2</w:t>
      </w:r>
      <w:r>
        <w:rPr>
          <w:b/>
        </w:rPr>
        <w:t>, Maria Teresa Fernandez Piedade</w:t>
      </w:r>
      <w:r>
        <w:rPr>
          <w:b/>
          <w:vertAlign w:val="superscript"/>
        </w:rPr>
        <w:t>4</w:t>
      </w:r>
      <w:r>
        <w:rPr>
          <w:b/>
        </w:rPr>
        <w:t>, Jochen Schöngart</w:t>
      </w:r>
      <w:r>
        <w:rPr>
          <w:b/>
          <w:vertAlign w:val="superscript"/>
        </w:rPr>
        <w:t>4</w:t>
      </w:r>
      <w:r>
        <w:rPr>
          <w:b/>
        </w:rPr>
        <w:t>, Eliane Gomes Alves</w:t>
      </w:r>
      <w:r>
        <w:rPr>
          <w:b/>
          <w:vertAlign w:val="superscript"/>
        </w:rPr>
        <w:t>1,9*</w:t>
      </w:r>
    </w:p>
    <w:p w14:paraId="6087BE12" w14:textId="77777777" w:rsidR="0074321C" w:rsidRDefault="00000000">
      <w:pPr>
        <w:rPr>
          <w:sz w:val="22"/>
          <w:szCs w:val="22"/>
        </w:rPr>
      </w:pPr>
      <w:r>
        <w:rPr>
          <w:sz w:val="22"/>
          <w:szCs w:val="22"/>
          <w:vertAlign w:val="superscript"/>
        </w:rPr>
        <w:t>1</w:t>
      </w:r>
      <w:r>
        <w:rPr>
          <w:sz w:val="22"/>
          <w:szCs w:val="22"/>
        </w:rPr>
        <w:t>Biogeochemical Processes Department, Max Planck Institute for Biogeochemistry, Jena, Germany</w:t>
      </w:r>
    </w:p>
    <w:p w14:paraId="5293B286" w14:textId="77777777" w:rsidR="0074321C" w:rsidRDefault="00000000">
      <w:pPr>
        <w:rPr>
          <w:sz w:val="22"/>
          <w:szCs w:val="22"/>
        </w:rPr>
      </w:pPr>
      <w:r>
        <w:rPr>
          <w:sz w:val="22"/>
          <w:szCs w:val="22"/>
          <w:vertAlign w:val="superscript"/>
        </w:rPr>
        <w:t>2</w:t>
      </w:r>
      <w:r>
        <w:rPr>
          <w:sz w:val="22"/>
          <w:szCs w:val="22"/>
        </w:rPr>
        <w:t>Department of Wetlands Ecology, Karlsruhe Institute of Technology, Karlsruhe, Germany</w:t>
      </w:r>
    </w:p>
    <w:p w14:paraId="07348D6F" w14:textId="77777777" w:rsidR="0074321C" w:rsidRDefault="00000000">
      <w:pPr>
        <w:rPr>
          <w:sz w:val="22"/>
          <w:szCs w:val="22"/>
        </w:rPr>
      </w:pPr>
      <w:r>
        <w:rPr>
          <w:sz w:val="22"/>
          <w:szCs w:val="22"/>
          <w:vertAlign w:val="superscript"/>
        </w:rPr>
        <w:t>3</w:t>
      </w:r>
      <w:r>
        <w:rPr>
          <w:sz w:val="22"/>
          <w:szCs w:val="22"/>
        </w:rPr>
        <w:t>Department of Geosciences, Federal University of Santa Maria, Santa Maria, Brazil</w:t>
      </w:r>
    </w:p>
    <w:p w14:paraId="06228B22" w14:textId="77777777" w:rsidR="0074321C" w:rsidRDefault="00000000">
      <w:pPr>
        <w:rPr>
          <w:sz w:val="22"/>
          <w:szCs w:val="22"/>
        </w:rPr>
      </w:pPr>
      <w:r>
        <w:rPr>
          <w:sz w:val="22"/>
          <w:szCs w:val="22"/>
          <w:vertAlign w:val="superscript"/>
        </w:rPr>
        <w:t>4</w:t>
      </w:r>
      <w:r>
        <w:rPr>
          <w:sz w:val="22"/>
          <w:szCs w:val="22"/>
        </w:rPr>
        <w:t>Department of Botany, National Institute of Amazonian Research, Manaus, Brazil</w:t>
      </w:r>
    </w:p>
    <w:p w14:paraId="7640467A" w14:textId="77777777" w:rsidR="0074321C" w:rsidRDefault="00000000">
      <w:pPr>
        <w:rPr>
          <w:sz w:val="22"/>
          <w:szCs w:val="22"/>
        </w:rPr>
      </w:pPr>
      <w:r>
        <w:rPr>
          <w:sz w:val="22"/>
          <w:szCs w:val="22"/>
          <w:vertAlign w:val="superscript"/>
        </w:rPr>
        <w:t>5</w:t>
      </w:r>
      <w:r>
        <w:rPr>
          <w:sz w:val="22"/>
          <w:szCs w:val="22"/>
        </w:rPr>
        <w:t>Institute for Ecology and Evolution, Friedrich-Schiller University, Jena, Germany</w:t>
      </w:r>
    </w:p>
    <w:p w14:paraId="1ADCC031" w14:textId="77777777" w:rsidR="0074321C" w:rsidRDefault="00000000">
      <w:pPr>
        <w:rPr>
          <w:sz w:val="22"/>
          <w:szCs w:val="22"/>
        </w:rPr>
      </w:pPr>
      <w:r>
        <w:rPr>
          <w:sz w:val="22"/>
          <w:szCs w:val="22"/>
          <w:vertAlign w:val="superscript"/>
        </w:rPr>
        <w:t>6</w:t>
      </w:r>
      <w:r>
        <w:rPr>
          <w:sz w:val="22"/>
          <w:szCs w:val="22"/>
        </w:rPr>
        <w:t>German Centre for Integrative Biodiversity Research (iDiv) Halle-Jena-Leipzig, Germany</w:t>
      </w:r>
    </w:p>
    <w:p w14:paraId="21C5D3AC" w14:textId="77777777" w:rsidR="0074321C" w:rsidRDefault="00000000">
      <w:pPr>
        <w:rPr>
          <w:sz w:val="22"/>
          <w:szCs w:val="22"/>
        </w:rPr>
      </w:pPr>
      <w:r>
        <w:rPr>
          <w:sz w:val="22"/>
          <w:szCs w:val="22"/>
          <w:vertAlign w:val="superscript"/>
        </w:rPr>
        <w:t>7</w:t>
      </w:r>
      <w:r>
        <w:rPr>
          <w:sz w:val="22"/>
          <w:szCs w:val="22"/>
        </w:rPr>
        <w:t>Senckenberg Institute for Plant Form and Function (SIP), Jena, Germany</w:t>
      </w:r>
    </w:p>
    <w:p w14:paraId="3D5625FB" w14:textId="77777777" w:rsidR="0074321C" w:rsidRDefault="00000000">
      <w:pPr>
        <w:rPr>
          <w:sz w:val="22"/>
          <w:szCs w:val="22"/>
        </w:rPr>
      </w:pPr>
      <w:r>
        <w:rPr>
          <w:sz w:val="22"/>
          <w:szCs w:val="22"/>
          <w:vertAlign w:val="superscript"/>
        </w:rPr>
        <w:t>8</w:t>
      </w:r>
      <w:r>
        <w:rPr>
          <w:sz w:val="22"/>
          <w:szCs w:val="22"/>
        </w:rPr>
        <w:t>Department of Chemistry, University of Amazonas State, Manaus, Brazil</w:t>
      </w:r>
    </w:p>
    <w:p w14:paraId="2CFBE660" w14:textId="77777777" w:rsidR="0074321C" w:rsidRDefault="00000000">
      <w:pPr>
        <w:spacing w:after="240"/>
        <w:rPr>
          <w:sz w:val="22"/>
          <w:szCs w:val="22"/>
        </w:rPr>
      </w:pPr>
      <w:r>
        <w:rPr>
          <w:sz w:val="22"/>
          <w:szCs w:val="22"/>
          <w:vertAlign w:val="superscript"/>
        </w:rPr>
        <w:t>9</w:t>
      </w:r>
      <w:r>
        <w:rPr>
          <w:sz w:val="22"/>
          <w:szCs w:val="22"/>
        </w:rPr>
        <w:t>Department of Climate and Environment, National Institute of Amazonian Research, Manaus, Brazil</w:t>
      </w:r>
    </w:p>
    <w:p w14:paraId="56C1C2B2" w14:textId="77777777" w:rsidR="0074321C" w:rsidRDefault="00000000">
      <w:pPr>
        <w:spacing w:after="240"/>
      </w:pPr>
      <w:r>
        <w:rPr>
          <w:i/>
        </w:rPr>
        <w:t xml:space="preserve">*corresponding authors: </w:t>
      </w:r>
      <w:hyperlink r:id="rId6">
        <w:r w:rsidR="0074321C">
          <w:t>mcarneiro@bgc-jena.mpg.de</w:t>
        </w:r>
      </w:hyperlink>
      <w:r>
        <w:t xml:space="preserve">, </w:t>
      </w:r>
      <w:hyperlink r:id="rId7">
        <w:r w:rsidR="0074321C">
          <w:t>egomes@bgc-jena.mpg.de</w:t>
        </w:r>
      </w:hyperlink>
    </w:p>
    <w:p w14:paraId="62570DFD" w14:textId="77777777" w:rsidR="0074321C" w:rsidRDefault="00000000">
      <w:pPr>
        <w:jc w:val="center"/>
        <w:rPr>
          <w:color w:val="000000"/>
        </w:rPr>
      </w:pPr>
      <w:r>
        <w:rPr>
          <w:noProof/>
          <w:color w:val="000000"/>
        </w:rPr>
        <w:drawing>
          <wp:inline distT="0" distB="0" distL="0" distR="0" wp14:anchorId="1E9B234D" wp14:editId="40A6115F">
            <wp:extent cx="4646852" cy="3097901"/>
            <wp:effectExtent l="0" t="0" r="0" b="0"/>
            <wp:docPr id="1" name="image1.png" descr="A diagram of a storage syste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A diagram of a storage system&#10;&#10;Description automatically generated with medium confidence"/>
                    <pic:cNvPicPr preferRelativeResize="0"/>
                  </pic:nvPicPr>
                  <pic:blipFill>
                    <a:blip r:embed="rId8"/>
                    <a:srcRect/>
                    <a:stretch>
                      <a:fillRect/>
                    </a:stretch>
                  </pic:blipFill>
                  <pic:spPr>
                    <a:xfrm>
                      <a:off x="0" y="0"/>
                      <a:ext cx="4646852" cy="3097901"/>
                    </a:xfrm>
                    <a:prstGeom prst="rect">
                      <a:avLst/>
                    </a:prstGeom>
                    <a:ln/>
                  </pic:spPr>
                </pic:pic>
              </a:graphicData>
            </a:graphic>
          </wp:inline>
        </w:drawing>
      </w:r>
    </w:p>
    <w:p w14:paraId="40C08F42" w14:textId="2E324337" w:rsidR="0074321C" w:rsidRDefault="00000000">
      <w:pPr>
        <w:spacing w:after="240"/>
        <w:rPr>
          <w:color w:val="000000"/>
          <w:sz w:val="28"/>
          <w:szCs w:val="28"/>
        </w:rPr>
      </w:pPr>
      <w:r>
        <w:rPr>
          <w:b/>
        </w:rPr>
        <w:t>Figure S1.</w:t>
      </w:r>
      <w:r>
        <w:t xml:space="preserve"> Results from logistic regression model (</w:t>
      </w:r>
      <w:r>
        <w:rPr>
          <w:i/>
        </w:rPr>
        <w:t>n</w:t>
      </w:r>
      <w:r>
        <w:t xml:space="preserve"> = 169 trees) between total phenolics content and presence of sesquiterpene storage. Total phenolics measurements are described in Robin </w:t>
      </w:r>
      <w:r>
        <w:rPr>
          <w:i/>
        </w:rPr>
        <w:t>et al</w:t>
      </w:r>
      <w:r>
        <w:t>. (2024) and data can be found in: 10.17871/atto.363.7.1695.</w:t>
      </w:r>
      <w:r w:rsidR="00462C79">
        <w:t xml:space="preserve"> Violin plots show the distribution and density of the observed data points, </w:t>
      </w:r>
      <w:r w:rsidR="00462C79">
        <w:lastRenderedPageBreak/>
        <w:t>boxplots show the median and 25th and 75th percentiles, whiskers show the maximum and minimum acquired data points that were not considered outliers, and black circles represent the observed data points.</w:t>
      </w:r>
    </w:p>
    <w:p w14:paraId="3644A37B" w14:textId="77777777" w:rsidR="0074321C" w:rsidRDefault="00000000">
      <w:pPr>
        <w:spacing w:before="240" w:after="240"/>
        <w:rPr>
          <w:sz w:val="28"/>
          <w:szCs w:val="28"/>
        </w:rPr>
      </w:pPr>
      <w:r>
        <w:rPr>
          <w:b/>
        </w:rPr>
        <w:t>Table S1.</w:t>
      </w:r>
      <w:r>
        <w:t xml:space="preserve"> List of detected stored monoterpenes and sesquiterpenes and number (</w:t>
      </w:r>
      <w:r>
        <w:rPr>
          <w:i/>
        </w:rPr>
        <w:t>n</w:t>
      </w:r>
      <w:r>
        <w:t xml:space="preserve">) of trees in which each compound was detected, adapted from Robin </w:t>
      </w:r>
      <w:r>
        <w:rPr>
          <w:i/>
        </w:rPr>
        <w:t>et al</w:t>
      </w:r>
      <w:r>
        <w:t>. (2024).</w:t>
      </w:r>
    </w:p>
    <w:tbl>
      <w:tblPr>
        <w:tblStyle w:val="a"/>
        <w:tblW w:w="6750" w:type="dxa"/>
        <w:jc w:val="center"/>
        <w:tblLayout w:type="fixed"/>
        <w:tblLook w:val="0400" w:firstRow="0" w:lastRow="0" w:firstColumn="0" w:lastColumn="0" w:noHBand="0" w:noVBand="1"/>
      </w:tblPr>
      <w:tblGrid>
        <w:gridCol w:w="1710"/>
        <w:gridCol w:w="1350"/>
        <w:gridCol w:w="2580"/>
        <w:gridCol w:w="1110"/>
      </w:tblGrid>
      <w:tr w:rsidR="0074321C" w14:paraId="4CDB3397" w14:textId="77777777">
        <w:trPr>
          <w:trHeight w:val="144"/>
          <w:jc w:val="center"/>
        </w:trPr>
        <w:tc>
          <w:tcPr>
            <w:tcW w:w="3060" w:type="dxa"/>
            <w:gridSpan w:val="2"/>
            <w:tcBorders>
              <w:top w:val="nil"/>
              <w:left w:val="nil"/>
              <w:bottom w:val="nil"/>
              <w:right w:val="nil"/>
            </w:tcBorders>
            <w:shd w:val="clear" w:color="auto" w:fill="auto"/>
            <w:vAlign w:val="center"/>
          </w:tcPr>
          <w:p w14:paraId="02406A9F" w14:textId="77777777" w:rsidR="0074321C" w:rsidRDefault="00000000">
            <w:pPr>
              <w:spacing w:line="240" w:lineRule="auto"/>
              <w:jc w:val="center"/>
              <w:rPr>
                <w:b/>
                <w:color w:val="000000"/>
                <w:sz w:val="22"/>
                <w:szCs w:val="22"/>
              </w:rPr>
            </w:pPr>
            <w:r>
              <w:rPr>
                <w:b/>
                <w:color w:val="000000"/>
                <w:sz w:val="22"/>
                <w:szCs w:val="22"/>
              </w:rPr>
              <w:t>Stored monoterpenes</w:t>
            </w:r>
          </w:p>
        </w:tc>
        <w:tc>
          <w:tcPr>
            <w:tcW w:w="3690" w:type="dxa"/>
            <w:gridSpan w:val="2"/>
            <w:tcBorders>
              <w:top w:val="nil"/>
              <w:left w:val="nil"/>
              <w:bottom w:val="nil"/>
            </w:tcBorders>
            <w:vAlign w:val="center"/>
          </w:tcPr>
          <w:p w14:paraId="7C470D6E" w14:textId="77777777" w:rsidR="0074321C" w:rsidRDefault="00000000">
            <w:pPr>
              <w:spacing w:line="240" w:lineRule="auto"/>
              <w:jc w:val="center"/>
              <w:rPr>
                <w:b/>
                <w:color w:val="000000"/>
                <w:sz w:val="22"/>
                <w:szCs w:val="22"/>
              </w:rPr>
            </w:pPr>
            <w:r>
              <w:rPr>
                <w:b/>
                <w:color w:val="000000"/>
                <w:sz w:val="22"/>
                <w:szCs w:val="22"/>
              </w:rPr>
              <w:t>Stored sesquiterpenes</w:t>
            </w:r>
          </w:p>
        </w:tc>
      </w:tr>
      <w:tr w:rsidR="0074321C" w14:paraId="5505855F" w14:textId="77777777">
        <w:trPr>
          <w:trHeight w:val="144"/>
          <w:jc w:val="center"/>
        </w:trPr>
        <w:tc>
          <w:tcPr>
            <w:tcW w:w="1710" w:type="dxa"/>
            <w:tcBorders>
              <w:top w:val="nil"/>
              <w:left w:val="nil"/>
              <w:bottom w:val="single" w:sz="12" w:space="0" w:color="000000"/>
              <w:right w:val="nil"/>
            </w:tcBorders>
            <w:shd w:val="clear" w:color="auto" w:fill="auto"/>
            <w:vAlign w:val="center"/>
          </w:tcPr>
          <w:p w14:paraId="105717BA" w14:textId="77777777" w:rsidR="0074321C" w:rsidRDefault="00000000">
            <w:pPr>
              <w:spacing w:line="240" w:lineRule="auto"/>
              <w:jc w:val="center"/>
              <w:rPr>
                <w:b/>
                <w:color w:val="000000"/>
                <w:sz w:val="22"/>
                <w:szCs w:val="22"/>
              </w:rPr>
            </w:pPr>
            <w:r>
              <w:rPr>
                <w:b/>
                <w:color w:val="000000"/>
                <w:sz w:val="22"/>
                <w:szCs w:val="22"/>
              </w:rPr>
              <w:t>Compound</w:t>
            </w:r>
          </w:p>
        </w:tc>
        <w:tc>
          <w:tcPr>
            <w:tcW w:w="1350" w:type="dxa"/>
            <w:tcBorders>
              <w:top w:val="nil"/>
              <w:left w:val="nil"/>
              <w:bottom w:val="single" w:sz="12" w:space="0" w:color="000000"/>
              <w:right w:val="nil"/>
            </w:tcBorders>
            <w:shd w:val="clear" w:color="auto" w:fill="auto"/>
            <w:vAlign w:val="center"/>
          </w:tcPr>
          <w:p w14:paraId="7835F550" w14:textId="77777777" w:rsidR="0074321C" w:rsidRDefault="00000000">
            <w:pPr>
              <w:spacing w:line="240" w:lineRule="auto"/>
              <w:jc w:val="center"/>
              <w:rPr>
                <w:b/>
                <w:color w:val="000000"/>
                <w:sz w:val="22"/>
                <w:szCs w:val="22"/>
              </w:rPr>
            </w:pPr>
            <w:r>
              <w:rPr>
                <w:b/>
                <w:i/>
                <w:color w:val="000000"/>
                <w:sz w:val="22"/>
                <w:szCs w:val="22"/>
              </w:rPr>
              <w:t>n</w:t>
            </w:r>
            <w:r>
              <w:rPr>
                <w:b/>
                <w:color w:val="000000"/>
                <w:sz w:val="22"/>
                <w:szCs w:val="22"/>
              </w:rPr>
              <w:t xml:space="preserve"> of trees</w:t>
            </w:r>
          </w:p>
        </w:tc>
        <w:tc>
          <w:tcPr>
            <w:tcW w:w="2580" w:type="dxa"/>
            <w:tcBorders>
              <w:top w:val="nil"/>
              <w:left w:val="nil"/>
              <w:bottom w:val="single" w:sz="12" w:space="0" w:color="000000"/>
              <w:right w:val="nil"/>
            </w:tcBorders>
            <w:vAlign w:val="center"/>
          </w:tcPr>
          <w:p w14:paraId="4910E77D" w14:textId="77777777" w:rsidR="0074321C" w:rsidRDefault="00000000">
            <w:pPr>
              <w:spacing w:line="240" w:lineRule="auto"/>
              <w:jc w:val="center"/>
              <w:rPr>
                <w:b/>
                <w:color w:val="000000"/>
                <w:sz w:val="22"/>
                <w:szCs w:val="22"/>
              </w:rPr>
            </w:pPr>
            <w:r>
              <w:rPr>
                <w:b/>
                <w:color w:val="000000"/>
                <w:sz w:val="22"/>
                <w:szCs w:val="22"/>
              </w:rPr>
              <w:t>Compound</w:t>
            </w:r>
          </w:p>
        </w:tc>
        <w:tc>
          <w:tcPr>
            <w:tcW w:w="1110" w:type="dxa"/>
            <w:tcBorders>
              <w:top w:val="nil"/>
              <w:left w:val="nil"/>
              <w:bottom w:val="single" w:sz="12" w:space="0" w:color="000000"/>
              <w:right w:val="nil"/>
            </w:tcBorders>
            <w:vAlign w:val="center"/>
          </w:tcPr>
          <w:p w14:paraId="288D6FC4" w14:textId="77777777" w:rsidR="0074321C" w:rsidRDefault="00000000">
            <w:pPr>
              <w:spacing w:line="240" w:lineRule="auto"/>
              <w:jc w:val="center"/>
              <w:rPr>
                <w:b/>
                <w:color w:val="000000"/>
                <w:sz w:val="22"/>
                <w:szCs w:val="22"/>
              </w:rPr>
            </w:pPr>
            <w:r>
              <w:rPr>
                <w:b/>
                <w:i/>
                <w:color w:val="000000"/>
                <w:sz w:val="22"/>
                <w:szCs w:val="22"/>
              </w:rPr>
              <w:t>n</w:t>
            </w:r>
            <w:r>
              <w:rPr>
                <w:b/>
                <w:color w:val="000000"/>
                <w:sz w:val="22"/>
                <w:szCs w:val="22"/>
              </w:rPr>
              <w:t xml:space="preserve"> of trees</w:t>
            </w:r>
          </w:p>
        </w:tc>
      </w:tr>
      <w:tr w:rsidR="0074321C" w14:paraId="75436C83" w14:textId="77777777">
        <w:trPr>
          <w:trHeight w:val="144"/>
          <w:jc w:val="center"/>
        </w:trPr>
        <w:tc>
          <w:tcPr>
            <w:tcW w:w="1710" w:type="dxa"/>
            <w:tcBorders>
              <w:top w:val="single" w:sz="12" w:space="0" w:color="000000"/>
              <w:left w:val="nil"/>
              <w:bottom w:val="nil"/>
              <w:right w:val="nil"/>
            </w:tcBorders>
            <w:shd w:val="clear" w:color="auto" w:fill="auto"/>
            <w:vAlign w:val="bottom"/>
          </w:tcPr>
          <w:p w14:paraId="4FDA7F2D" w14:textId="77777777" w:rsidR="0074321C" w:rsidRDefault="00000000">
            <w:pPr>
              <w:spacing w:line="240" w:lineRule="auto"/>
              <w:jc w:val="center"/>
              <w:rPr>
                <w:color w:val="000000"/>
                <w:sz w:val="22"/>
                <w:szCs w:val="22"/>
              </w:rPr>
            </w:pPr>
            <w:r>
              <w:rPr>
                <w:color w:val="000000"/>
                <w:sz w:val="22"/>
                <w:szCs w:val="22"/>
              </w:rPr>
              <w:t>Limonene</w:t>
            </w:r>
          </w:p>
        </w:tc>
        <w:tc>
          <w:tcPr>
            <w:tcW w:w="1350" w:type="dxa"/>
            <w:tcBorders>
              <w:top w:val="single" w:sz="12" w:space="0" w:color="000000"/>
              <w:left w:val="nil"/>
              <w:bottom w:val="nil"/>
              <w:right w:val="nil"/>
            </w:tcBorders>
            <w:shd w:val="clear" w:color="auto" w:fill="auto"/>
            <w:vAlign w:val="bottom"/>
          </w:tcPr>
          <w:p w14:paraId="0C4DD03F" w14:textId="77777777" w:rsidR="0074321C" w:rsidRDefault="00000000">
            <w:pPr>
              <w:spacing w:line="240" w:lineRule="auto"/>
              <w:jc w:val="center"/>
              <w:rPr>
                <w:color w:val="000000"/>
                <w:sz w:val="22"/>
                <w:szCs w:val="22"/>
              </w:rPr>
            </w:pPr>
            <w:r>
              <w:rPr>
                <w:color w:val="000000"/>
                <w:sz w:val="22"/>
                <w:szCs w:val="22"/>
              </w:rPr>
              <w:t>56</w:t>
            </w:r>
          </w:p>
        </w:tc>
        <w:tc>
          <w:tcPr>
            <w:tcW w:w="2580" w:type="dxa"/>
            <w:tcBorders>
              <w:top w:val="single" w:sz="12" w:space="0" w:color="000000"/>
              <w:left w:val="nil"/>
              <w:bottom w:val="nil"/>
              <w:right w:val="nil"/>
            </w:tcBorders>
            <w:vAlign w:val="bottom"/>
          </w:tcPr>
          <w:p w14:paraId="203AADC5" w14:textId="77777777" w:rsidR="0074321C" w:rsidRDefault="00000000">
            <w:pPr>
              <w:spacing w:line="240" w:lineRule="auto"/>
              <w:jc w:val="center"/>
              <w:rPr>
                <w:color w:val="000000"/>
                <w:sz w:val="22"/>
                <w:szCs w:val="22"/>
              </w:rPr>
            </w:pPr>
            <w:r>
              <w:rPr>
                <w:color w:val="000000"/>
                <w:sz w:val="22"/>
                <w:szCs w:val="22"/>
              </w:rPr>
              <w:t>Caryophyllene</w:t>
            </w:r>
          </w:p>
        </w:tc>
        <w:tc>
          <w:tcPr>
            <w:tcW w:w="1110" w:type="dxa"/>
            <w:tcBorders>
              <w:top w:val="single" w:sz="12" w:space="0" w:color="000000"/>
              <w:left w:val="nil"/>
              <w:bottom w:val="nil"/>
              <w:right w:val="nil"/>
            </w:tcBorders>
            <w:vAlign w:val="bottom"/>
          </w:tcPr>
          <w:p w14:paraId="062930D7" w14:textId="77777777" w:rsidR="0074321C" w:rsidRDefault="00000000">
            <w:pPr>
              <w:spacing w:line="240" w:lineRule="auto"/>
              <w:jc w:val="center"/>
              <w:rPr>
                <w:color w:val="000000"/>
                <w:sz w:val="22"/>
                <w:szCs w:val="22"/>
              </w:rPr>
            </w:pPr>
            <w:r>
              <w:rPr>
                <w:color w:val="000000"/>
                <w:sz w:val="22"/>
                <w:szCs w:val="22"/>
              </w:rPr>
              <w:t>97</w:t>
            </w:r>
          </w:p>
        </w:tc>
      </w:tr>
      <w:tr w:rsidR="0074321C" w14:paraId="62863ACD" w14:textId="77777777">
        <w:trPr>
          <w:trHeight w:val="144"/>
          <w:jc w:val="center"/>
        </w:trPr>
        <w:tc>
          <w:tcPr>
            <w:tcW w:w="1710" w:type="dxa"/>
            <w:tcBorders>
              <w:top w:val="nil"/>
              <w:left w:val="nil"/>
              <w:bottom w:val="nil"/>
              <w:right w:val="nil"/>
            </w:tcBorders>
            <w:shd w:val="clear" w:color="auto" w:fill="auto"/>
            <w:vAlign w:val="bottom"/>
          </w:tcPr>
          <w:p w14:paraId="36A6D793" w14:textId="77777777" w:rsidR="0074321C" w:rsidRDefault="00000000">
            <w:pPr>
              <w:spacing w:line="240" w:lineRule="auto"/>
              <w:jc w:val="center"/>
              <w:rPr>
                <w:color w:val="000000"/>
                <w:sz w:val="22"/>
                <w:szCs w:val="22"/>
              </w:rPr>
            </w:pPr>
            <w:r>
              <w:rPr>
                <w:color w:val="000000"/>
                <w:sz w:val="22"/>
                <w:szCs w:val="22"/>
              </w:rPr>
              <w:t>Linalool</w:t>
            </w:r>
          </w:p>
        </w:tc>
        <w:tc>
          <w:tcPr>
            <w:tcW w:w="1350" w:type="dxa"/>
            <w:tcBorders>
              <w:top w:val="nil"/>
              <w:left w:val="nil"/>
              <w:bottom w:val="nil"/>
              <w:right w:val="nil"/>
            </w:tcBorders>
            <w:shd w:val="clear" w:color="auto" w:fill="auto"/>
            <w:vAlign w:val="bottom"/>
          </w:tcPr>
          <w:p w14:paraId="39A8F127" w14:textId="77777777" w:rsidR="0074321C" w:rsidRDefault="00000000">
            <w:pPr>
              <w:spacing w:line="240" w:lineRule="auto"/>
              <w:jc w:val="center"/>
              <w:rPr>
                <w:color w:val="000000"/>
                <w:sz w:val="22"/>
                <w:szCs w:val="22"/>
              </w:rPr>
            </w:pPr>
            <w:r>
              <w:rPr>
                <w:color w:val="000000"/>
                <w:sz w:val="22"/>
                <w:szCs w:val="22"/>
              </w:rPr>
              <w:t>39</w:t>
            </w:r>
          </w:p>
        </w:tc>
        <w:tc>
          <w:tcPr>
            <w:tcW w:w="2580" w:type="dxa"/>
            <w:tcBorders>
              <w:top w:val="nil"/>
              <w:left w:val="nil"/>
              <w:bottom w:val="nil"/>
              <w:right w:val="nil"/>
            </w:tcBorders>
            <w:vAlign w:val="bottom"/>
          </w:tcPr>
          <w:p w14:paraId="21383B56" w14:textId="77777777" w:rsidR="0074321C" w:rsidRDefault="00000000">
            <w:pPr>
              <w:spacing w:line="240" w:lineRule="auto"/>
              <w:jc w:val="center"/>
              <w:rPr>
                <w:color w:val="000000"/>
                <w:sz w:val="22"/>
                <w:szCs w:val="22"/>
              </w:rPr>
            </w:pPr>
            <w:r>
              <w:rPr>
                <w:color w:val="000000"/>
                <w:sz w:val="22"/>
                <w:szCs w:val="22"/>
              </w:rPr>
              <w:t>Copaene</w:t>
            </w:r>
          </w:p>
        </w:tc>
        <w:tc>
          <w:tcPr>
            <w:tcW w:w="1110" w:type="dxa"/>
            <w:tcBorders>
              <w:top w:val="nil"/>
              <w:left w:val="nil"/>
              <w:bottom w:val="nil"/>
              <w:right w:val="nil"/>
            </w:tcBorders>
            <w:vAlign w:val="bottom"/>
          </w:tcPr>
          <w:p w14:paraId="054927BD" w14:textId="77777777" w:rsidR="0074321C" w:rsidRDefault="00000000">
            <w:pPr>
              <w:spacing w:line="240" w:lineRule="auto"/>
              <w:jc w:val="center"/>
              <w:rPr>
                <w:color w:val="000000"/>
                <w:sz w:val="22"/>
                <w:szCs w:val="22"/>
              </w:rPr>
            </w:pPr>
            <w:r>
              <w:rPr>
                <w:color w:val="000000"/>
                <w:sz w:val="22"/>
                <w:szCs w:val="22"/>
              </w:rPr>
              <w:t>94</w:t>
            </w:r>
          </w:p>
        </w:tc>
      </w:tr>
      <w:tr w:rsidR="0074321C" w14:paraId="63FEDD56" w14:textId="77777777">
        <w:trPr>
          <w:trHeight w:val="144"/>
          <w:jc w:val="center"/>
        </w:trPr>
        <w:tc>
          <w:tcPr>
            <w:tcW w:w="1710" w:type="dxa"/>
            <w:tcBorders>
              <w:top w:val="nil"/>
              <w:left w:val="nil"/>
              <w:bottom w:val="nil"/>
              <w:right w:val="nil"/>
            </w:tcBorders>
            <w:shd w:val="clear" w:color="auto" w:fill="auto"/>
            <w:vAlign w:val="bottom"/>
          </w:tcPr>
          <w:p w14:paraId="528AACB4" w14:textId="77777777" w:rsidR="0074321C" w:rsidRDefault="00000000">
            <w:pPr>
              <w:spacing w:line="240" w:lineRule="auto"/>
              <w:jc w:val="center"/>
              <w:rPr>
                <w:color w:val="000000"/>
                <w:sz w:val="22"/>
                <w:szCs w:val="22"/>
              </w:rPr>
            </w:pPr>
            <w:r>
              <w:rPr>
                <w:color w:val="000000"/>
                <w:sz w:val="22"/>
                <w:szCs w:val="22"/>
              </w:rPr>
              <w:t>p-Cymene</w:t>
            </w:r>
          </w:p>
        </w:tc>
        <w:tc>
          <w:tcPr>
            <w:tcW w:w="1350" w:type="dxa"/>
            <w:tcBorders>
              <w:top w:val="nil"/>
              <w:left w:val="nil"/>
              <w:bottom w:val="nil"/>
              <w:right w:val="nil"/>
            </w:tcBorders>
            <w:shd w:val="clear" w:color="auto" w:fill="auto"/>
            <w:vAlign w:val="bottom"/>
          </w:tcPr>
          <w:p w14:paraId="2D105440" w14:textId="77777777" w:rsidR="0074321C" w:rsidRDefault="00000000">
            <w:pPr>
              <w:spacing w:line="240" w:lineRule="auto"/>
              <w:jc w:val="center"/>
              <w:rPr>
                <w:color w:val="000000"/>
                <w:sz w:val="22"/>
                <w:szCs w:val="22"/>
              </w:rPr>
            </w:pPr>
            <w:r>
              <w:rPr>
                <w:color w:val="000000"/>
                <w:sz w:val="22"/>
                <w:szCs w:val="22"/>
              </w:rPr>
              <w:t>35</w:t>
            </w:r>
          </w:p>
        </w:tc>
        <w:tc>
          <w:tcPr>
            <w:tcW w:w="2580" w:type="dxa"/>
            <w:tcBorders>
              <w:top w:val="nil"/>
              <w:left w:val="nil"/>
              <w:bottom w:val="nil"/>
              <w:right w:val="nil"/>
            </w:tcBorders>
            <w:vAlign w:val="bottom"/>
          </w:tcPr>
          <w:p w14:paraId="667CF370" w14:textId="77777777" w:rsidR="0074321C" w:rsidRDefault="00000000">
            <w:pPr>
              <w:spacing w:line="240" w:lineRule="auto"/>
              <w:jc w:val="center"/>
              <w:rPr>
                <w:color w:val="000000"/>
                <w:sz w:val="22"/>
                <w:szCs w:val="22"/>
              </w:rPr>
            </w:pPr>
            <w:r>
              <w:rPr>
                <w:color w:val="000000"/>
                <w:sz w:val="22"/>
                <w:szCs w:val="22"/>
              </w:rPr>
              <w:t>α-Calacorene</w:t>
            </w:r>
          </w:p>
        </w:tc>
        <w:tc>
          <w:tcPr>
            <w:tcW w:w="1110" w:type="dxa"/>
            <w:tcBorders>
              <w:top w:val="nil"/>
              <w:left w:val="nil"/>
              <w:bottom w:val="nil"/>
              <w:right w:val="nil"/>
            </w:tcBorders>
            <w:vAlign w:val="bottom"/>
          </w:tcPr>
          <w:p w14:paraId="629407DF" w14:textId="77777777" w:rsidR="0074321C" w:rsidRDefault="00000000">
            <w:pPr>
              <w:spacing w:line="240" w:lineRule="auto"/>
              <w:jc w:val="center"/>
              <w:rPr>
                <w:color w:val="000000"/>
                <w:sz w:val="22"/>
                <w:szCs w:val="22"/>
              </w:rPr>
            </w:pPr>
            <w:r>
              <w:rPr>
                <w:color w:val="000000"/>
                <w:sz w:val="22"/>
                <w:szCs w:val="22"/>
              </w:rPr>
              <w:t>31</w:t>
            </w:r>
          </w:p>
        </w:tc>
      </w:tr>
      <w:tr w:rsidR="0074321C" w14:paraId="18F984FD" w14:textId="77777777">
        <w:trPr>
          <w:trHeight w:val="144"/>
          <w:jc w:val="center"/>
        </w:trPr>
        <w:tc>
          <w:tcPr>
            <w:tcW w:w="1710" w:type="dxa"/>
            <w:tcBorders>
              <w:top w:val="nil"/>
              <w:left w:val="nil"/>
              <w:bottom w:val="nil"/>
              <w:right w:val="nil"/>
            </w:tcBorders>
            <w:shd w:val="clear" w:color="auto" w:fill="auto"/>
            <w:vAlign w:val="bottom"/>
          </w:tcPr>
          <w:p w14:paraId="437E1897" w14:textId="77777777" w:rsidR="0074321C" w:rsidRDefault="00000000">
            <w:pPr>
              <w:spacing w:line="240" w:lineRule="auto"/>
              <w:jc w:val="center"/>
              <w:rPr>
                <w:color w:val="000000"/>
                <w:sz w:val="22"/>
                <w:szCs w:val="22"/>
              </w:rPr>
            </w:pPr>
            <w:r>
              <w:rPr>
                <w:color w:val="000000"/>
                <w:sz w:val="22"/>
                <w:szCs w:val="22"/>
              </w:rPr>
              <w:t>α-Terpineol</w:t>
            </w:r>
          </w:p>
        </w:tc>
        <w:tc>
          <w:tcPr>
            <w:tcW w:w="1350" w:type="dxa"/>
            <w:tcBorders>
              <w:top w:val="nil"/>
              <w:left w:val="nil"/>
              <w:bottom w:val="nil"/>
              <w:right w:val="nil"/>
            </w:tcBorders>
            <w:shd w:val="clear" w:color="auto" w:fill="auto"/>
            <w:vAlign w:val="bottom"/>
          </w:tcPr>
          <w:p w14:paraId="5782255B" w14:textId="77777777" w:rsidR="0074321C" w:rsidRDefault="00000000">
            <w:pPr>
              <w:spacing w:line="240" w:lineRule="auto"/>
              <w:jc w:val="center"/>
              <w:rPr>
                <w:color w:val="000000"/>
                <w:sz w:val="22"/>
                <w:szCs w:val="22"/>
              </w:rPr>
            </w:pPr>
            <w:r>
              <w:rPr>
                <w:color w:val="000000"/>
                <w:sz w:val="22"/>
                <w:szCs w:val="22"/>
              </w:rPr>
              <w:t>33</w:t>
            </w:r>
          </w:p>
        </w:tc>
        <w:tc>
          <w:tcPr>
            <w:tcW w:w="2580" w:type="dxa"/>
            <w:tcBorders>
              <w:top w:val="nil"/>
              <w:left w:val="nil"/>
              <w:bottom w:val="nil"/>
              <w:right w:val="nil"/>
            </w:tcBorders>
            <w:vAlign w:val="bottom"/>
          </w:tcPr>
          <w:p w14:paraId="36DFFF5B" w14:textId="77777777" w:rsidR="0074321C" w:rsidRDefault="00000000">
            <w:pPr>
              <w:spacing w:line="240" w:lineRule="auto"/>
              <w:jc w:val="center"/>
              <w:rPr>
                <w:color w:val="000000"/>
                <w:sz w:val="22"/>
                <w:szCs w:val="22"/>
              </w:rPr>
            </w:pPr>
            <w:r>
              <w:rPr>
                <w:color w:val="000000"/>
                <w:sz w:val="22"/>
                <w:szCs w:val="22"/>
              </w:rPr>
              <w:t>Alloaromadendrene</w:t>
            </w:r>
          </w:p>
        </w:tc>
        <w:tc>
          <w:tcPr>
            <w:tcW w:w="1110" w:type="dxa"/>
            <w:tcBorders>
              <w:top w:val="nil"/>
              <w:left w:val="nil"/>
              <w:bottom w:val="nil"/>
              <w:right w:val="nil"/>
            </w:tcBorders>
            <w:vAlign w:val="bottom"/>
          </w:tcPr>
          <w:p w14:paraId="4A542418" w14:textId="77777777" w:rsidR="0074321C" w:rsidRDefault="00000000">
            <w:pPr>
              <w:spacing w:line="240" w:lineRule="auto"/>
              <w:jc w:val="center"/>
              <w:rPr>
                <w:color w:val="000000"/>
                <w:sz w:val="22"/>
                <w:szCs w:val="22"/>
              </w:rPr>
            </w:pPr>
            <w:r>
              <w:rPr>
                <w:color w:val="000000"/>
                <w:sz w:val="22"/>
                <w:szCs w:val="22"/>
              </w:rPr>
              <w:t>31</w:t>
            </w:r>
          </w:p>
        </w:tc>
      </w:tr>
      <w:tr w:rsidR="0074321C" w14:paraId="0EFD0E5C" w14:textId="77777777">
        <w:trPr>
          <w:trHeight w:val="144"/>
          <w:jc w:val="center"/>
        </w:trPr>
        <w:tc>
          <w:tcPr>
            <w:tcW w:w="1710" w:type="dxa"/>
            <w:tcBorders>
              <w:top w:val="nil"/>
              <w:left w:val="nil"/>
              <w:bottom w:val="nil"/>
              <w:right w:val="nil"/>
            </w:tcBorders>
            <w:shd w:val="clear" w:color="auto" w:fill="auto"/>
            <w:vAlign w:val="bottom"/>
          </w:tcPr>
          <w:p w14:paraId="376F9056" w14:textId="77777777" w:rsidR="0074321C" w:rsidRDefault="00000000">
            <w:pPr>
              <w:spacing w:line="240" w:lineRule="auto"/>
              <w:jc w:val="center"/>
              <w:rPr>
                <w:color w:val="000000"/>
                <w:sz w:val="22"/>
                <w:szCs w:val="22"/>
              </w:rPr>
            </w:pPr>
            <w:r>
              <w:rPr>
                <w:color w:val="000000"/>
                <w:sz w:val="22"/>
                <w:szCs w:val="22"/>
              </w:rPr>
              <w:t>α-Pinene</w:t>
            </w:r>
          </w:p>
        </w:tc>
        <w:tc>
          <w:tcPr>
            <w:tcW w:w="1350" w:type="dxa"/>
            <w:tcBorders>
              <w:top w:val="nil"/>
              <w:left w:val="nil"/>
              <w:bottom w:val="nil"/>
              <w:right w:val="nil"/>
            </w:tcBorders>
            <w:shd w:val="clear" w:color="auto" w:fill="auto"/>
            <w:vAlign w:val="bottom"/>
          </w:tcPr>
          <w:p w14:paraId="4E011672" w14:textId="77777777" w:rsidR="0074321C" w:rsidRDefault="00000000">
            <w:pPr>
              <w:spacing w:line="240" w:lineRule="auto"/>
              <w:jc w:val="center"/>
              <w:rPr>
                <w:color w:val="000000"/>
                <w:sz w:val="22"/>
                <w:szCs w:val="22"/>
              </w:rPr>
            </w:pPr>
            <w:r>
              <w:rPr>
                <w:color w:val="000000"/>
                <w:sz w:val="22"/>
                <w:szCs w:val="22"/>
              </w:rPr>
              <w:t>17</w:t>
            </w:r>
          </w:p>
        </w:tc>
        <w:tc>
          <w:tcPr>
            <w:tcW w:w="2580" w:type="dxa"/>
            <w:tcBorders>
              <w:top w:val="nil"/>
              <w:left w:val="nil"/>
              <w:bottom w:val="nil"/>
              <w:right w:val="nil"/>
            </w:tcBorders>
            <w:vAlign w:val="bottom"/>
          </w:tcPr>
          <w:p w14:paraId="1AC70023" w14:textId="77777777" w:rsidR="0074321C" w:rsidRDefault="00000000">
            <w:pPr>
              <w:spacing w:line="240" w:lineRule="auto"/>
              <w:jc w:val="center"/>
              <w:rPr>
                <w:color w:val="000000"/>
                <w:sz w:val="22"/>
                <w:szCs w:val="22"/>
              </w:rPr>
            </w:pPr>
            <w:r>
              <w:rPr>
                <w:color w:val="000000"/>
                <w:sz w:val="22"/>
                <w:szCs w:val="22"/>
              </w:rPr>
              <w:t>α-Cubebene</w:t>
            </w:r>
          </w:p>
        </w:tc>
        <w:tc>
          <w:tcPr>
            <w:tcW w:w="1110" w:type="dxa"/>
            <w:tcBorders>
              <w:top w:val="nil"/>
              <w:left w:val="nil"/>
              <w:bottom w:val="nil"/>
              <w:right w:val="nil"/>
            </w:tcBorders>
            <w:vAlign w:val="bottom"/>
          </w:tcPr>
          <w:p w14:paraId="5F5D07B2" w14:textId="77777777" w:rsidR="0074321C" w:rsidRDefault="00000000">
            <w:pPr>
              <w:spacing w:line="240" w:lineRule="auto"/>
              <w:jc w:val="center"/>
              <w:rPr>
                <w:color w:val="000000"/>
                <w:sz w:val="22"/>
                <w:szCs w:val="22"/>
              </w:rPr>
            </w:pPr>
            <w:r>
              <w:rPr>
                <w:color w:val="000000"/>
                <w:sz w:val="22"/>
                <w:szCs w:val="22"/>
              </w:rPr>
              <w:t>27</w:t>
            </w:r>
          </w:p>
        </w:tc>
      </w:tr>
      <w:tr w:rsidR="0074321C" w14:paraId="5C6CAB1A" w14:textId="77777777">
        <w:trPr>
          <w:trHeight w:val="144"/>
          <w:jc w:val="center"/>
        </w:trPr>
        <w:tc>
          <w:tcPr>
            <w:tcW w:w="1710" w:type="dxa"/>
            <w:tcBorders>
              <w:top w:val="nil"/>
              <w:left w:val="nil"/>
              <w:bottom w:val="nil"/>
              <w:right w:val="nil"/>
            </w:tcBorders>
            <w:shd w:val="clear" w:color="auto" w:fill="auto"/>
            <w:vAlign w:val="bottom"/>
          </w:tcPr>
          <w:p w14:paraId="1D1C98F8" w14:textId="77777777" w:rsidR="0074321C" w:rsidRDefault="00000000">
            <w:pPr>
              <w:spacing w:line="240" w:lineRule="auto"/>
              <w:jc w:val="center"/>
              <w:rPr>
                <w:color w:val="000000"/>
                <w:sz w:val="22"/>
                <w:szCs w:val="22"/>
              </w:rPr>
            </w:pPr>
            <w:r>
              <w:rPr>
                <w:color w:val="000000"/>
                <w:sz w:val="22"/>
                <w:szCs w:val="22"/>
              </w:rPr>
              <w:t>γ-Terpinene</w:t>
            </w:r>
          </w:p>
        </w:tc>
        <w:tc>
          <w:tcPr>
            <w:tcW w:w="1350" w:type="dxa"/>
            <w:tcBorders>
              <w:top w:val="nil"/>
              <w:left w:val="nil"/>
              <w:bottom w:val="nil"/>
              <w:right w:val="nil"/>
            </w:tcBorders>
            <w:shd w:val="clear" w:color="auto" w:fill="auto"/>
            <w:vAlign w:val="bottom"/>
          </w:tcPr>
          <w:p w14:paraId="6D2528C0" w14:textId="77777777" w:rsidR="0074321C" w:rsidRDefault="00000000">
            <w:pPr>
              <w:spacing w:line="240" w:lineRule="auto"/>
              <w:jc w:val="center"/>
              <w:rPr>
                <w:color w:val="000000"/>
                <w:sz w:val="22"/>
                <w:szCs w:val="22"/>
              </w:rPr>
            </w:pPr>
            <w:r>
              <w:rPr>
                <w:color w:val="000000"/>
                <w:sz w:val="22"/>
                <w:szCs w:val="22"/>
              </w:rPr>
              <w:t>16</w:t>
            </w:r>
          </w:p>
        </w:tc>
        <w:tc>
          <w:tcPr>
            <w:tcW w:w="2580" w:type="dxa"/>
            <w:tcBorders>
              <w:top w:val="nil"/>
              <w:left w:val="nil"/>
              <w:bottom w:val="nil"/>
              <w:right w:val="nil"/>
            </w:tcBorders>
            <w:vAlign w:val="bottom"/>
          </w:tcPr>
          <w:p w14:paraId="4599329A" w14:textId="77777777" w:rsidR="0074321C" w:rsidRDefault="00000000">
            <w:pPr>
              <w:spacing w:line="240" w:lineRule="auto"/>
              <w:jc w:val="center"/>
              <w:rPr>
                <w:color w:val="000000"/>
                <w:sz w:val="22"/>
                <w:szCs w:val="22"/>
              </w:rPr>
            </w:pPr>
            <w:r>
              <w:rPr>
                <w:color w:val="000000"/>
                <w:sz w:val="22"/>
                <w:szCs w:val="22"/>
              </w:rPr>
              <w:t>α-Muurolene</w:t>
            </w:r>
          </w:p>
        </w:tc>
        <w:tc>
          <w:tcPr>
            <w:tcW w:w="1110" w:type="dxa"/>
            <w:tcBorders>
              <w:top w:val="nil"/>
              <w:left w:val="nil"/>
              <w:bottom w:val="nil"/>
              <w:right w:val="nil"/>
            </w:tcBorders>
            <w:vAlign w:val="bottom"/>
          </w:tcPr>
          <w:p w14:paraId="21372AAB" w14:textId="77777777" w:rsidR="0074321C" w:rsidRDefault="00000000">
            <w:pPr>
              <w:spacing w:line="240" w:lineRule="auto"/>
              <w:jc w:val="center"/>
              <w:rPr>
                <w:color w:val="000000"/>
                <w:sz w:val="22"/>
                <w:szCs w:val="22"/>
              </w:rPr>
            </w:pPr>
            <w:r>
              <w:rPr>
                <w:color w:val="000000"/>
                <w:sz w:val="22"/>
                <w:szCs w:val="22"/>
              </w:rPr>
              <w:t>24</w:t>
            </w:r>
          </w:p>
        </w:tc>
      </w:tr>
      <w:tr w:rsidR="0074321C" w14:paraId="5D61D1CC" w14:textId="77777777">
        <w:trPr>
          <w:trHeight w:val="144"/>
          <w:jc w:val="center"/>
        </w:trPr>
        <w:tc>
          <w:tcPr>
            <w:tcW w:w="1710" w:type="dxa"/>
            <w:tcBorders>
              <w:top w:val="nil"/>
              <w:left w:val="nil"/>
              <w:bottom w:val="nil"/>
              <w:right w:val="nil"/>
            </w:tcBorders>
            <w:shd w:val="clear" w:color="auto" w:fill="auto"/>
            <w:vAlign w:val="bottom"/>
          </w:tcPr>
          <w:p w14:paraId="4FECDB23" w14:textId="77777777" w:rsidR="0074321C" w:rsidRDefault="00000000">
            <w:pPr>
              <w:spacing w:line="240" w:lineRule="auto"/>
              <w:jc w:val="center"/>
              <w:rPr>
                <w:color w:val="000000"/>
                <w:sz w:val="22"/>
                <w:szCs w:val="22"/>
              </w:rPr>
            </w:pPr>
            <w:r>
              <w:rPr>
                <w:color w:val="000000"/>
                <w:sz w:val="22"/>
                <w:szCs w:val="22"/>
              </w:rPr>
              <w:t>β-Ocimene</w:t>
            </w:r>
          </w:p>
        </w:tc>
        <w:tc>
          <w:tcPr>
            <w:tcW w:w="1350" w:type="dxa"/>
            <w:tcBorders>
              <w:top w:val="nil"/>
              <w:left w:val="nil"/>
              <w:bottom w:val="nil"/>
              <w:right w:val="nil"/>
            </w:tcBorders>
            <w:shd w:val="clear" w:color="auto" w:fill="auto"/>
            <w:vAlign w:val="bottom"/>
          </w:tcPr>
          <w:p w14:paraId="4C9FAD9F" w14:textId="77777777" w:rsidR="0074321C" w:rsidRDefault="00000000">
            <w:pPr>
              <w:spacing w:line="240" w:lineRule="auto"/>
              <w:jc w:val="center"/>
              <w:rPr>
                <w:color w:val="000000"/>
                <w:sz w:val="22"/>
                <w:szCs w:val="22"/>
              </w:rPr>
            </w:pPr>
            <w:r>
              <w:rPr>
                <w:color w:val="000000"/>
                <w:sz w:val="22"/>
                <w:szCs w:val="22"/>
              </w:rPr>
              <w:t>13</w:t>
            </w:r>
          </w:p>
        </w:tc>
        <w:tc>
          <w:tcPr>
            <w:tcW w:w="2580" w:type="dxa"/>
            <w:tcBorders>
              <w:top w:val="nil"/>
              <w:left w:val="nil"/>
              <w:bottom w:val="nil"/>
              <w:right w:val="nil"/>
            </w:tcBorders>
            <w:vAlign w:val="bottom"/>
          </w:tcPr>
          <w:p w14:paraId="24D499C9" w14:textId="77777777" w:rsidR="0074321C" w:rsidRDefault="00000000">
            <w:pPr>
              <w:spacing w:line="240" w:lineRule="auto"/>
              <w:jc w:val="center"/>
              <w:rPr>
                <w:color w:val="000000"/>
                <w:sz w:val="22"/>
                <w:szCs w:val="22"/>
              </w:rPr>
            </w:pPr>
            <w:r>
              <w:rPr>
                <w:i/>
                <w:color w:val="000000"/>
                <w:sz w:val="22"/>
                <w:szCs w:val="22"/>
              </w:rPr>
              <w:t>cis</w:t>
            </w:r>
            <w:r>
              <w:rPr>
                <w:color w:val="000000"/>
                <w:sz w:val="22"/>
                <w:szCs w:val="22"/>
              </w:rPr>
              <w:t>-α-Bergamotene</w:t>
            </w:r>
          </w:p>
        </w:tc>
        <w:tc>
          <w:tcPr>
            <w:tcW w:w="1110" w:type="dxa"/>
            <w:tcBorders>
              <w:top w:val="nil"/>
              <w:left w:val="nil"/>
              <w:bottom w:val="nil"/>
              <w:right w:val="nil"/>
            </w:tcBorders>
            <w:vAlign w:val="bottom"/>
          </w:tcPr>
          <w:p w14:paraId="0B1C7283" w14:textId="77777777" w:rsidR="0074321C" w:rsidRDefault="00000000">
            <w:pPr>
              <w:spacing w:line="240" w:lineRule="auto"/>
              <w:jc w:val="center"/>
              <w:rPr>
                <w:color w:val="000000"/>
                <w:sz w:val="22"/>
                <w:szCs w:val="22"/>
              </w:rPr>
            </w:pPr>
            <w:r>
              <w:rPr>
                <w:color w:val="000000"/>
                <w:sz w:val="22"/>
                <w:szCs w:val="22"/>
              </w:rPr>
              <w:t>23</w:t>
            </w:r>
          </w:p>
        </w:tc>
      </w:tr>
      <w:tr w:rsidR="0074321C" w14:paraId="7B95AA5A" w14:textId="77777777">
        <w:trPr>
          <w:trHeight w:val="144"/>
          <w:jc w:val="center"/>
        </w:trPr>
        <w:tc>
          <w:tcPr>
            <w:tcW w:w="1710" w:type="dxa"/>
            <w:tcBorders>
              <w:top w:val="nil"/>
              <w:left w:val="nil"/>
              <w:bottom w:val="nil"/>
              <w:right w:val="nil"/>
            </w:tcBorders>
            <w:shd w:val="clear" w:color="auto" w:fill="auto"/>
            <w:vAlign w:val="bottom"/>
          </w:tcPr>
          <w:p w14:paraId="0CBA6085" w14:textId="77777777" w:rsidR="0074321C" w:rsidRDefault="00000000">
            <w:pPr>
              <w:spacing w:line="240" w:lineRule="auto"/>
              <w:jc w:val="center"/>
              <w:rPr>
                <w:color w:val="000000"/>
                <w:sz w:val="22"/>
                <w:szCs w:val="22"/>
              </w:rPr>
            </w:pPr>
            <w:r>
              <w:rPr>
                <w:color w:val="000000"/>
                <w:sz w:val="22"/>
                <w:szCs w:val="22"/>
              </w:rPr>
              <w:t>Terpinen-4-ol</w:t>
            </w:r>
          </w:p>
        </w:tc>
        <w:tc>
          <w:tcPr>
            <w:tcW w:w="1350" w:type="dxa"/>
            <w:tcBorders>
              <w:top w:val="nil"/>
              <w:left w:val="nil"/>
              <w:bottom w:val="nil"/>
              <w:right w:val="nil"/>
            </w:tcBorders>
            <w:shd w:val="clear" w:color="auto" w:fill="auto"/>
            <w:vAlign w:val="bottom"/>
          </w:tcPr>
          <w:p w14:paraId="651586E3" w14:textId="77777777" w:rsidR="0074321C" w:rsidRDefault="00000000">
            <w:pPr>
              <w:spacing w:line="240" w:lineRule="auto"/>
              <w:jc w:val="center"/>
              <w:rPr>
                <w:color w:val="000000"/>
                <w:sz w:val="22"/>
                <w:szCs w:val="22"/>
              </w:rPr>
            </w:pPr>
            <w:r>
              <w:rPr>
                <w:color w:val="000000"/>
                <w:sz w:val="22"/>
                <w:szCs w:val="22"/>
              </w:rPr>
              <w:t>10</w:t>
            </w:r>
          </w:p>
        </w:tc>
        <w:tc>
          <w:tcPr>
            <w:tcW w:w="2580" w:type="dxa"/>
            <w:tcBorders>
              <w:top w:val="nil"/>
              <w:left w:val="nil"/>
              <w:bottom w:val="nil"/>
              <w:right w:val="nil"/>
            </w:tcBorders>
            <w:vAlign w:val="bottom"/>
          </w:tcPr>
          <w:p w14:paraId="05E491A1" w14:textId="77777777" w:rsidR="0074321C" w:rsidRDefault="00000000">
            <w:pPr>
              <w:spacing w:line="240" w:lineRule="auto"/>
              <w:jc w:val="center"/>
              <w:rPr>
                <w:color w:val="000000"/>
                <w:sz w:val="22"/>
                <w:szCs w:val="22"/>
              </w:rPr>
            </w:pPr>
            <w:r>
              <w:rPr>
                <w:color w:val="000000"/>
                <w:sz w:val="22"/>
                <w:szCs w:val="22"/>
              </w:rPr>
              <w:t>Globulol</w:t>
            </w:r>
          </w:p>
        </w:tc>
        <w:tc>
          <w:tcPr>
            <w:tcW w:w="1110" w:type="dxa"/>
            <w:tcBorders>
              <w:top w:val="nil"/>
              <w:left w:val="nil"/>
              <w:bottom w:val="nil"/>
              <w:right w:val="nil"/>
            </w:tcBorders>
            <w:vAlign w:val="bottom"/>
          </w:tcPr>
          <w:p w14:paraId="2CB374D4" w14:textId="77777777" w:rsidR="0074321C" w:rsidRDefault="00000000">
            <w:pPr>
              <w:spacing w:line="240" w:lineRule="auto"/>
              <w:jc w:val="center"/>
              <w:rPr>
                <w:color w:val="000000"/>
                <w:sz w:val="22"/>
                <w:szCs w:val="22"/>
              </w:rPr>
            </w:pPr>
            <w:r>
              <w:rPr>
                <w:color w:val="000000"/>
                <w:sz w:val="22"/>
                <w:szCs w:val="22"/>
              </w:rPr>
              <w:t>22</w:t>
            </w:r>
          </w:p>
        </w:tc>
      </w:tr>
      <w:tr w:rsidR="0074321C" w14:paraId="56A1078C" w14:textId="77777777">
        <w:trPr>
          <w:trHeight w:val="144"/>
          <w:jc w:val="center"/>
        </w:trPr>
        <w:tc>
          <w:tcPr>
            <w:tcW w:w="1710" w:type="dxa"/>
            <w:tcBorders>
              <w:top w:val="nil"/>
              <w:left w:val="nil"/>
              <w:bottom w:val="nil"/>
              <w:right w:val="nil"/>
            </w:tcBorders>
            <w:shd w:val="clear" w:color="auto" w:fill="auto"/>
            <w:vAlign w:val="bottom"/>
          </w:tcPr>
          <w:p w14:paraId="37B52785" w14:textId="77777777" w:rsidR="0074321C" w:rsidRDefault="00000000">
            <w:pPr>
              <w:spacing w:line="240" w:lineRule="auto"/>
              <w:jc w:val="center"/>
              <w:rPr>
                <w:color w:val="000000"/>
                <w:sz w:val="22"/>
                <w:szCs w:val="22"/>
              </w:rPr>
            </w:pPr>
            <w:r>
              <w:rPr>
                <w:color w:val="000000"/>
                <w:sz w:val="22"/>
                <w:szCs w:val="22"/>
              </w:rPr>
              <w:t>Camphene</w:t>
            </w:r>
          </w:p>
        </w:tc>
        <w:tc>
          <w:tcPr>
            <w:tcW w:w="1350" w:type="dxa"/>
            <w:tcBorders>
              <w:top w:val="nil"/>
              <w:left w:val="nil"/>
              <w:bottom w:val="nil"/>
              <w:right w:val="nil"/>
            </w:tcBorders>
            <w:shd w:val="clear" w:color="auto" w:fill="auto"/>
            <w:vAlign w:val="bottom"/>
          </w:tcPr>
          <w:p w14:paraId="3BB9F7A7" w14:textId="77777777" w:rsidR="0074321C" w:rsidRDefault="00000000">
            <w:pPr>
              <w:spacing w:line="240" w:lineRule="auto"/>
              <w:jc w:val="center"/>
              <w:rPr>
                <w:color w:val="000000"/>
                <w:sz w:val="22"/>
                <w:szCs w:val="22"/>
              </w:rPr>
            </w:pPr>
            <w:r>
              <w:rPr>
                <w:color w:val="000000"/>
                <w:sz w:val="22"/>
                <w:szCs w:val="22"/>
              </w:rPr>
              <w:t>7</w:t>
            </w:r>
          </w:p>
        </w:tc>
        <w:tc>
          <w:tcPr>
            <w:tcW w:w="2580" w:type="dxa"/>
            <w:tcBorders>
              <w:top w:val="nil"/>
              <w:left w:val="nil"/>
              <w:bottom w:val="nil"/>
              <w:right w:val="nil"/>
            </w:tcBorders>
            <w:vAlign w:val="bottom"/>
          </w:tcPr>
          <w:p w14:paraId="685E8F71" w14:textId="77777777" w:rsidR="0074321C" w:rsidRDefault="00000000">
            <w:pPr>
              <w:spacing w:line="240" w:lineRule="auto"/>
              <w:jc w:val="center"/>
              <w:rPr>
                <w:color w:val="000000"/>
                <w:sz w:val="22"/>
                <w:szCs w:val="22"/>
              </w:rPr>
            </w:pPr>
            <w:r>
              <w:rPr>
                <w:color w:val="000000"/>
                <w:sz w:val="22"/>
                <w:szCs w:val="22"/>
              </w:rPr>
              <w:t>γ-Muurolene</w:t>
            </w:r>
          </w:p>
        </w:tc>
        <w:tc>
          <w:tcPr>
            <w:tcW w:w="1110" w:type="dxa"/>
            <w:tcBorders>
              <w:top w:val="nil"/>
              <w:left w:val="nil"/>
              <w:bottom w:val="nil"/>
              <w:right w:val="nil"/>
            </w:tcBorders>
            <w:vAlign w:val="bottom"/>
          </w:tcPr>
          <w:p w14:paraId="0EB1D0B9" w14:textId="77777777" w:rsidR="0074321C" w:rsidRDefault="00000000">
            <w:pPr>
              <w:spacing w:line="240" w:lineRule="auto"/>
              <w:jc w:val="center"/>
              <w:rPr>
                <w:color w:val="000000"/>
                <w:sz w:val="22"/>
                <w:szCs w:val="22"/>
              </w:rPr>
            </w:pPr>
            <w:r>
              <w:rPr>
                <w:color w:val="000000"/>
                <w:sz w:val="22"/>
                <w:szCs w:val="22"/>
              </w:rPr>
              <w:t>18</w:t>
            </w:r>
          </w:p>
        </w:tc>
      </w:tr>
      <w:tr w:rsidR="0074321C" w14:paraId="5661203B" w14:textId="77777777">
        <w:trPr>
          <w:trHeight w:val="144"/>
          <w:jc w:val="center"/>
        </w:trPr>
        <w:tc>
          <w:tcPr>
            <w:tcW w:w="1710" w:type="dxa"/>
            <w:tcBorders>
              <w:top w:val="nil"/>
              <w:left w:val="nil"/>
              <w:bottom w:val="nil"/>
              <w:right w:val="nil"/>
            </w:tcBorders>
            <w:shd w:val="clear" w:color="auto" w:fill="auto"/>
            <w:vAlign w:val="bottom"/>
          </w:tcPr>
          <w:p w14:paraId="7AAB647E" w14:textId="77777777" w:rsidR="0074321C" w:rsidRDefault="00000000">
            <w:pPr>
              <w:spacing w:line="240" w:lineRule="auto"/>
              <w:jc w:val="center"/>
              <w:rPr>
                <w:color w:val="000000"/>
                <w:sz w:val="22"/>
                <w:szCs w:val="22"/>
              </w:rPr>
            </w:pPr>
            <w:r>
              <w:rPr>
                <w:color w:val="000000"/>
                <w:sz w:val="22"/>
                <w:szCs w:val="22"/>
              </w:rPr>
              <w:t>Eucalyptol</w:t>
            </w:r>
          </w:p>
        </w:tc>
        <w:tc>
          <w:tcPr>
            <w:tcW w:w="1350" w:type="dxa"/>
            <w:tcBorders>
              <w:top w:val="nil"/>
              <w:left w:val="nil"/>
              <w:bottom w:val="nil"/>
              <w:right w:val="nil"/>
            </w:tcBorders>
            <w:shd w:val="clear" w:color="auto" w:fill="auto"/>
            <w:vAlign w:val="bottom"/>
          </w:tcPr>
          <w:p w14:paraId="1C3B1F6D" w14:textId="77777777" w:rsidR="0074321C" w:rsidRDefault="00000000">
            <w:pPr>
              <w:spacing w:line="240" w:lineRule="auto"/>
              <w:jc w:val="center"/>
              <w:rPr>
                <w:color w:val="000000"/>
                <w:sz w:val="22"/>
                <w:szCs w:val="22"/>
              </w:rPr>
            </w:pPr>
            <w:r>
              <w:rPr>
                <w:color w:val="000000"/>
                <w:sz w:val="22"/>
                <w:szCs w:val="22"/>
              </w:rPr>
              <w:t>7</w:t>
            </w:r>
          </w:p>
        </w:tc>
        <w:tc>
          <w:tcPr>
            <w:tcW w:w="2580" w:type="dxa"/>
            <w:tcBorders>
              <w:top w:val="nil"/>
              <w:left w:val="nil"/>
              <w:bottom w:val="nil"/>
              <w:right w:val="nil"/>
            </w:tcBorders>
            <w:vAlign w:val="bottom"/>
          </w:tcPr>
          <w:p w14:paraId="23315092" w14:textId="77777777" w:rsidR="0074321C" w:rsidRDefault="00000000">
            <w:pPr>
              <w:spacing w:line="240" w:lineRule="auto"/>
              <w:jc w:val="center"/>
              <w:rPr>
                <w:color w:val="000000"/>
                <w:sz w:val="22"/>
                <w:szCs w:val="22"/>
              </w:rPr>
            </w:pPr>
            <w:r>
              <w:rPr>
                <w:color w:val="000000"/>
                <w:sz w:val="22"/>
                <w:szCs w:val="22"/>
              </w:rPr>
              <w:t>Ylangene</w:t>
            </w:r>
          </w:p>
        </w:tc>
        <w:tc>
          <w:tcPr>
            <w:tcW w:w="1110" w:type="dxa"/>
            <w:tcBorders>
              <w:top w:val="nil"/>
              <w:left w:val="nil"/>
              <w:bottom w:val="nil"/>
              <w:right w:val="nil"/>
            </w:tcBorders>
            <w:vAlign w:val="bottom"/>
          </w:tcPr>
          <w:p w14:paraId="35ECBED1" w14:textId="77777777" w:rsidR="0074321C" w:rsidRDefault="00000000">
            <w:pPr>
              <w:spacing w:line="240" w:lineRule="auto"/>
              <w:jc w:val="center"/>
              <w:rPr>
                <w:color w:val="000000"/>
                <w:sz w:val="22"/>
                <w:szCs w:val="22"/>
              </w:rPr>
            </w:pPr>
            <w:r>
              <w:rPr>
                <w:color w:val="000000"/>
                <w:sz w:val="22"/>
                <w:szCs w:val="22"/>
              </w:rPr>
              <w:t>17</w:t>
            </w:r>
          </w:p>
        </w:tc>
      </w:tr>
      <w:tr w:rsidR="0074321C" w14:paraId="1FA1CF5A" w14:textId="77777777">
        <w:trPr>
          <w:trHeight w:val="144"/>
          <w:jc w:val="center"/>
        </w:trPr>
        <w:tc>
          <w:tcPr>
            <w:tcW w:w="1710" w:type="dxa"/>
            <w:tcBorders>
              <w:top w:val="nil"/>
              <w:left w:val="nil"/>
              <w:bottom w:val="nil"/>
              <w:right w:val="nil"/>
            </w:tcBorders>
            <w:shd w:val="clear" w:color="auto" w:fill="auto"/>
            <w:vAlign w:val="bottom"/>
          </w:tcPr>
          <w:p w14:paraId="671E5C23" w14:textId="77777777" w:rsidR="0074321C" w:rsidRDefault="00000000">
            <w:pPr>
              <w:spacing w:line="240" w:lineRule="auto"/>
              <w:jc w:val="center"/>
              <w:rPr>
                <w:color w:val="000000"/>
                <w:sz w:val="22"/>
                <w:szCs w:val="22"/>
              </w:rPr>
            </w:pPr>
            <w:r>
              <w:rPr>
                <w:color w:val="000000"/>
                <w:sz w:val="22"/>
                <w:szCs w:val="22"/>
              </w:rPr>
              <w:t>α-Phellandrene</w:t>
            </w:r>
          </w:p>
        </w:tc>
        <w:tc>
          <w:tcPr>
            <w:tcW w:w="1350" w:type="dxa"/>
            <w:tcBorders>
              <w:top w:val="nil"/>
              <w:left w:val="nil"/>
              <w:bottom w:val="nil"/>
              <w:right w:val="nil"/>
            </w:tcBorders>
            <w:shd w:val="clear" w:color="auto" w:fill="auto"/>
            <w:vAlign w:val="bottom"/>
          </w:tcPr>
          <w:p w14:paraId="12C1895A" w14:textId="77777777" w:rsidR="0074321C" w:rsidRDefault="00000000">
            <w:pPr>
              <w:spacing w:line="240" w:lineRule="auto"/>
              <w:jc w:val="center"/>
              <w:rPr>
                <w:color w:val="000000"/>
                <w:sz w:val="22"/>
                <w:szCs w:val="22"/>
              </w:rPr>
            </w:pPr>
            <w:r>
              <w:rPr>
                <w:color w:val="000000"/>
                <w:sz w:val="22"/>
                <w:szCs w:val="22"/>
              </w:rPr>
              <w:t>5</w:t>
            </w:r>
          </w:p>
        </w:tc>
        <w:tc>
          <w:tcPr>
            <w:tcW w:w="2580" w:type="dxa"/>
            <w:tcBorders>
              <w:top w:val="nil"/>
              <w:left w:val="nil"/>
              <w:bottom w:val="nil"/>
              <w:right w:val="nil"/>
            </w:tcBorders>
            <w:vAlign w:val="bottom"/>
          </w:tcPr>
          <w:p w14:paraId="25BF04FC" w14:textId="77777777" w:rsidR="0074321C" w:rsidRDefault="00000000">
            <w:pPr>
              <w:spacing w:line="240" w:lineRule="auto"/>
              <w:jc w:val="center"/>
              <w:rPr>
                <w:color w:val="000000"/>
                <w:sz w:val="22"/>
                <w:szCs w:val="22"/>
              </w:rPr>
            </w:pPr>
            <w:r>
              <w:rPr>
                <w:color w:val="000000"/>
                <w:sz w:val="22"/>
                <w:szCs w:val="22"/>
              </w:rPr>
              <w:t>Aromandendrene</w:t>
            </w:r>
          </w:p>
        </w:tc>
        <w:tc>
          <w:tcPr>
            <w:tcW w:w="1110" w:type="dxa"/>
            <w:tcBorders>
              <w:top w:val="nil"/>
              <w:left w:val="nil"/>
              <w:bottom w:val="nil"/>
              <w:right w:val="nil"/>
            </w:tcBorders>
            <w:vAlign w:val="bottom"/>
          </w:tcPr>
          <w:p w14:paraId="2C2EEF5F" w14:textId="77777777" w:rsidR="0074321C" w:rsidRDefault="00000000">
            <w:pPr>
              <w:spacing w:line="240" w:lineRule="auto"/>
              <w:jc w:val="center"/>
              <w:rPr>
                <w:color w:val="000000"/>
                <w:sz w:val="22"/>
                <w:szCs w:val="22"/>
              </w:rPr>
            </w:pPr>
            <w:r>
              <w:rPr>
                <w:color w:val="000000"/>
                <w:sz w:val="22"/>
                <w:szCs w:val="22"/>
              </w:rPr>
              <w:t>16</w:t>
            </w:r>
          </w:p>
        </w:tc>
      </w:tr>
      <w:tr w:rsidR="0074321C" w14:paraId="602E64CA" w14:textId="77777777">
        <w:trPr>
          <w:trHeight w:val="144"/>
          <w:jc w:val="center"/>
        </w:trPr>
        <w:tc>
          <w:tcPr>
            <w:tcW w:w="1710" w:type="dxa"/>
            <w:tcBorders>
              <w:top w:val="nil"/>
              <w:left w:val="nil"/>
              <w:bottom w:val="nil"/>
              <w:right w:val="nil"/>
            </w:tcBorders>
            <w:shd w:val="clear" w:color="auto" w:fill="auto"/>
            <w:vAlign w:val="bottom"/>
          </w:tcPr>
          <w:p w14:paraId="1D9C803F" w14:textId="77777777" w:rsidR="0074321C" w:rsidRDefault="00000000">
            <w:pPr>
              <w:spacing w:line="240" w:lineRule="auto"/>
              <w:jc w:val="center"/>
              <w:rPr>
                <w:color w:val="000000"/>
                <w:sz w:val="22"/>
                <w:szCs w:val="22"/>
              </w:rPr>
            </w:pPr>
            <w:r>
              <w:rPr>
                <w:i/>
                <w:color w:val="000000"/>
                <w:sz w:val="22"/>
                <w:szCs w:val="22"/>
              </w:rPr>
              <w:t>p</w:t>
            </w:r>
            <w:r>
              <w:rPr>
                <w:color w:val="000000"/>
                <w:sz w:val="22"/>
                <w:szCs w:val="22"/>
              </w:rPr>
              <w:t>-Menthatriene</w:t>
            </w:r>
          </w:p>
        </w:tc>
        <w:tc>
          <w:tcPr>
            <w:tcW w:w="1350" w:type="dxa"/>
            <w:tcBorders>
              <w:top w:val="nil"/>
              <w:left w:val="nil"/>
              <w:bottom w:val="nil"/>
              <w:right w:val="nil"/>
            </w:tcBorders>
            <w:shd w:val="clear" w:color="auto" w:fill="auto"/>
            <w:vAlign w:val="bottom"/>
          </w:tcPr>
          <w:p w14:paraId="17F0AE7B" w14:textId="77777777" w:rsidR="0074321C" w:rsidRDefault="00000000">
            <w:pPr>
              <w:spacing w:line="240" w:lineRule="auto"/>
              <w:jc w:val="center"/>
              <w:rPr>
                <w:color w:val="000000"/>
                <w:sz w:val="22"/>
                <w:szCs w:val="22"/>
              </w:rPr>
            </w:pPr>
            <w:r>
              <w:rPr>
                <w:color w:val="000000"/>
                <w:sz w:val="22"/>
                <w:szCs w:val="22"/>
              </w:rPr>
              <w:t>5</w:t>
            </w:r>
          </w:p>
        </w:tc>
        <w:tc>
          <w:tcPr>
            <w:tcW w:w="2580" w:type="dxa"/>
            <w:tcBorders>
              <w:top w:val="nil"/>
              <w:left w:val="nil"/>
              <w:bottom w:val="nil"/>
              <w:right w:val="nil"/>
            </w:tcBorders>
            <w:vAlign w:val="bottom"/>
          </w:tcPr>
          <w:p w14:paraId="07626400" w14:textId="77777777" w:rsidR="0074321C" w:rsidRDefault="00000000">
            <w:pPr>
              <w:spacing w:line="240" w:lineRule="auto"/>
              <w:jc w:val="center"/>
              <w:rPr>
                <w:color w:val="000000"/>
                <w:sz w:val="22"/>
                <w:szCs w:val="22"/>
              </w:rPr>
            </w:pPr>
            <w:r>
              <w:rPr>
                <w:color w:val="000000"/>
                <w:sz w:val="22"/>
                <w:szCs w:val="22"/>
              </w:rPr>
              <w:t>Selina-3-7-11-diene</w:t>
            </w:r>
          </w:p>
        </w:tc>
        <w:tc>
          <w:tcPr>
            <w:tcW w:w="1110" w:type="dxa"/>
            <w:tcBorders>
              <w:top w:val="nil"/>
              <w:left w:val="nil"/>
              <w:bottom w:val="nil"/>
              <w:right w:val="nil"/>
            </w:tcBorders>
            <w:vAlign w:val="bottom"/>
          </w:tcPr>
          <w:p w14:paraId="64A31A22" w14:textId="77777777" w:rsidR="0074321C" w:rsidRDefault="00000000">
            <w:pPr>
              <w:spacing w:line="240" w:lineRule="auto"/>
              <w:jc w:val="center"/>
              <w:rPr>
                <w:color w:val="000000"/>
                <w:sz w:val="22"/>
                <w:szCs w:val="22"/>
              </w:rPr>
            </w:pPr>
            <w:r>
              <w:rPr>
                <w:color w:val="000000"/>
                <w:sz w:val="22"/>
                <w:szCs w:val="22"/>
              </w:rPr>
              <w:t>13</w:t>
            </w:r>
          </w:p>
        </w:tc>
      </w:tr>
      <w:tr w:rsidR="0074321C" w14:paraId="35A93383" w14:textId="77777777">
        <w:trPr>
          <w:trHeight w:val="144"/>
          <w:jc w:val="center"/>
        </w:trPr>
        <w:tc>
          <w:tcPr>
            <w:tcW w:w="1710" w:type="dxa"/>
            <w:tcBorders>
              <w:top w:val="nil"/>
              <w:left w:val="nil"/>
              <w:bottom w:val="nil"/>
              <w:right w:val="nil"/>
            </w:tcBorders>
            <w:shd w:val="clear" w:color="auto" w:fill="auto"/>
            <w:vAlign w:val="bottom"/>
          </w:tcPr>
          <w:p w14:paraId="6EDD7C6F" w14:textId="77777777" w:rsidR="0074321C" w:rsidRDefault="00000000">
            <w:pPr>
              <w:spacing w:line="240" w:lineRule="auto"/>
              <w:jc w:val="center"/>
              <w:rPr>
                <w:color w:val="000000"/>
                <w:sz w:val="22"/>
                <w:szCs w:val="22"/>
              </w:rPr>
            </w:pPr>
            <w:r>
              <w:rPr>
                <w:color w:val="000000"/>
                <w:sz w:val="22"/>
                <w:szCs w:val="22"/>
              </w:rPr>
              <w:t>β-Myrcene</w:t>
            </w:r>
          </w:p>
        </w:tc>
        <w:tc>
          <w:tcPr>
            <w:tcW w:w="1350" w:type="dxa"/>
            <w:tcBorders>
              <w:top w:val="nil"/>
              <w:left w:val="nil"/>
              <w:bottom w:val="nil"/>
              <w:right w:val="nil"/>
            </w:tcBorders>
            <w:shd w:val="clear" w:color="auto" w:fill="auto"/>
            <w:vAlign w:val="bottom"/>
          </w:tcPr>
          <w:p w14:paraId="41FBB379" w14:textId="77777777" w:rsidR="0074321C" w:rsidRDefault="00000000">
            <w:pPr>
              <w:spacing w:line="240" w:lineRule="auto"/>
              <w:jc w:val="center"/>
              <w:rPr>
                <w:color w:val="000000"/>
                <w:sz w:val="22"/>
                <w:szCs w:val="22"/>
              </w:rPr>
            </w:pPr>
            <w:r>
              <w:rPr>
                <w:color w:val="000000"/>
                <w:sz w:val="22"/>
                <w:szCs w:val="22"/>
              </w:rPr>
              <w:t>4</w:t>
            </w:r>
          </w:p>
        </w:tc>
        <w:tc>
          <w:tcPr>
            <w:tcW w:w="2580" w:type="dxa"/>
            <w:tcBorders>
              <w:top w:val="nil"/>
              <w:left w:val="nil"/>
              <w:bottom w:val="nil"/>
              <w:right w:val="nil"/>
            </w:tcBorders>
            <w:vAlign w:val="bottom"/>
          </w:tcPr>
          <w:p w14:paraId="7020FA40" w14:textId="77777777" w:rsidR="0074321C" w:rsidRDefault="00000000">
            <w:pPr>
              <w:spacing w:line="240" w:lineRule="auto"/>
              <w:jc w:val="center"/>
              <w:rPr>
                <w:color w:val="000000"/>
                <w:sz w:val="22"/>
                <w:szCs w:val="22"/>
              </w:rPr>
            </w:pPr>
            <w:r>
              <w:rPr>
                <w:color w:val="000000"/>
                <w:sz w:val="22"/>
                <w:szCs w:val="22"/>
              </w:rPr>
              <w:t>α-Guaiene</w:t>
            </w:r>
          </w:p>
        </w:tc>
        <w:tc>
          <w:tcPr>
            <w:tcW w:w="1110" w:type="dxa"/>
            <w:tcBorders>
              <w:top w:val="nil"/>
              <w:left w:val="nil"/>
              <w:bottom w:val="nil"/>
              <w:right w:val="nil"/>
            </w:tcBorders>
            <w:vAlign w:val="bottom"/>
          </w:tcPr>
          <w:p w14:paraId="3C2D6C86" w14:textId="77777777" w:rsidR="0074321C" w:rsidRDefault="00000000">
            <w:pPr>
              <w:spacing w:line="240" w:lineRule="auto"/>
              <w:jc w:val="center"/>
              <w:rPr>
                <w:color w:val="000000"/>
                <w:sz w:val="22"/>
                <w:szCs w:val="22"/>
              </w:rPr>
            </w:pPr>
            <w:r>
              <w:rPr>
                <w:color w:val="000000"/>
                <w:sz w:val="22"/>
                <w:szCs w:val="22"/>
              </w:rPr>
              <w:t>13</w:t>
            </w:r>
          </w:p>
        </w:tc>
      </w:tr>
      <w:tr w:rsidR="0074321C" w14:paraId="61875AE8" w14:textId="77777777">
        <w:trPr>
          <w:trHeight w:val="144"/>
          <w:jc w:val="center"/>
        </w:trPr>
        <w:tc>
          <w:tcPr>
            <w:tcW w:w="1710" w:type="dxa"/>
            <w:tcBorders>
              <w:top w:val="nil"/>
              <w:left w:val="nil"/>
              <w:bottom w:val="nil"/>
              <w:right w:val="nil"/>
            </w:tcBorders>
            <w:shd w:val="clear" w:color="auto" w:fill="auto"/>
            <w:vAlign w:val="bottom"/>
          </w:tcPr>
          <w:p w14:paraId="3729F278" w14:textId="77777777" w:rsidR="0074321C" w:rsidRDefault="00000000">
            <w:pPr>
              <w:spacing w:line="240" w:lineRule="auto"/>
              <w:jc w:val="center"/>
              <w:rPr>
                <w:color w:val="000000"/>
                <w:sz w:val="22"/>
                <w:szCs w:val="22"/>
              </w:rPr>
            </w:pPr>
            <w:r>
              <w:rPr>
                <w:color w:val="000000"/>
                <w:sz w:val="22"/>
                <w:szCs w:val="22"/>
              </w:rPr>
              <w:t>endo-Borneol</w:t>
            </w:r>
          </w:p>
        </w:tc>
        <w:tc>
          <w:tcPr>
            <w:tcW w:w="1350" w:type="dxa"/>
            <w:tcBorders>
              <w:top w:val="nil"/>
              <w:left w:val="nil"/>
              <w:bottom w:val="nil"/>
              <w:right w:val="nil"/>
            </w:tcBorders>
            <w:shd w:val="clear" w:color="auto" w:fill="auto"/>
            <w:vAlign w:val="bottom"/>
          </w:tcPr>
          <w:p w14:paraId="5F47C32D" w14:textId="77777777" w:rsidR="0074321C" w:rsidRDefault="00000000">
            <w:pPr>
              <w:spacing w:line="240" w:lineRule="auto"/>
              <w:jc w:val="center"/>
              <w:rPr>
                <w:color w:val="000000"/>
                <w:sz w:val="22"/>
                <w:szCs w:val="22"/>
              </w:rPr>
            </w:pPr>
            <w:r>
              <w:rPr>
                <w:color w:val="000000"/>
                <w:sz w:val="22"/>
                <w:szCs w:val="22"/>
              </w:rPr>
              <w:t>4</w:t>
            </w:r>
          </w:p>
        </w:tc>
        <w:tc>
          <w:tcPr>
            <w:tcW w:w="2580" w:type="dxa"/>
            <w:tcBorders>
              <w:top w:val="nil"/>
              <w:left w:val="nil"/>
              <w:bottom w:val="nil"/>
              <w:right w:val="nil"/>
            </w:tcBorders>
            <w:vAlign w:val="bottom"/>
          </w:tcPr>
          <w:p w14:paraId="5F179087" w14:textId="77777777" w:rsidR="0074321C" w:rsidRDefault="00000000">
            <w:pPr>
              <w:spacing w:line="240" w:lineRule="auto"/>
              <w:jc w:val="center"/>
              <w:rPr>
                <w:color w:val="000000"/>
                <w:sz w:val="22"/>
                <w:szCs w:val="22"/>
              </w:rPr>
            </w:pPr>
            <w:r>
              <w:rPr>
                <w:color w:val="000000"/>
                <w:sz w:val="22"/>
                <w:szCs w:val="22"/>
              </w:rPr>
              <w:t>α-Maaliene</w:t>
            </w:r>
          </w:p>
        </w:tc>
        <w:tc>
          <w:tcPr>
            <w:tcW w:w="1110" w:type="dxa"/>
            <w:tcBorders>
              <w:top w:val="nil"/>
              <w:left w:val="nil"/>
              <w:bottom w:val="nil"/>
              <w:right w:val="nil"/>
            </w:tcBorders>
            <w:vAlign w:val="bottom"/>
          </w:tcPr>
          <w:p w14:paraId="26107C90" w14:textId="77777777" w:rsidR="0074321C" w:rsidRDefault="00000000">
            <w:pPr>
              <w:spacing w:line="240" w:lineRule="auto"/>
              <w:jc w:val="center"/>
              <w:rPr>
                <w:color w:val="000000"/>
                <w:sz w:val="22"/>
                <w:szCs w:val="22"/>
              </w:rPr>
            </w:pPr>
            <w:r>
              <w:rPr>
                <w:color w:val="000000"/>
                <w:sz w:val="22"/>
                <w:szCs w:val="22"/>
              </w:rPr>
              <w:t>12</w:t>
            </w:r>
          </w:p>
        </w:tc>
      </w:tr>
      <w:tr w:rsidR="0074321C" w14:paraId="246BB320" w14:textId="77777777">
        <w:trPr>
          <w:trHeight w:val="144"/>
          <w:jc w:val="center"/>
        </w:trPr>
        <w:tc>
          <w:tcPr>
            <w:tcW w:w="1710" w:type="dxa"/>
            <w:tcBorders>
              <w:top w:val="nil"/>
              <w:left w:val="nil"/>
              <w:bottom w:val="nil"/>
              <w:right w:val="nil"/>
            </w:tcBorders>
            <w:shd w:val="clear" w:color="auto" w:fill="auto"/>
            <w:vAlign w:val="bottom"/>
          </w:tcPr>
          <w:p w14:paraId="20B751C5" w14:textId="77777777" w:rsidR="0074321C" w:rsidRDefault="0074321C">
            <w:pPr>
              <w:spacing w:line="240" w:lineRule="auto"/>
              <w:jc w:val="center"/>
              <w:rPr>
                <w:color w:val="000000"/>
                <w:sz w:val="22"/>
                <w:szCs w:val="22"/>
              </w:rPr>
            </w:pPr>
          </w:p>
        </w:tc>
        <w:tc>
          <w:tcPr>
            <w:tcW w:w="1350" w:type="dxa"/>
            <w:tcBorders>
              <w:top w:val="nil"/>
              <w:left w:val="nil"/>
              <w:bottom w:val="nil"/>
              <w:right w:val="nil"/>
            </w:tcBorders>
            <w:shd w:val="clear" w:color="auto" w:fill="auto"/>
            <w:vAlign w:val="bottom"/>
          </w:tcPr>
          <w:p w14:paraId="33C8C417" w14:textId="77777777" w:rsidR="0074321C" w:rsidRDefault="0074321C">
            <w:pPr>
              <w:spacing w:line="240" w:lineRule="auto"/>
              <w:jc w:val="center"/>
              <w:rPr>
                <w:color w:val="000000"/>
                <w:sz w:val="22"/>
                <w:szCs w:val="22"/>
              </w:rPr>
            </w:pPr>
          </w:p>
        </w:tc>
        <w:tc>
          <w:tcPr>
            <w:tcW w:w="2580" w:type="dxa"/>
            <w:tcBorders>
              <w:top w:val="nil"/>
              <w:left w:val="nil"/>
              <w:bottom w:val="nil"/>
              <w:right w:val="nil"/>
            </w:tcBorders>
            <w:vAlign w:val="bottom"/>
          </w:tcPr>
          <w:p w14:paraId="381771CF" w14:textId="77777777" w:rsidR="0074321C" w:rsidRDefault="00000000">
            <w:pPr>
              <w:spacing w:line="240" w:lineRule="auto"/>
              <w:jc w:val="center"/>
              <w:rPr>
                <w:color w:val="000000"/>
                <w:sz w:val="22"/>
                <w:szCs w:val="22"/>
              </w:rPr>
            </w:pPr>
            <w:r>
              <w:rPr>
                <w:color w:val="000000"/>
                <w:sz w:val="22"/>
                <w:szCs w:val="22"/>
              </w:rPr>
              <w:t>τ-Muurolol</w:t>
            </w:r>
          </w:p>
        </w:tc>
        <w:tc>
          <w:tcPr>
            <w:tcW w:w="1110" w:type="dxa"/>
            <w:tcBorders>
              <w:top w:val="nil"/>
              <w:left w:val="nil"/>
              <w:bottom w:val="nil"/>
              <w:right w:val="nil"/>
            </w:tcBorders>
            <w:vAlign w:val="bottom"/>
          </w:tcPr>
          <w:p w14:paraId="7675E8AA" w14:textId="77777777" w:rsidR="0074321C" w:rsidRDefault="00000000">
            <w:pPr>
              <w:spacing w:line="240" w:lineRule="auto"/>
              <w:jc w:val="center"/>
              <w:rPr>
                <w:color w:val="000000"/>
                <w:sz w:val="22"/>
                <w:szCs w:val="22"/>
              </w:rPr>
            </w:pPr>
            <w:r>
              <w:rPr>
                <w:color w:val="000000"/>
                <w:sz w:val="22"/>
                <w:szCs w:val="22"/>
              </w:rPr>
              <w:t>11</w:t>
            </w:r>
          </w:p>
        </w:tc>
      </w:tr>
      <w:tr w:rsidR="0074321C" w14:paraId="0A4C45A6" w14:textId="77777777">
        <w:trPr>
          <w:trHeight w:val="144"/>
          <w:jc w:val="center"/>
        </w:trPr>
        <w:tc>
          <w:tcPr>
            <w:tcW w:w="1710" w:type="dxa"/>
            <w:tcBorders>
              <w:top w:val="nil"/>
              <w:left w:val="nil"/>
              <w:bottom w:val="nil"/>
              <w:right w:val="nil"/>
            </w:tcBorders>
            <w:shd w:val="clear" w:color="auto" w:fill="auto"/>
            <w:vAlign w:val="bottom"/>
          </w:tcPr>
          <w:p w14:paraId="52C3A5B8" w14:textId="77777777" w:rsidR="0074321C" w:rsidRDefault="0074321C">
            <w:pPr>
              <w:spacing w:line="240" w:lineRule="auto"/>
              <w:jc w:val="center"/>
              <w:rPr>
                <w:color w:val="000000"/>
                <w:sz w:val="22"/>
                <w:szCs w:val="22"/>
              </w:rPr>
            </w:pPr>
          </w:p>
        </w:tc>
        <w:tc>
          <w:tcPr>
            <w:tcW w:w="1350" w:type="dxa"/>
            <w:tcBorders>
              <w:top w:val="nil"/>
              <w:left w:val="nil"/>
              <w:bottom w:val="nil"/>
              <w:right w:val="nil"/>
            </w:tcBorders>
            <w:shd w:val="clear" w:color="auto" w:fill="auto"/>
            <w:vAlign w:val="bottom"/>
          </w:tcPr>
          <w:p w14:paraId="36B96E8B" w14:textId="77777777" w:rsidR="0074321C" w:rsidRDefault="0074321C">
            <w:pPr>
              <w:spacing w:line="240" w:lineRule="auto"/>
              <w:jc w:val="center"/>
              <w:rPr>
                <w:color w:val="000000"/>
                <w:sz w:val="22"/>
                <w:szCs w:val="22"/>
              </w:rPr>
            </w:pPr>
          </w:p>
        </w:tc>
        <w:tc>
          <w:tcPr>
            <w:tcW w:w="2580" w:type="dxa"/>
            <w:tcBorders>
              <w:top w:val="nil"/>
              <w:left w:val="nil"/>
              <w:bottom w:val="nil"/>
              <w:right w:val="nil"/>
            </w:tcBorders>
            <w:vAlign w:val="bottom"/>
          </w:tcPr>
          <w:p w14:paraId="02D29727" w14:textId="77777777" w:rsidR="0074321C" w:rsidRDefault="00000000">
            <w:pPr>
              <w:spacing w:line="240" w:lineRule="auto"/>
              <w:jc w:val="center"/>
              <w:rPr>
                <w:color w:val="000000"/>
                <w:sz w:val="22"/>
                <w:szCs w:val="22"/>
              </w:rPr>
            </w:pPr>
            <w:r>
              <w:rPr>
                <w:color w:val="000000"/>
                <w:sz w:val="22"/>
                <w:szCs w:val="22"/>
              </w:rPr>
              <w:t>Guaiol</w:t>
            </w:r>
          </w:p>
        </w:tc>
        <w:tc>
          <w:tcPr>
            <w:tcW w:w="1110" w:type="dxa"/>
            <w:tcBorders>
              <w:top w:val="nil"/>
              <w:left w:val="nil"/>
              <w:bottom w:val="nil"/>
              <w:right w:val="nil"/>
            </w:tcBorders>
            <w:vAlign w:val="bottom"/>
          </w:tcPr>
          <w:p w14:paraId="63FD5FAC" w14:textId="77777777" w:rsidR="0074321C" w:rsidRDefault="00000000">
            <w:pPr>
              <w:spacing w:line="240" w:lineRule="auto"/>
              <w:jc w:val="center"/>
              <w:rPr>
                <w:color w:val="000000"/>
                <w:sz w:val="22"/>
                <w:szCs w:val="22"/>
              </w:rPr>
            </w:pPr>
            <w:r>
              <w:rPr>
                <w:color w:val="000000"/>
                <w:sz w:val="22"/>
                <w:szCs w:val="22"/>
              </w:rPr>
              <w:t>11</w:t>
            </w:r>
          </w:p>
        </w:tc>
      </w:tr>
      <w:tr w:rsidR="0074321C" w14:paraId="5F099646" w14:textId="77777777">
        <w:trPr>
          <w:trHeight w:val="144"/>
          <w:jc w:val="center"/>
        </w:trPr>
        <w:tc>
          <w:tcPr>
            <w:tcW w:w="1710" w:type="dxa"/>
            <w:tcBorders>
              <w:top w:val="nil"/>
              <w:left w:val="nil"/>
              <w:bottom w:val="nil"/>
              <w:right w:val="nil"/>
            </w:tcBorders>
            <w:shd w:val="clear" w:color="auto" w:fill="auto"/>
            <w:vAlign w:val="bottom"/>
          </w:tcPr>
          <w:p w14:paraId="2B189499" w14:textId="77777777" w:rsidR="0074321C" w:rsidRDefault="0074321C">
            <w:pPr>
              <w:spacing w:line="240" w:lineRule="auto"/>
              <w:jc w:val="center"/>
              <w:rPr>
                <w:color w:val="000000"/>
                <w:sz w:val="22"/>
                <w:szCs w:val="22"/>
              </w:rPr>
            </w:pPr>
          </w:p>
        </w:tc>
        <w:tc>
          <w:tcPr>
            <w:tcW w:w="1350" w:type="dxa"/>
            <w:tcBorders>
              <w:top w:val="nil"/>
              <w:left w:val="nil"/>
              <w:bottom w:val="nil"/>
              <w:right w:val="nil"/>
            </w:tcBorders>
            <w:shd w:val="clear" w:color="auto" w:fill="auto"/>
            <w:vAlign w:val="bottom"/>
          </w:tcPr>
          <w:p w14:paraId="69097A43" w14:textId="77777777" w:rsidR="0074321C" w:rsidRDefault="0074321C">
            <w:pPr>
              <w:spacing w:line="240" w:lineRule="auto"/>
              <w:jc w:val="center"/>
              <w:rPr>
                <w:color w:val="000000"/>
                <w:sz w:val="22"/>
                <w:szCs w:val="22"/>
              </w:rPr>
            </w:pPr>
          </w:p>
        </w:tc>
        <w:tc>
          <w:tcPr>
            <w:tcW w:w="2580" w:type="dxa"/>
            <w:tcBorders>
              <w:top w:val="nil"/>
              <w:left w:val="nil"/>
              <w:bottom w:val="nil"/>
              <w:right w:val="nil"/>
            </w:tcBorders>
            <w:vAlign w:val="bottom"/>
          </w:tcPr>
          <w:p w14:paraId="2BA43D86" w14:textId="77777777" w:rsidR="0074321C" w:rsidRDefault="00000000">
            <w:pPr>
              <w:spacing w:line="240" w:lineRule="auto"/>
              <w:jc w:val="center"/>
              <w:rPr>
                <w:color w:val="000000"/>
                <w:sz w:val="22"/>
                <w:szCs w:val="22"/>
              </w:rPr>
            </w:pPr>
            <w:r>
              <w:rPr>
                <w:color w:val="000000"/>
                <w:sz w:val="22"/>
                <w:szCs w:val="22"/>
              </w:rPr>
              <w:t>β-Bourbonene</w:t>
            </w:r>
          </w:p>
        </w:tc>
        <w:tc>
          <w:tcPr>
            <w:tcW w:w="1110" w:type="dxa"/>
            <w:tcBorders>
              <w:top w:val="nil"/>
              <w:left w:val="nil"/>
              <w:bottom w:val="nil"/>
              <w:right w:val="nil"/>
            </w:tcBorders>
            <w:vAlign w:val="bottom"/>
          </w:tcPr>
          <w:p w14:paraId="56D907B5" w14:textId="77777777" w:rsidR="0074321C" w:rsidRDefault="00000000">
            <w:pPr>
              <w:spacing w:line="240" w:lineRule="auto"/>
              <w:jc w:val="center"/>
              <w:rPr>
                <w:color w:val="000000"/>
                <w:sz w:val="22"/>
                <w:szCs w:val="22"/>
              </w:rPr>
            </w:pPr>
            <w:r>
              <w:rPr>
                <w:color w:val="000000"/>
                <w:sz w:val="22"/>
                <w:szCs w:val="22"/>
              </w:rPr>
              <w:t>10</w:t>
            </w:r>
          </w:p>
        </w:tc>
      </w:tr>
      <w:tr w:rsidR="0074321C" w14:paraId="4C2103A5" w14:textId="77777777">
        <w:trPr>
          <w:trHeight w:val="144"/>
          <w:jc w:val="center"/>
        </w:trPr>
        <w:tc>
          <w:tcPr>
            <w:tcW w:w="1710" w:type="dxa"/>
            <w:tcBorders>
              <w:top w:val="nil"/>
              <w:left w:val="nil"/>
              <w:bottom w:val="nil"/>
              <w:right w:val="nil"/>
            </w:tcBorders>
            <w:shd w:val="clear" w:color="auto" w:fill="auto"/>
            <w:vAlign w:val="bottom"/>
          </w:tcPr>
          <w:p w14:paraId="0DD6EE60" w14:textId="77777777" w:rsidR="0074321C" w:rsidRDefault="0074321C">
            <w:pPr>
              <w:spacing w:line="240" w:lineRule="auto"/>
              <w:jc w:val="center"/>
              <w:rPr>
                <w:color w:val="000000"/>
                <w:sz w:val="22"/>
                <w:szCs w:val="22"/>
              </w:rPr>
            </w:pPr>
          </w:p>
        </w:tc>
        <w:tc>
          <w:tcPr>
            <w:tcW w:w="1350" w:type="dxa"/>
            <w:tcBorders>
              <w:top w:val="nil"/>
              <w:left w:val="nil"/>
              <w:bottom w:val="nil"/>
              <w:right w:val="nil"/>
            </w:tcBorders>
            <w:shd w:val="clear" w:color="auto" w:fill="auto"/>
            <w:vAlign w:val="bottom"/>
          </w:tcPr>
          <w:p w14:paraId="09837E6B" w14:textId="77777777" w:rsidR="0074321C" w:rsidRDefault="0074321C">
            <w:pPr>
              <w:spacing w:line="240" w:lineRule="auto"/>
              <w:jc w:val="center"/>
              <w:rPr>
                <w:color w:val="000000"/>
                <w:sz w:val="22"/>
                <w:szCs w:val="22"/>
              </w:rPr>
            </w:pPr>
          </w:p>
        </w:tc>
        <w:tc>
          <w:tcPr>
            <w:tcW w:w="2580" w:type="dxa"/>
            <w:tcBorders>
              <w:top w:val="nil"/>
              <w:left w:val="nil"/>
              <w:bottom w:val="nil"/>
              <w:right w:val="nil"/>
            </w:tcBorders>
            <w:vAlign w:val="bottom"/>
          </w:tcPr>
          <w:p w14:paraId="1495826D" w14:textId="77777777" w:rsidR="0074321C" w:rsidRDefault="00000000">
            <w:pPr>
              <w:spacing w:line="240" w:lineRule="auto"/>
              <w:jc w:val="center"/>
              <w:rPr>
                <w:color w:val="000000"/>
                <w:sz w:val="22"/>
                <w:szCs w:val="22"/>
              </w:rPr>
            </w:pPr>
            <w:r>
              <w:rPr>
                <w:color w:val="000000"/>
                <w:sz w:val="22"/>
                <w:szCs w:val="22"/>
              </w:rPr>
              <w:t>τ-Cadinol</w:t>
            </w:r>
          </w:p>
        </w:tc>
        <w:tc>
          <w:tcPr>
            <w:tcW w:w="1110" w:type="dxa"/>
            <w:tcBorders>
              <w:top w:val="nil"/>
              <w:left w:val="nil"/>
              <w:bottom w:val="nil"/>
              <w:right w:val="nil"/>
            </w:tcBorders>
            <w:vAlign w:val="bottom"/>
          </w:tcPr>
          <w:p w14:paraId="46B941E0" w14:textId="77777777" w:rsidR="0074321C" w:rsidRDefault="00000000">
            <w:pPr>
              <w:spacing w:line="240" w:lineRule="auto"/>
              <w:jc w:val="center"/>
              <w:rPr>
                <w:color w:val="000000"/>
                <w:sz w:val="22"/>
                <w:szCs w:val="22"/>
              </w:rPr>
            </w:pPr>
            <w:r>
              <w:rPr>
                <w:color w:val="000000"/>
                <w:sz w:val="22"/>
                <w:szCs w:val="22"/>
              </w:rPr>
              <w:t>8</w:t>
            </w:r>
          </w:p>
        </w:tc>
      </w:tr>
      <w:tr w:rsidR="0074321C" w14:paraId="65FFE280" w14:textId="77777777">
        <w:trPr>
          <w:trHeight w:val="144"/>
          <w:jc w:val="center"/>
        </w:trPr>
        <w:tc>
          <w:tcPr>
            <w:tcW w:w="1710" w:type="dxa"/>
            <w:tcBorders>
              <w:top w:val="nil"/>
              <w:left w:val="nil"/>
              <w:bottom w:val="nil"/>
              <w:right w:val="nil"/>
            </w:tcBorders>
            <w:shd w:val="clear" w:color="auto" w:fill="auto"/>
            <w:vAlign w:val="bottom"/>
          </w:tcPr>
          <w:p w14:paraId="29959F8B" w14:textId="77777777" w:rsidR="0074321C" w:rsidRDefault="0074321C">
            <w:pPr>
              <w:spacing w:line="240" w:lineRule="auto"/>
              <w:jc w:val="center"/>
              <w:rPr>
                <w:color w:val="000000"/>
                <w:sz w:val="22"/>
                <w:szCs w:val="22"/>
              </w:rPr>
            </w:pPr>
          </w:p>
        </w:tc>
        <w:tc>
          <w:tcPr>
            <w:tcW w:w="1350" w:type="dxa"/>
            <w:tcBorders>
              <w:top w:val="nil"/>
              <w:left w:val="nil"/>
              <w:bottom w:val="nil"/>
              <w:right w:val="nil"/>
            </w:tcBorders>
            <w:shd w:val="clear" w:color="auto" w:fill="auto"/>
            <w:vAlign w:val="bottom"/>
          </w:tcPr>
          <w:p w14:paraId="6C165FB9" w14:textId="77777777" w:rsidR="0074321C" w:rsidRDefault="0074321C">
            <w:pPr>
              <w:spacing w:line="240" w:lineRule="auto"/>
              <w:jc w:val="center"/>
              <w:rPr>
                <w:color w:val="000000"/>
                <w:sz w:val="22"/>
                <w:szCs w:val="22"/>
              </w:rPr>
            </w:pPr>
          </w:p>
        </w:tc>
        <w:tc>
          <w:tcPr>
            <w:tcW w:w="2580" w:type="dxa"/>
            <w:tcBorders>
              <w:top w:val="nil"/>
              <w:left w:val="nil"/>
              <w:bottom w:val="nil"/>
              <w:right w:val="nil"/>
            </w:tcBorders>
            <w:vAlign w:val="bottom"/>
          </w:tcPr>
          <w:p w14:paraId="3163404F" w14:textId="77777777" w:rsidR="0074321C" w:rsidRDefault="00000000">
            <w:pPr>
              <w:spacing w:line="240" w:lineRule="auto"/>
              <w:jc w:val="center"/>
              <w:rPr>
                <w:color w:val="000000"/>
                <w:sz w:val="22"/>
                <w:szCs w:val="22"/>
              </w:rPr>
            </w:pPr>
            <w:r>
              <w:rPr>
                <w:color w:val="000000"/>
                <w:sz w:val="22"/>
                <w:szCs w:val="22"/>
              </w:rPr>
              <w:t>Humulene</w:t>
            </w:r>
          </w:p>
        </w:tc>
        <w:tc>
          <w:tcPr>
            <w:tcW w:w="1110" w:type="dxa"/>
            <w:tcBorders>
              <w:top w:val="nil"/>
              <w:left w:val="nil"/>
              <w:bottom w:val="nil"/>
              <w:right w:val="nil"/>
            </w:tcBorders>
            <w:vAlign w:val="bottom"/>
          </w:tcPr>
          <w:p w14:paraId="47A6D32B" w14:textId="77777777" w:rsidR="0074321C" w:rsidRDefault="00000000">
            <w:pPr>
              <w:spacing w:line="240" w:lineRule="auto"/>
              <w:jc w:val="center"/>
              <w:rPr>
                <w:color w:val="000000"/>
                <w:sz w:val="22"/>
                <w:szCs w:val="22"/>
              </w:rPr>
            </w:pPr>
            <w:r>
              <w:rPr>
                <w:color w:val="000000"/>
                <w:sz w:val="22"/>
                <w:szCs w:val="22"/>
              </w:rPr>
              <w:t>8</w:t>
            </w:r>
          </w:p>
        </w:tc>
      </w:tr>
      <w:tr w:rsidR="0074321C" w14:paraId="467C692D" w14:textId="77777777">
        <w:trPr>
          <w:trHeight w:val="144"/>
          <w:jc w:val="center"/>
        </w:trPr>
        <w:tc>
          <w:tcPr>
            <w:tcW w:w="1710" w:type="dxa"/>
            <w:tcBorders>
              <w:top w:val="nil"/>
              <w:left w:val="nil"/>
              <w:bottom w:val="nil"/>
              <w:right w:val="nil"/>
            </w:tcBorders>
            <w:shd w:val="clear" w:color="auto" w:fill="auto"/>
            <w:vAlign w:val="bottom"/>
          </w:tcPr>
          <w:p w14:paraId="24A12616" w14:textId="77777777" w:rsidR="0074321C" w:rsidRDefault="0074321C">
            <w:pPr>
              <w:spacing w:line="240" w:lineRule="auto"/>
              <w:jc w:val="center"/>
              <w:rPr>
                <w:color w:val="000000"/>
                <w:sz w:val="22"/>
                <w:szCs w:val="22"/>
              </w:rPr>
            </w:pPr>
          </w:p>
        </w:tc>
        <w:tc>
          <w:tcPr>
            <w:tcW w:w="1350" w:type="dxa"/>
            <w:tcBorders>
              <w:top w:val="nil"/>
              <w:left w:val="nil"/>
              <w:bottom w:val="nil"/>
              <w:right w:val="nil"/>
            </w:tcBorders>
            <w:shd w:val="clear" w:color="auto" w:fill="auto"/>
            <w:vAlign w:val="bottom"/>
          </w:tcPr>
          <w:p w14:paraId="553EEECF" w14:textId="77777777" w:rsidR="0074321C" w:rsidRDefault="0074321C">
            <w:pPr>
              <w:spacing w:line="240" w:lineRule="auto"/>
              <w:jc w:val="center"/>
              <w:rPr>
                <w:color w:val="000000"/>
                <w:sz w:val="22"/>
                <w:szCs w:val="22"/>
              </w:rPr>
            </w:pPr>
          </w:p>
        </w:tc>
        <w:tc>
          <w:tcPr>
            <w:tcW w:w="2580" w:type="dxa"/>
            <w:tcBorders>
              <w:top w:val="nil"/>
              <w:left w:val="nil"/>
              <w:bottom w:val="nil"/>
              <w:right w:val="nil"/>
            </w:tcBorders>
            <w:vAlign w:val="bottom"/>
          </w:tcPr>
          <w:p w14:paraId="6A5C6CB7" w14:textId="77777777" w:rsidR="0074321C" w:rsidRDefault="00000000">
            <w:pPr>
              <w:spacing w:line="240" w:lineRule="auto"/>
              <w:jc w:val="center"/>
              <w:rPr>
                <w:color w:val="000000"/>
                <w:sz w:val="22"/>
                <w:szCs w:val="22"/>
              </w:rPr>
            </w:pPr>
            <w:r>
              <w:rPr>
                <w:color w:val="000000"/>
                <w:sz w:val="22"/>
                <w:szCs w:val="22"/>
              </w:rPr>
              <w:t>Isoledene</w:t>
            </w:r>
          </w:p>
        </w:tc>
        <w:tc>
          <w:tcPr>
            <w:tcW w:w="1110" w:type="dxa"/>
            <w:tcBorders>
              <w:top w:val="nil"/>
              <w:left w:val="nil"/>
              <w:bottom w:val="nil"/>
              <w:right w:val="nil"/>
            </w:tcBorders>
            <w:vAlign w:val="bottom"/>
          </w:tcPr>
          <w:p w14:paraId="76C3896F" w14:textId="77777777" w:rsidR="0074321C" w:rsidRDefault="00000000">
            <w:pPr>
              <w:spacing w:line="240" w:lineRule="auto"/>
              <w:jc w:val="center"/>
              <w:rPr>
                <w:color w:val="000000"/>
                <w:sz w:val="22"/>
                <w:szCs w:val="22"/>
              </w:rPr>
            </w:pPr>
            <w:r>
              <w:rPr>
                <w:color w:val="000000"/>
                <w:sz w:val="22"/>
                <w:szCs w:val="22"/>
              </w:rPr>
              <w:t>8</w:t>
            </w:r>
          </w:p>
        </w:tc>
      </w:tr>
      <w:tr w:rsidR="0074321C" w14:paraId="5EBB884B" w14:textId="77777777">
        <w:trPr>
          <w:trHeight w:val="144"/>
          <w:jc w:val="center"/>
        </w:trPr>
        <w:tc>
          <w:tcPr>
            <w:tcW w:w="1710" w:type="dxa"/>
            <w:tcBorders>
              <w:top w:val="nil"/>
              <w:left w:val="nil"/>
              <w:bottom w:val="nil"/>
              <w:right w:val="nil"/>
            </w:tcBorders>
            <w:shd w:val="clear" w:color="auto" w:fill="auto"/>
            <w:vAlign w:val="bottom"/>
          </w:tcPr>
          <w:p w14:paraId="2DDBB4F2" w14:textId="77777777" w:rsidR="0074321C" w:rsidRDefault="0074321C">
            <w:pPr>
              <w:spacing w:line="240" w:lineRule="auto"/>
              <w:jc w:val="center"/>
              <w:rPr>
                <w:color w:val="000000"/>
                <w:sz w:val="22"/>
                <w:szCs w:val="22"/>
              </w:rPr>
            </w:pPr>
          </w:p>
        </w:tc>
        <w:tc>
          <w:tcPr>
            <w:tcW w:w="1350" w:type="dxa"/>
            <w:tcBorders>
              <w:top w:val="nil"/>
              <w:left w:val="nil"/>
              <w:bottom w:val="nil"/>
              <w:right w:val="nil"/>
            </w:tcBorders>
            <w:shd w:val="clear" w:color="auto" w:fill="auto"/>
            <w:vAlign w:val="bottom"/>
          </w:tcPr>
          <w:p w14:paraId="60B97A55" w14:textId="77777777" w:rsidR="0074321C" w:rsidRDefault="0074321C">
            <w:pPr>
              <w:spacing w:line="240" w:lineRule="auto"/>
              <w:jc w:val="center"/>
              <w:rPr>
                <w:color w:val="000000"/>
                <w:sz w:val="22"/>
                <w:szCs w:val="22"/>
              </w:rPr>
            </w:pPr>
          </w:p>
        </w:tc>
        <w:tc>
          <w:tcPr>
            <w:tcW w:w="2580" w:type="dxa"/>
            <w:tcBorders>
              <w:top w:val="nil"/>
              <w:left w:val="nil"/>
              <w:bottom w:val="nil"/>
              <w:right w:val="nil"/>
            </w:tcBorders>
            <w:vAlign w:val="bottom"/>
          </w:tcPr>
          <w:p w14:paraId="46970797" w14:textId="77777777" w:rsidR="0074321C" w:rsidRDefault="00000000">
            <w:pPr>
              <w:spacing w:line="240" w:lineRule="auto"/>
              <w:jc w:val="center"/>
              <w:rPr>
                <w:color w:val="000000"/>
                <w:sz w:val="22"/>
                <w:szCs w:val="22"/>
              </w:rPr>
            </w:pPr>
            <w:r>
              <w:rPr>
                <w:color w:val="000000"/>
                <w:sz w:val="22"/>
                <w:szCs w:val="22"/>
              </w:rPr>
              <w:t>γ-Elemene</w:t>
            </w:r>
          </w:p>
        </w:tc>
        <w:tc>
          <w:tcPr>
            <w:tcW w:w="1110" w:type="dxa"/>
            <w:tcBorders>
              <w:top w:val="nil"/>
              <w:left w:val="nil"/>
              <w:bottom w:val="nil"/>
              <w:right w:val="nil"/>
            </w:tcBorders>
            <w:vAlign w:val="bottom"/>
          </w:tcPr>
          <w:p w14:paraId="2B0AF73C" w14:textId="77777777" w:rsidR="0074321C" w:rsidRDefault="00000000">
            <w:pPr>
              <w:spacing w:line="240" w:lineRule="auto"/>
              <w:jc w:val="center"/>
              <w:rPr>
                <w:color w:val="000000"/>
                <w:sz w:val="22"/>
                <w:szCs w:val="22"/>
              </w:rPr>
            </w:pPr>
            <w:r>
              <w:rPr>
                <w:color w:val="000000"/>
                <w:sz w:val="22"/>
                <w:szCs w:val="22"/>
              </w:rPr>
              <w:t>7</w:t>
            </w:r>
          </w:p>
        </w:tc>
      </w:tr>
      <w:tr w:rsidR="0074321C" w14:paraId="575C58E4" w14:textId="77777777">
        <w:trPr>
          <w:trHeight w:val="144"/>
          <w:jc w:val="center"/>
        </w:trPr>
        <w:tc>
          <w:tcPr>
            <w:tcW w:w="1710" w:type="dxa"/>
            <w:tcBorders>
              <w:top w:val="nil"/>
              <w:left w:val="nil"/>
              <w:bottom w:val="nil"/>
              <w:right w:val="nil"/>
            </w:tcBorders>
            <w:shd w:val="clear" w:color="auto" w:fill="auto"/>
            <w:vAlign w:val="bottom"/>
          </w:tcPr>
          <w:p w14:paraId="5B689ABB" w14:textId="77777777" w:rsidR="0074321C" w:rsidRDefault="0074321C">
            <w:pPr>
              <w:spacing w:line="240" w:lineRule="auto"/>
              <w:jc w:val="center"/>
              <w:rPr>
                <w:color w:val="000000"/>
                <w:sz w:val="22"/>
                <w:szCs w:val="22"/>
              </w:rPr>
            </w:pPr>
          </w:p>
        </w:tc>
        <w:tc>
          <w:tcPr>
            <w:tcW w:w="1350" w:type="dxa"/>
            <w:tcBorders>
              <w:top w:val="nil"/>
              <w:left w:val="nil"/>
              <w:bottom w:val="nil"/>
              <w:right w:val="nil"/>
            </w:tcBorders>
            <w:shd w:val="clear" w:color="auto" w:fill="auto"/>
            <w:vAlign w:val="bottom"/>
          </w:tcPr>
          <w:p w14:paraId="5704F0F1" w14:textId="77777777" w:rsidR="0074321C" w:rsidRDefault="0074321C">
            <w:pPr>
              <w:spacing w:line="240" w:lineRule="auto"/>
              <w:jc w:val="center"/>
              <w:rPr>
                <w:color w:val="000000"/>
                <w:sz w:val="22"/>
                <w:szCs w:val="22"/>
              </w:rPr>
            </w:pPr>
          </w:p>
        </w:tc>
        <w:tc>
          <w:tcPr>
            <w:tcW w:w="2580" w:type="dxa"/>
            <w:tcBorders>
              <w:top w:val="nil"/>
              <w:left w:val="nil"/>
              <w:bottom w:val="nil"/>
              <w:right w:val="nil"/>
            </w:tcBorders>
            <w:vAlign w:val="bottom"/>
          </w:tcPr>
          <w:p w14:paraId="739C34CD" w14:textId="77777777" w:rsidR="0074321C" w:rsidRDefault="00000000">
            <w:pPr>
              <w:spacing w:line="240" w:lineRule="auto"/>
              <w:jc w:val="center"/>
              <w:rPr>
                <w:color w:val="000000"/>
                <w:sz w:val="22"/>
                <w:szCs w:val="22"/>
              </w:rPr>
            </w:pPr>
            <w:r>
              <w:rPr>
                <w:i/>
                <w:color w:val="000000"/>
                <w:sz w:val="22"/>
                <w:szCs w:val="22"/>
              </w:rPr>
              <w:t>trans</w:t>
            </w:r>
            <w:r>
              <w:rPr>
                <w:color w:val="000000"/>
                <w:sz w:val="22"/>
                <w:szCs w:val="22"/>
              </w:rPr>
              <w:t>-Calamenene</w:t>
            </w:r>
          </w:p>
        </w:tc>
        <w:tc>
          <w:tcPr>
            <w:tcW w:w="1110" w:type="dxa"/>
            <w:tcBorders>
              <w:top w:val="nil"/>
              <w:left w:val="nil"/>
              <w:bottom w:val="nil"/>
              <w:right w:val="nil"/>
            </w:tcBorders>
            <w:vAlign w:val="bottom"/>
          </w:tcPr>
          <w:p w14:paraId="4AA281DA" w14:textId="77777777" w:rsidR="0074321C" w:rsidRDefault="00000000">
            <w:pPr>
              <w:spacing w:line="240" w:lineRule="auto"/>
              <w:jc w:val="center"/>
              <w:rPr>
                <w:color w:val="000000"/>
                <w:sz w:val="22"/>
                <w:szCs w:val="22"/>
              </w:rPr>
            </w:pPr>
            <w:r>
              <w:rPr>
                <w:color w:val="000000"/>
                <w:sz w:val="22"/>
                <w:szCs w:val="22"/>
              </w:rPr>
              <w:t>7</w:t>
            </w:r>
          </w:p>
        </w:tc>
      </w:tr>
      <w:tr w:rsidR="0074321C" w14:paraId="004370C1" w14:textId="77777777">
        <w:trPr>
          <w:trHeight w:val="144"/>
          <w:jc w:val="center"/>
        </w:trPr>
        <w:tc>
          <w:tcPr>
            <w:tcW w:w="1710" w:type="dxa"/>
            <w:tcBorders>
              <w:top w:val="nil"/>
              <w:left w:val="nil"/>
              <w:bottom w:val="nil"/>
              <w:right w:val="nil"/>
            </w:tcBorders>
            <w:shd w:val="clear" w:color="auto" w:fill="auto"/>
            <w:vAlign w:val="bottom"/>
          </w:tcPr>
          <w:p w14:paraId="0CCB14B9" w14:textId="77777777" w:rsidR="0074321C" w:rsidRDefault="0074321C">
            <w:pPr>
              <w:spacing w:line="240" w:lineRule="auto"/>
              <w:jc w:val="center"/>
              <w:rPr>
                <w:color w:val="000000"/>
                <w:sz w:val="22"/>
                <w:szCs w:val="22"/>
              </w:rPr>
            </w:pPr>
          </w:p>
        </w:tc>
        <w:tc>
          <w:tcPr>
            <w:tcW w:w="1350" w:type="dxa"/>
            <w:tcBorders>
              <w:top w:val="nil"/>
              <w:left w:val="nil"/>
              <w:bottom w:val="nil"/>
              <w:right w:val="nil"/>
            </w:tcBorders>
            <w:shd w:val="clear" w:color="auto" w:fill="auto"/>
            <w:vAlign w:val="bottom"/>
          </w:tcPr>
          <w:p w14:paraId="65E6B447" w14:textId="77777777" w:rsidR="0074321C" w:rsidRDefault="0074321C">
            <w:pPr>
              <w:spacing w:line="240" w:lineRule="auto"/>
              <w:jc w:val="center"/>
              <w:rPr>
                <w:color w:val="000000"/>
                <w:sz w:val="22"/>
                <w:szCs w:val="22"/>
              </w:rPr>
            </w:pPr>
          </w:p>
        </w:tc>
        <w:tc>
          <w:tcPr>
            <w:tcW w:w="2580" w:type="dxa"/>
            <w:tcBorders>
              <w:top w:val="nil"/>
              <w:left w:val="nil"/>
              <w:bottom w:val="nil"/>
              <w:right w:val="nil"/>
            </w:tcBorders>
            <w:vAlign w:val="bottom"/>
          </w:tcPr>
          <w:p w14:paraId="5E9EF509" w14:textId="77777777" w:rsidR="0074321C" w:rsidRDefault="00000000">
            <w:pPr>
              <w:spacing w:line="240" w:lineRule="auto"/>
              <w:jc w:val="center"/>
              <w:rPr>
                <w:color w:val="000000"/>
                <w:sz w:val="22"/>
                <w:szCs w:val="22"/>
              </w:rPr>
            </w:pPr>
            <w:r>
              <w:rPr>
                <w:i/>
                <w:color w:val="000000"/>
                <w:sz w:val="22"/>
                <w:szCs w:val="22"/>
              </w:rPr>
              <w:t>cis</w:t>
            </w:r>
            <w:r>
              <w:rPr>
                <w:color w:val="000000"/>
                <w:sz w:val="22"/>
                <w:szCs w:val="22"/>
              </w:rPr>
              <w:t>-Muurola-4-15-5-diene</w:t>
            </w:r>
          </w:p>
        </w:tc>
        <w:tc>
          <w:tcPr>
            <w:tcW w:w="1110" w:type="dxa"/>
            <w:tcBorders>
              <w:top w:val="nil"/>
              <w:left w:val="nil"/>
              <w:bottom w:val="nil"/>
              <w:right w:val="nil"/>
            </w:tcBorders>
            <w:vAlign w:val="bottom"/>
          </w:tcPr>
          <w:p w14:paraId="132B5408" w14:textId="77777777" w:rsidR="0074321C" w:rsidRDefault="00000000">
            <w:pPr>
              <w:spacing w:line="240" w:lineRule="auto"/>
              <w:jc w:val="center"/>
              <w:rPr>
                <w:color w:val="000000"/>
                <w:sz w:val="22"/>
                <w:szCs w:val="22"/>
              </w:rPr>
            </w:pPr>
            <w:r>
              <w:rPr>
                <w:color w:val="000000"/>
                <w:sz w:val="22"/>
                <w:szCs w:val="22"/>
              </w:rPr>
              <w:t>6</w:t>
            </w:r>
          </w:p>
        </w:tc>
      </w:tr>
      <w:tr w:rsidR="0074321C" w14:paraId="0D450BCA" w14:textId="77777777">
        <w:trPr>
          <w:trHeight w:val="144"/>
          <w:jc w:val="center"/>
        </w:trPr>
        <w:tc>
          <w:tcPr>
            <w:tcW w:w="1710" w:type="dxa"/>
            <w:tcBorders>
              <w:top w:val="nil"/>
              <w:left w:val="nil"/>
              <w:bottom w:val="nil"/>
              <w:right w:val="nil"/>
            </w:tcBorders>
            <w:shd w:val="clear" w:color="auto" w:fill="auto"/>
            <w:vAlign w:val="bottom"/>
          </w:tcPr>
          <w:p w14:paraId="36495848" w14:textId="77777777" w:rsidR="0074321C" w:rsidRDefault="0074321C">
            <w:pPr>
              <w:spacing w:line="240" w:lineRule="auto"/>
              <w:jc w:val="center"/>
              <w:rPr>
                <w:color w:val="000000"/>
                <w:sz w:val="22"/>
                <w:szCs w:val="22"/>
              </w:rPr>
            </w:pPr>
          </w:p>
        </w:tc>
        <w:tc>
          <w:tcPr>
            <w:tcW w:w="1350" w:type="dxa"/>
            <w:tcBorders>
              <w:top w:val="nil"/>
              <w:left w:val="nil"/>
              <w:bottom w:val="nil"/>
              <w:right w:val="nil"/>
            </w:tcBorders>
            <w:shd w:val="clear" w:color="auto" w:fill="auto"/>
            <w:vAlign w:val="bottom"/>
          </w:tcPr>
          <w:p w14:paraId="36CC9687" w14:textId="77777777" w:rsidR="0074321C" w:rsidRDefault="0074321C">
            <w:pPr>
              <w:spacing w:line="240" w:lineRule="auto"/>
              <w:jc w:val="center"/>
              <w:rPr>
                <w:color w:val="000000"/>
                <w:sz w:val="22"/>
                <w:szCs w:val="22"/>
              </w:rPr>
            </w:pPr>
          </w:p>
        </w:tc>
        <w:tc>
          <w:tcPr>
            <w:tcW w:w="2580" w:type="dxa"/>
            <w:tcBorders>
              <w:top w:val="nil"/>
              <w:left w:val="nil"/>
              <w:bottom w:val="nil"/>
              <w:right w:val="nil"/>
            </w:tcBorders>
            <w:vAlign w:val="bottom"/>
          </w:tcPr>
          <w:p w14:paraId="61B78F22" w14:textId="77777777" w:rsidR="0074321C" w:rsidRDefault="00000000">
            <w:pPr>
              <w:spacing w:line="240" w:lineRule="auto"/>
              <w:jc w:val="center"/>
              <w:rPr>
                <w:color w:val="000000"/>
                <w:sz w:val="22"/>
                <w:szCs w:val="22"/>
              </w:rPr>
            </w:pPr>
            <w:r>
              <w:rPr>
                <w:color w:val="000000"/>
                <w:sz w:val="22"/>
                <w:szCs w:val="22"/>
              </w:rPr>
              <w:t>Neointermedeol</w:t>
            </w:r>
          </w:p>
        </w:tc>
        <w:tc>
          <w:tcPr>
            <w:tcW w:w="1110" w:type="dxa"/>
            <w:tcBorders>
              <w:top w:val="nil"/>
              <w:left w:val="nil"/>
              <w:bottom w:val="nil"/>
              <w:right w:val="nil"/>
            </w:tcBorders>
            <w:vAlign w:val="bottom"/>
          </w:tcPr>
          <w:p w14:paraId="59FB003D" w14:textId="77777777" w:rsidR="0074321C" w:rsidRDefault="00000000">
            <w:pPr>
              <w:spacing w:line="240" w:lineRule="auto"/>
              <w:jc w:val="center"/>
              <w:rPr>
                <w:color w:val="000000"/>
                <w:sz w:val="22"/>
                <w:szCs w:val="22"/>
              </w:rPr>
            </w:pPr>
            <w:r>
              <w:rPr>
                <w:color w:val="000000"/>
                <w:sz w:val="22"/>
                <w:szCs w:val="22"/>
              </w:rPr>
              <w:t>5</w:t>
            </w:r>
          </w:p>
        </w:tc>
      </w:tr>
      <w:tr w:rsidR="0074321C" w14:paraId="7E4331C9" w14:textId="77777777">
        <w:trPr>
          <w:trHeight w:val="144"/>
          <w:jc w:val="center"/>
        </w:trPr>
        <w:tc>
          <w:tcPr>
            <w:tcW w:w="1710" w:type="dxa"/>
            <w:tcBorders>
              <w:top w:val="nil"/>
              <w:left w:val="nil"/>
              <w:bottom w:val="single" w:sz="12" w:space="0" w:color="000000"/>
              <w:right w:val="nil"/>
            </w:tcBorders>
            <w:shd w:val="clear" w:color="auto" w:fill="auto"/>
            <w:vAlign w:val="bottom"/>
          </w:tcPr>
          <w:p w14:paraId="2CE1FFE1" w14:textId="77777777" w:rsidR="0074321C" w:rsidRDefault="0074321C">
            <w:pPr>
              <w:spacing w:line="240" w:lineRule="auto"/>
              <w:jc w:val="center"/>
              <w:rPr>
                <w:color w:val="000000"/>
                <w:sz w:val="22"/>
                <w:szCs w:val="22"/>
              </w:rPr>
            </w:pPr>
          </w:p>
        </w:tc>
        <w:tc>
          <w:tcPr>
            <w:tcW w:w="1350" w:type="dxa"/>
            <w:tcBorders>
              <w:top w:val="nil"/>
              <w:left w:val="nil"/>
              <w:bottom w:val="single" w:sz="12" w:space="0" w:color="000000"/>
              <w:right w:val="nil"/>
            </w:tcBorders>
            <w:shd w:val="clear" w:color="auto" w:fill="auto"/>
            <w:vAlign w:val="bottom"/>
          </w:tcPr>
          <w:p w14:paraId="752216C1" w14:textId="77777777" w:rsidR="0074321C" w:rsidRDefault="0074321C">
            <w:pPr>
              <w:spacing w:line="240" w:lineRule="auto"/>
              <w:jc w:val="center"/>
              <w:rPr>
                <w:color w:val="000000"/>
                <w:sz w:val="22"/>
                <w:szCs w:val="22"/>
              </w:rPr>
            </w:pPr>
          </w:p>
        </w:tc>
        <w:tc>
          <w:tcPr>
            <w:tcW w:w="2580" w:type="dxa"/>
            <w:tcBorders>
              <w:top w:val="nil"/>
              <w:left w:val="nil"/>
              <w:bottom w:val="single" w:sz="12" w:space="0" w:color="000000"/>
              <w:right w:val="nil"/>
            </w:tcBorders>
            <w:vAlign w:val="bottom"/>
          </w:tcPr>
          <w:p w14:paraId="37CFD6E9" w14:textId="77777777" w:rsidR="0074321C" w:rsidRDefault="00000000">
            <w:pPr>
              <w:spacing w:line="240" w:lineRule="auto"/>
              <w:jc w:val="center"/>
              <w:rPr>
                <w:color w:val="000000"/>
                <w:sz w:val="22"/>
                <w:szCs w:val="22"/>
              </w:rPr>
            </w:pPr>
            <w:r>
              <w:rPr>
                <w:color w:val="000000"/>
                <w:sz w:val="22"/>
                <w:szCs w:val="22"/>
              </w:rPr>
              <w:t>β-Bisabolene</w:t>
            </w:r>
          </w:p>
        </w:tc>
        <w:tc>
          <w:tcPr>
            <w:tcW w:w="1110" w:type="dxa"/>
            <w:tcBorders>
              <w:top w:val="nil"/>
              <w:left w:val="nil"/>
              <w:bottom w:val="single" w:sz="12" w:space="0" w:color="000000"/>
              <w:right w:val="nil"/>
            </w:tcBorders>
            <w:vAlign w:val="bottom"/>
          </w:tcPr>
          <w:p w14:paraId="3B747898" w14:textId="77777777" w:rsidR="0074321C" w:rsidRDefault="00000000">
            <w:pPr>
              <w:spacing w:line="240" w:lineRule="auto"/>
              <w:jc w:val="center"/>
              <w:rPr>
                <w:color w:val="000000"/>
                <w:sz w:val="22"/>
                <w:szCs w:val="22"/>
              </w:rPr>
            </w:pPr>
            <w:r>
              <w:rPr>
                <w:color w:val="000000"/>
                <w:sz w:val="22"/>
                <w:szCs w:val="22"/>
              </w:rPr>
              <w:t>4</w:t>
            </w:r>
          </w:p>
        </w:tc>
      </w:tr>
    </w:tbl>
    <w:p w14:paraId="72D9F2AA" w14:textId="77777777" w:rsidR="0074321C" w:rsidRDefault="0074321C"/>
    <w:p w14:paraId="2E3F4D55" w14:textId="77777777" w:rsidR="0074321C" w:rsidRDefault="00000000">
      <w:r>
        <w:rPr>
          <w:b/>
        </w:rPr>
        <w:t xml:space="preserve">Method S1. </w:t>
      </w:r>
      <w:r>
        <w:t>Description of isoprene emission capacity (</w:t>
      </w:r>
      <w:r>
        <w:rPr>
          <w:i/>
        </w:rPr>
        <w:t>E</w:t>
      </w:r>
      <w:r>
        <w:rPr>
          <w:vertAlign w:val="subscript"/>
        </w:rPr>
        <w:t>c</w:t>
      </w:r>
      <w:r>
        <w:t>) measurements.</w:t>
      </w:r>
    </w:p>
    <w:p w14:paraId="4D868D2B" w14:textId="5AEAA65D" w:rsidR="0074321C" w:rsidRDefault="00000000">
      <w:pPr>
        <w:spacing w:after="240"/>
      </w:pPr>
      <w:r>
        <w:t xml:space="preserve">Leaf-level isoprene </w:t>
      </w:r>
      <w:r>
        <w:rPr>
          <w:i/>
        </w:rPr>
        <w:t>E</w:t>
      </w:r>
      <w:r>
        <w:rPr>
          <w:vertAlign w:val="subscript"/>
        </w:rPr>
        <w:t>c</w:t>
      </w:r>
      <w:r>
        <w:t xml:space="preserve"> measurements were obtained in real-time under defined environmental conditions (photosynthetic photon flux density of 1000 μmol m</w:t>
      </w:r>
      <w:r>
        <w:rPr>
          <w:vertAlign w:val="superscript"/>
        </w:rPr>
        <w:t>-2</w:t>
      </w:r>
      <w:r>
        <w:t xml:space="preserve"> s</w:t>
      </w:r>
      <w:r>
        <w:rPr>
          <w:vertAlign w:val="superscript"/>
        </w:rPr>
        <w:t>-1</w:t>
      </w:r>
      <w:r>
        <w:t>, leaf temperature of 30 ºC, flow rate of air going into the leaf chamber of 400 μmol s</w:t>
      </w:r>
      <w:r>
        <w:rPr>
          <w:vertAlign w:val="superscript"/>
        </w:rPr>
        <w:t>-1</w:t>
      </w:r>
      <w:r>
        <w:t>, CO</w:t>
      </w:r>
      <w:r>
        <w:rPr>
          <w:vertAlign w:val="subscript"/>
        </w:rPr>
        <w:t>2</w:t>
      </w:r>
      <w:r>
        <w:t xml:space="preserve"> and H</w:t>
      </w:r>
      <w:r>
        <w:rPr>
          <w:vertAlign w:val="subscript"/>
        </w:rPr>
        <w:t>2</w:t>
      </w:r>
      <w:r>
        <w:t>O concentrations of 420 μmol mol</w:t>
      </w:r>
      <w:r>
        <w:rPr>
          <w:vertAlign w:val="superscript"/>
        </w:rPr>
        <w:t>-1</w:t>
      </w:r>
      <w:r>
        <w:t xml:space="preserve"> and 21 mmol mol</w:t>
      </w:r>
      <w:r>
        <w:rPr>
          <w:vertAlign w:val="superscript"/>
        </w:rPr>
        <w:t xml:space="preserve">-1 </w:t>
      </w:r>
      <w:r>
        <w:t xml:space="preserve">and relative humidity of ~60 %) using a combined system consisting of a LI-6800 portable gas exchange (LiCor Inc., USA) connected to proton-transfer-reaction quadrupole mass spectrometer (PTR-QMS, IONICON Analytik, Innsbruck, Austria) as described in Robin et al. (2024). A hydrocarbon filter (Restek Pure Chromatography, Restek Corporations, USA) was installed at the air inlet of the LI-6800 to remove isoprene from incoming ambient air. All tubing in contact with the sampling air was PTFE and did not exchange isoprene. At the beginning of each day and before each measurement, a chamber blank sample was obtained from the empty leaf chamber. Measurements were performed by separately enclosing one leaf (for compound </w:t>
      </w:r>
      <w:r>
        <w:lastRenderedPageBreak/>
        <w:t xml:space="preserve">leaves we considered a leaflet as the equivalent of a simple leaf lamina) in the LI-6800 leaf chamber under the standard environmental conditions defined above. </w:t>
      </w:r>
      <w:bookmarkStart w:id="0" w:name="_Hlk197431628"/>
      <w:r>
        <w:t xml:space="preserve">The stability criterion for measurements was defined as one standard deviation of the mean </w:t>
      </w:r>
      <w:r>
        <w:rPr>
          <w:i/>
        </w:rPr>
        <w:t>A</w:t>
      </w:r>
      <w:r>
        <w:rPr>
          <w:vertAlign w:val="subscript"/>
        </w:rPr>
        <w:t>n</w:t>
      </w:r>
      <w:r w:rsidR="006C6C60">
        <w:t xml:space="preserve"> and </w:t>
      </w:r>
      <w:r w:rsidR="006C6C60">
        <w:rPr>
          <w:i/>
          <w:iCs/>
        </w:rPr>
        <w:t>g</w:t>
      </w:r>
      <w:r w:rsidR="006C6C60">
        <w:rPr>
          <w:vertAlign w:val="subscript"/>
        </w:rPr>
        <w:t>s</w:t>
      </w:r>
      <w:r>
        <w:t>, and</w:t>
      </w:r>
      <w:r w:rsidRPr="006C6C60">
        <w:rPr>
          <w:iCs/>
        </w:rPr>
        <w:t xml:space="preserve"> </w:t>
      </w:r>
      <w:r w:rsidR="006C6C60" w:rsidRPr="006C6C60">
        <w:rPr>
          <w:iCs/>
        </w:rPr>
        <w:t>these variables were</w:t>
      </w:r>
      <w:r>
        <w:t xml:space="preserve"> visually monitored until the value reached a </w:t>
      </w:r>
      <w:r w:rsidR="006C6C60">
        <w:t xml:space="preserve">stable </w:t>
      </w:r>
      <w:r>
        <w:t>plateau</w:t>
      </w:r>
      <w:r w:rsidR="006C6C60">
        <w:t xml:space="preserve"> (</w:t>
      </w:r>
      <w:r w:rsidR="006C6C60" w:rsidRPr="006C6C60">
        <w:t xml:space="preserve">~ </w:t>
      </w:r>
      <w:r w:rsidR="006C6C60">
        <w:t>10 min)</w:t>
      </w:r>
      <w:r>
        <w:t>, with measurements beginning when the instrument had reached the defined stability criterion.</w:t>
      </w:r>
      <w:r w:rsidR="006C6C60">
        <w:t xml:space="preserve"> </w:t>
      </w:r>
      <w:bookmarkStart w:id="1" w:name="_Hlk197430711"/>
      <w:bookmarkEnd w:id="0"/>
      <w:r w:rsidR="00034B82" w:rsidRPr="00034B82">
        <w:t>If the stability criterion was not met, we replaced the leaf or sampled a new branch</w:t>
      </w:r>
      <w:r w:rsidR="006C6C60">
        <w:t xml:space="preserve">. </w:t>
      </w:r>
      <w:r>
        <w:t>The air exiting the</w:t>
      </w:r>
      <w:r w:rsidR="004D22D4">
        <w:t xml:space="preserve"> sample port located behind the</w:t>
      </w:r>
      <w:r>
        <w:t xml:space="preserve"> LI-6800 </w:t>
      </w:r>
      <w:r w:rsidR="004D22D4">
        <w:t>head</w:t>
      </w:r>
      <w:r>
        <w:t xml:space="preserve"> was redirected to the PTR-QMS,</w:t>
      </w:r>
      <w:bookmarkEnd w:id="1"/>
      <w:r>
        <w:t xml:space="preserve"> which operated in standard conditions with a drift tube voltage of 600 V, drift tube pressure of 2.2 mbar, and E/N 120 Td. Measurements were performed for 10 minutes, and during each PTR-QMS measurement cycle the following mass-to-charge ratios (m/z) were monitored: 21 (H</w:t>
      </w:r>
      <w:r>
        <w:rPr>
          <w:vertAlign w:val="subscript"/>
        </w:rPr>
        <w:t>3</w:t>
      </w:r>
      <w:r>
        <w:rPr>
          <w:vertAlign w:val="superscript"/>
        </w:rPr>
        <w:t>18</w:t>
      </w:r>
      <w:r>
        <w:t>O</w:t>
      </w:r>
      <w:r>
        <w:rPr>
          <w:vertAlign w:val="subscript"/>
        </w:rPr>
        <w:t>+</w:t>
      </w:r>
      <w:r>
        <w:t>), 32 (O</w:t>
      </w:r>
      <w:r>
        <w:rPr>
          <w:vertAlign w:val="subscript"/>
        </w:rPr>
        <w:t>2</w:t>
      </w:r>
      <w:r>
        <w:rPr>
          <w:vertAlign w:val="superscript"/>
        </w:rPr>
        <w:t>+</w:t>
      </w:r>
      <w:r>
        <w:t>), and 37 (H</w:t>
      </w:r>
      <w:r>
        <w:rPr>
          <w:vertAlign w:val="subscript"/>
        </w:rPr>
        <w:t>2</w:t>
      </w:r>
      <w:r>
        <w:t>O-H</w:t>
      </w:r>
      <w:r>
        <w:rPr>
          <w:vertAlign w:val="subscript"/>
        </w:rPr>
        <w:t>3</w:t>
      </w:r>
      <w:r>
        <w:t>O</w:t>
      </w:r>
      <w:r>
        <w:rPr>
          <w:vertAlign w:val="superscript"/>
        </w:rPr>
        <w:t>+</w:t>
      </w:r>
      <w:r>
        <w:t>) with a dwell time of 500 ms each; 41 (isoprene fragment), 69 (isoprene) with a dwell time of 1 s each. Humidity-dependent calibrations (using water-bubbled nitrogen to dilute standard gas, simulating ambient relative humidity) were performed with a certified isoprene standard gas (Apel-Riemer Environmental, Inc.) at the beginning and end of the measurement campaign. The mixing ratios of isoprene were calculated from the calibration curves (R</w:t>
      </w:r>
      <w:r>
        <w:rPr>
          <w:vertAlign w:val="superscript"/>
        </w:rPr>
        <w:t>2</w:t>
      </w:r>
      <w:r>
        <w:t xml:space="preserve"> = 0.99).</w:t>
      </w:r>
      <w:r>
        <w:rPr>
          <w:sz w:val="20"/>
          <w:szCs w:val="20"/>
        </w:rPr>
        <w:t xml:space="preserve"> </w:t>
      </w:r>
      <w:r>
        <w:t>The detection limit of the PTR-QMS was calculated as three times the standard deviation of isoprene (ppb) detected in the water-bubbled nitrogen background of the calibration curves and was equal to 0.93 ppb. Once mixing ratios of isoprene (ppb) from the samples were obtained, isoprene emission capacity was determined using the equation (</w:t>
      </w:r>
      <w:r>
        <w:rPr>
          <w:i/>
        </w:rPr>
        <w:t>E</w:t>
      </w:r>
      <w:r>
        <w:rPr>
          <w:vertAlign w:val="subscript"/>
        </w:rPr>
        <w:t>c</w:t>
      </w:r>
      <w:r>
        <w:t xml:space="preserve"> = </w:t>
      </w:r>
      <w:r>
        <w:rPr>
          <w:i/>
        </w:rPr>
        <w:t>Rppb</w:t>
      </w:r>
      <w:r>
        <w:t xml:space="preserve"> × Q/S), where </w:t>
      </w:r>
      <w:r>
        <w:rPr>
          <w:i/>
        </w:rPr>
        <w:t>E</w:t>
      </w:r>
      <w:r>
        <w:rPr>
          <w:vertAlign w:val="subscript"/>
        </w:rPr>
        <w:t>c</w:t>
      </w:r>
      <w:r>
        <w:t xml:space="preserve"> (nmol m</w:t>
      </w:r>
      <w:r>
        <w:rPr>
          <w:vertAlign w:val="superscript"/>
        </w:rPr>
        <w:t>-2</w:t>
      </w:r>
      <w:r>
        <w:t xml:space="preserve"> s</w:t>
      </w:r>
      <w:r>
        <w:rPr>
          <w:vertAlign w:val="superscript"/>
        </w:rPr>
        <w:t>-1</w:t>
      </w:r>
      <w:r>
        <w:t xml:space="preserve">) is the leaf flux of isoprene emission; </w:t>
      </w:r>
      <w:r>
        <w:rPr>
          <w:i/>
        </w:rPr>
        <w:t>Rppb</w:t>
      </w:r>
      <w:r>
        <w:t xml:space="preserve"> (nmol mol</w:t>
      </w:r>
      <w:r>
        <w:rPr>
          <w:vertAlign w:val="superscript"/>
        </w:rPr>
        <w:t>-1</w:t>
      </w:r>
      <w:r>
        <w:t>) is isoprene concentration of the outgoing air; Q is the flow rate of air into the leaf chamber (400 x 10</w:t>
      </w:r>
      <w:r>
        <w:rPr>
          <w:vertAlign w:val="superscript"/>
        </w:rPr>
        <w:t>-6</w:t>
      </w:r>
      <w:r>
        <w:t xml:space="preserve"> mol s</w:t>
      </w:r>
      <w:r>
        <w:rPr>
          <w:vertAlign w:val="superscript"/>
        </w:rPr>
        <w:t>-1</w:t>
      </w:r>
      <w:r>
        <w:t>); S is the area of leaf within the chamber (0.0002 m² or 0.0006 m²).</w:t>
      </w:r>
    </w:p>
    <w:p w14:paraId="3DE29BEA" w14:textId="77777777" w:rsidR="0074321C" w:rsidRDefault="00000000">
      <w:r>
        <w:rPr>
          <w:b/>
        </w:rPr>
        <w:t xml:space="preserve">Method S2. </w:t>
      </w:r>
      <w:r>
        <w:t>Description of stored monoterpene and sesquiterpene measurements.</w:t>
      </w:r>
    </w:p>
    <w:p w14:paraId="39842C10" w14:textId="77777777" w:rsidR="0074321C" w:rsidRDefault="00000000">
      <w:pPr>
        <w:spacing w:after="240"/>
      </w:pPr>
      <w:r>
        <w:t>Contents of monoterpenes and sesquiterpenes stored in leaves were obtained from ~2 g of fresh leaf material macerated in liquid nitrogen and transferred to a 20 mL glass vial as described in Robin et al. (2024). Samples were analyzed via gas chromatography with a headspace mass-spectrometry detector (Headspace/GC-MS) system at the Chemical Analysis Lab (State University of Amazonas - UEA). Before each injection, the automatic sampler (AOC-6000 plus, Shimadzu, Kyoto, Japan) transferred the glass vial to the headspace oven and the vial was heated to 150 °C for 20 min at 250 rpm. Following that, the gas phase of the sample was extracted with a hermetic needle at 150 ºC and injected into the column of a gas chromatography-mass spectrometer GC-MS-TQ8050 NX (Shimadzu, Kyoto, Japan). The injection was split (1:10), and the trap was heated to 200 ºC while backflushing with a carrier gas (helium) at a flow rate of 5.2 ml min</w:t>
      </w:r>
      <w:r>
        <w:rPr>
          <w:vertAlign w:val="superscript"/>
        </w:rPr>
        <w:t>-1</w:t>
      </w:r>
      <w:r>
        <w:t xml:space="preserve"> (linear speed of 37.4 cm s</w:t>
      </w:r>
      <w:r>
        <w:rPr>
          <w:vertAlign w:val="superscript"/>
        </w:rPr>
        <w:t>-1</w:t>
      </w:r>
      <w:r>
        <w:t xml:space="preserve"> and pressure of 53.5 kPa) directed into the column (SH-I-5Sil MS, 5% diphenyl / 95% dimethyl pol, 30.0 m length x 0.25 mm inner diameter x 0.25 μm film thickness). The oven ramp temperature was programmed with an initial hold of 5 min at 35 ºC, followed by an increase to 280 ºC at a rate of 5 ºC min</w:t>
      </w:r>
      <w:r>
        <w:rPr>
          <w:vertAlign w:val="superscript"/>
        </w:rPr>
        <w:t>-1</w:t>
      </w:r>
      <w:r>
        <w:t xml:space="preserve"> followed by a hold at 280 ºC for 36 min. The interface was at 290 °C and the ion source was at 200 °C. A </w:t>
      </w:r>
      <w:r>
        <w:lastRenderedPageBreak/>
        <w:t>Shimadzu gas quality workstation (GC-MS solution v. 4.53) and NIST20 Mass Spectral Library were used to analyze the chromatographic data. The peak integration parameters were set as follows: slope (S) was 100, peak width at half-height (W) was 3, drift (D) was 0, parameter change time (T) was 1000, minimum peak area (M) was 1000, smoothing (F) was 1, and smoothing peak width at half-height (O) was 1. With these peak integration parameters, chromatographic peaks were automatically integrated. The mass spectrum of each peak was compared with the standard spectrums in the NIST20 spectrum library, and compounds with a similarity score of more than 90 were selected. Values were calculated as percentages of relative abundance of stored monoterpenes and stored sesquiterpenes by summing the peak areas of stored monoterpenes (sum of stored monoterpenes) and stored sesquiterpenes (sum of stored sesquiterpenes) found in a given sample and normalizing each sum by the largest sum observed in the dataset for each group of compounds.</w:t>
      </w:r>
    </w:p>
    <w:sectPr w:rsidR="0074321C">
      <w:footerReference w:type="default" r:id="rId9"/>
      <w:pgSz w:w="12240" w:h="15840"/>
      <w:pgMar w:top="720" w:right="720" w:bottom="720" w:left="720" w:header="706" w:footer="706"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4F5ED" w14:textId="77777777" w:rsidR="00E808BB" w:rsidRDefault="00E808BB">
      <w:pPr>
        <w:spacing w:line="240" w:lineRule="auto"/>
      </w:pPr>
      <w:r>
        <w:separator/>
      </w:r>
    </w:p>
  </w:endnote>
  <w:endnote w:type="continuationSeparator" w:id="0">
    <w:p w14:paraId="521D3A71" w14:textId="77777777" w:rsidR="00E808BB" w:rsidRDefault="00E808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1EB60" w14:textId="77777777" w:rsidR="0074321C" w:rsidRDefault="0074321C">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C3F1D" w14:textId="77777777" w:rsidR="00E808BB" w:rsidRDefault="00E808BB">
      <w:pPr>
        <w:spacing w:line="240" w:lineRule="auto"/>
      </w:pPr>
      <w:r>
        <w:separator/>
      </w:r>
    </w:p>
  </w:footnote>
  <w:footnote w:type="continuationSeparator" w:id="0">
    <w:p w14:paraId="7DAB2026" w14:textId="77777777" w:rsidR="00E808BB" w:rsidRDefault="00E808B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sDQ2A0JzM2NDA1NDMyUdpeDU4uLM/DyQAqNaABUQEncsAAAA"/>
  </w:docVars>
  <w:rsids>
    <w:rsidRoot w:val="0074321C"/>
    <w:rsid w:val="00034B82"/>
    <w:rsid w:val="00305FBF"/>
    <w:rsid w:val="003D6099"/>
    <w:rsid w:val="00462C79"/>
    <w:rsid w:val="004D22D4"/>
    <w:rsid w:val="006C6C60"/>
    <w:rsid w:val="0074321C"/>
    <w:rsid w:val="00763085"/>
    <w:rsid w:val="00921F8E"/>
    <w:rsid w:val="009A5616"/>
    <w:rsid w:val="00CF6865"/>
    <w:rsid w:val="00D21213"/>
    <w:rsid w:val="00E12074"/>
    <w:rsid w:val="00E70743"/>
    <w:rsid w:val="00E808BB"/>
    <w:rsid w:val="00EA0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6272D7"/>
  <w15:docId w15:val="{3B204D79-2CA7-44EF-AC32-BE1D90842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Cambria" w:eastAsia="Cambria" w:hAnsi="Cambria" w:cs="Cambria"/>
      <w:color w:val="36609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mbria" w:eastAsia="Cambria" w:hAnsi="Cambria" w:cs="Cambria"/>
      <w:color w:val="36609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ascii="Calibri" w:eastAsia="Calibri" w:hAnsi="Calibri" w:cs="Calibri"/>
      <w:color w:val="36609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ascii="Calibri" w:eastAsia="Calibri" w:hAnsi="Calibri" w:cs="Calibri"/>
      <w:i/>
      <w:color w:val="366091"/>
    </w:rPr>
  </w:style>
  <w:style w:type="paragraph" w:styleId="Heading5">
    <w:name w:val="heading 5"/>
    <w:basedOn w:val="Normal"/>
    <w:next w:val="Normal"/>
    <w:uiPriority w:val="9"/>
    <w:semiHidden/>
    <w:unhideWhenUsed/>
    <w:qFormat/>
    <w:pPr>
      <w:keepNext/>
      <w:keepLines/>
      <w:spacing w:before="80" w:after="40"/>
      <w:outlineLvl w:val="4"/>
    </w:pPr>
    <w:rPr>
      <w:rFonts w:ascii="Calibri" w:eastAsia="Calibri" w:hAnsi="Calibri" w:cs="Calibri"/>
      <w:color w:val="366091"/>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line="240" w:lineRule="auto"/>
    </w:pPr>
    <w:rPr>
      <w:rFonts w:ascii="Cambria" w:eastAsia="Cambria" w:hAnsi="Cambria" w:cs="Cambria"/>
      <w:sz w:val="56"/>
      <w:szCs w:val="56"/>
    </w:rPr>
  </w:style>
  <w:style w:type="paragraph" w:styleId="Subtitle">
    <w:name w:val="Subtitle"/>
    <w:basedOn w:val="Normal"/>
    <w:next w:val="Normal"/>
    <w:uiPriority w:val="11"/>
    <w:qFormat/>
    <w:pPr>
      <w:spacing w:after="160"/>
    </w:pPr>
    <w:rPr>
      <w:rFonts w:ascii="Calibri" w:eastAsia="Calibri" w:hAnsi="Calibri" w:cs="Calibri"/>
      <w:color w:val="595959"/>
      <w:sz w:val="28"/>
      <w:szCs w:val="28"/>
    </w:rPr>
  </w:style>
  <w:style w:type="table" w:customStyle="1" w:styleId="a">
    <w:basedOn w:val="TableNormal"/>
    <w:tblPr>
      <w:tblStyleRowBandSize w:val="1"/>
      <w:tblStyleColBandSize w:val="1"/>
      <w:tblCellMar>
        <w:left w:w="115" w:type="dxa"/>
        <w:right w:w="115" w:type="dxa"/>
      </w:tblCellMar>
    </w:tblPr>
  </w:style>
  <w:style w:type="character" w:styleId="LineNumber">
    <w:name w:val="line number"/>
    <w:basedOn w:val="DefaultParagraphFont"/>
    <w:uiPriority w:val="99"/>
    <w:semiHidden/>
    <w:unhideWhenUsed/>
    <w:rsid w:val="00E12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mailto:egomes@bgc-jena.mpg.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carneiro@bgc-jena.mpg.d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1254</Words>
  <Characters>7151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Michelle Robin Carneiro de Rezende</cp:lastModifiedBy>
  <cp:revision>4</cp:revision>
  <dcterms:created xsi:type="dcterms:W3CDTF">2025-05-06T11:18:00Z</dcterms:created>
  <dcterms:modified xsi:type="dcterms:W3CDTF">2025-05-06T12:19:00Z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db8bb636-81d7-4ccf-a424-5153db1a7e4b</vt:lpwstr>
  </property>
</Properties>
</file>