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AEE" w:rsidRPr="006376DF" w:rsidRDefault="0025576A" w:rsidP="00E07AEE">
      <w:pPr>
        <w:pStyle w:val="Heading1"/>
        <w:spacing w:before="0" w:line="360" w:lineRule="auto"/>
        <w:rPr>
          <w:rFonts w:ascii="Times New Roman" w:hAnsi="Times New Roman" w:cs="Times New Roman"/>
          <w:color w:val="auto"/>
          <w:lang w:val="en-US"/>
        </w:rPr>
      </w:pPr>
      <w:r>
        <w:rPr>
          <w:rFonts w:ascii="Times New Roman" w:hAnsi="Times New Roman" w:cs="Times New Roman"/>
          <w:color w:val="auto"/>
          <w:lang w:val="en-US"/>
        </w:rPr>
        <w:t>Additional file</w:t>
      </w:r>
      <w:r w:rsidR="00F06BC2">
        <w:rPr>
          <w:rFonts w:ascii="Times New Roman" w:hAnsi="Times New Roman" w:cs="Times New Roman"/>
          <w:color w:val="auto"/>
          <w:lang w:val="en-US"/>
        </w:rPr>
        <w:t xml:space="preserve"> 3</w:t>
      </w:r>
      <w:r w:rsidR="00CB6C96">
        <w:rPr>
          <w:rFonts w:ascii="Times New Roman" w:hAnsi="Times New Roman" w:cs="Times New Roman"/>
          <w:color w:val="auto"/>
          <w:lang w:val="en-US"/>
        </w:rPr>
        <w:t>. D</w:t>
      </w:r>
      <w:r w:rsidR="00F4251F">
        <w:rPr>
          <w:rFonts w:ascii="Times New Roman" w:hAnsi="Times New Roman" w:cs="Times New Roman"/>
          <w:color w:val="auto"/>
          <w:lang w:val="en-US"/>
        </w:rPr>
        <w:t>etailed description of</w:t>
      </w:r>
      <w:r w:rsidR="001636A7">
        <w:rPr>
          <w:rFonts w:ascii="Times New Roman" w:hAnsi="Times New Roman" w:cs="Times New Roman"/>
          <w:color w:val="auto"/>
          <w:lang w:val="en-US"/>
        </w:rPr>
        <w:t xml:space="preserve"> the</w:t>
      </w:r>
      <w:r w:rsidR="00F4251F">
        <w:rPr>
          <w:rFonts w:ascii="Times New Roman" w:hAnsi="Times New Roman" w:cs="Times New Roman"/>
          <w:color w:val="auto"/>
          <w:lang w:val="en-US"/>
        </w:rPr>
        <w:t xml:space="preserve"> m</w:t>
      </w:r>
      <w:r w:rsidR="00E07AEE" w:rsidRPr="006376DF">
        <w:rPr>
          <w:rFonts w:ascii="Times New Roman" w:hAnsi="Times New Roman" w:cs="Times New Roman"/>
          <w:color w:val="auto"/>
          <w:lang w:val="en-US"/>
        </w:rPr>
        <w:t>ethods</w:t>
      </w:r>
    </w:p>
    <w:p w:rsidR="00E07AEE" w:rsidRPr="006376DF" w:rsidRDefault="00E07AEE" w:rsidP="00E07AEE">
      <w:pPr>
        <w:pStyle w:val="Heading2"/>
        <w:spacing w:after="240" w:line="360" w:lineRule="auto"/>
        <w:rPr>
          <w:rFonts w:ascii="Times New Roman" w:hAnsi="Times New Roman" w:cs="Times New Roman"/>
          <w:color w:val="auto"/>
          <w:lang w:val="en-US"/>
        </w:rPr>
      </w:pPr>
      <w:r w:rsidRPr="006376DF">
        <w:rPr>
          <w:rFonts w:ascii="Times New Roman" w:hAnsi="Times New Roman" w:cs="Times New Roman"/>
          <w:color w:val="auto"/>
          <w:lang w:val="en-US"/>
        </w:rPr>
        <w:t>Study design</w:t>
      </w:r>
    </w:p>
    <w:p w:rsidR="00E07AEE" w:rsidRPr="006376DF" w:rsidRDefault="00E07AEE" w:rsidP="00E07AEE">
      <w:pPr>
        <w:spacing w:after="24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A multiple explorative case study </w:t>
      </w:r>
      <w:r w:rsidR="005323C2" w:rsidRPr="006376DF">
        <w:rPr>
          <w:rFonts w:ascii="Times New Roman" w:hAnsi="Times New Roman" w:cs="Times New Roman"/>
          <w:sz w:val="20"/>
          <w:szCs w:val="20"/>
        </w:rPr>
        <w:fldChar w:fldCharType="begin" w:fldLock="1"/>
      </w:r>
      <w:r w:rsidR="00797439">
        <w:rPr>
          <w:rFonts w:ascii="Times New Roman" w:hAnsi="Times New Roman" w:cs="Times New Roman"/>
          <w:sz w:val="20"/>
          <w:szCs w:val="20"/>
          <w:lang w:val="en-US"/>
        </w:rPr>
        <w:instrText>ADDIN CSL_CITATION { "citationItems" : [ { "id" : "ITEM-1", "itemData" : { "author" : [ { "dropping-particle" : "", "family" : "Creswell", "given" : "J W", "non-dropping-particle" : "", "parse-names" : false, "suffix" : "" } ], "edition" : "2nd ed", "id" : "ITEM-1", "issued" : { "date-parts" : [ [ "2007" ] ] }, "publisher" : "SAGE", "publisher-place" : "Thousand Oaks", "title" : "Qualitative Inquiry and Research Design: Choosing Among Five Approaches.", "type" : "book" }, "uris" : [ "http://www.mendeley.com/documents/?uuid=fab53872-f5a1-42f7-8041-c3cd78a2ba61" ] } ], "mendeley" : { "formattedCitation" : "[1]", "plainTextFormattedCitation" : "[1]", "previouslyFormattedCitation" : "[1]" }, "properties" : { "noteIndex" : 0 }, "schema" : "https://github.com/citation-style-language/schema/raw/master/csl-citation.json" }</w:instrText>
      </w:r>
      <w:r w:rsidR="005323C2" w:rsidRPr="006376DF">
        <w:rPr>
          <w:rFonts w:ascii="Times New Roman" w:hAnsi="Times New Roman" w:cs="Times New Roman"/>
          <w:sz w:val="20"/>
          <w:szCs w:val="20"/>
        </w:rPr>
        <w:fldChar w:fldCharType="separate"/>
      </w:r>
      <w:r w:rsidR="00797439" w:rsidRPr="00797439">
        <w:rPr>
          <w:rFonts w:ascii="Times New Roman" w:hAnsi="Times New Roman" w:cs="Times New Roman"/>
          <w:noProof/>
          <w:sz w:val="20"/>
          <w:szCs w:val="20"/>
          <w:lang w:val="en-US"/>
        </w:rPr>
        <w:t>[1]</w:t>
      </w:r>
      <w:r w:rsidR="005323C2"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among Swedish research funders funding clinical research was conducted. 10 cases were selected in order to capture a representative sample of Swedish research funders funding clinical research in terms of size of funding, geographical scope and type of funders. </w:t>
      </w:r>
    </w:p>
    <w:p w:rsidR="00E07AEE" w:rsidRPr="006376DF" w:rsidRDefault="00E07AEE" w:rsidP="00E07AEE">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t xml:space="preserve">Sample </w:t>
      </w:r>
    </w:p>
    <w:p w:rsidR="00E07AEE" w:rsidRPr="006376DF" w:rsidRDefault="00E07AEE" w:rsidP="00E07AEE">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br/>
        <w:t xml:space="preserve">The 10 selected funders (Table 1) cover approximately 60% of all clinical research funding in Sweden, which yearly amounts to about Euro730 million, with the central public level allocating Euro370 million, the private organizations allocating Euro110 million, the local public level granting Euro130 million, and other funders (including private companies and the EU) providing Euro120 million </w:t>
      </w:r>
      <w:r w:rsidR="005323C2" w:rsidRPr="006376DF">
        <w:rPr>
          <w:rFonts w:ascii="Times New Roman" w:hAnsi="Times New Roman" w:cs="Times New Roman"/>
          <w:sz w:val="20"/>
          <w:szCs w:val="20"/>
        </w:rPr>
        <w:fldChar w:fldCharType="begin" w:fldLock="1"/>
      </w:r>
      <w:r w:rsidR="00797439">
        <w:rPr>
          <w:rFonts w:ascii="Times New Roman" w:hAnsi="Times New Roman" w:cs="Times New Roman"/>
          <w:sz w:val="20"/>
          <w:szCs w:val="20"/>
          <w:lang w:val="en-US"/>
        </w:rPr>
        <w:instrText>ADDIN CSL_CITATION { "citationItems" : [ { "id" : "ITEM-1", "itemData" : { "author" : [ { "dropping-particle" : "", "family" : "SOU", "given" : "", "non-dropping-particle" : "", "parse-names" : false, "suffix" : "" } ], "id" : "ITEM-1", "issued" : { "date-parts" : [ [ "2008" ] ] }, "publisher" : "Utbildningsdepartementet", "publisher-place" : "Stockholm", "title" : "V\u00e4rldsklass! \u00c5tg\u00e4rdsplan f\u00f6r den kliniska forskningen. Delbet\u00e4nkande av Utredningen av den kliniska forskningen. SOU 2008:7", "type" : "report" }, "uris" : [ "http://www.mendeley.com/documents/?uuid=98e1637c-556a-43c7-bc99-0ed954aab3d4" ] } ], "mendeley" : { "formattedCitation" : "[2]", "plainTextFormattedCitation" : "[2]", "previouslyFormattedCitation" : "[2]" }, "properties" : { "noteIndex" : 0 }, "schema" : "https://github.com/citation-style-language/schema/raw/master/csl-citation.json" }</w:instrText>
      </w:r>
      <w:r w:rsidR="005323C2" w:rsidRPr="006376DF">
        <w:rPr>
          <w:rFonts w:ascii="Times New Roman" w:hAnsi="Times New Roman" w:cs="Times New Roman"/>
          <w:sz w:val="20"/>
          <w:szCs w:val="20"/>
        </w:rPr>
        <w:fldChar w:fldCharType="separate"/>
      </w:r>
      <w:r w:rsidR="00797439" w:rsidRPr="00797439">
        <w:rPr>
          <w:rFonts w:ascii="Times New Roman" w:hAnsi="Times New Roman" w:cs="Times New Roman"/>
          <w:noProof/>
          <w:sz w:val="20"/>
          <w:szCs w:val="20"/>
          <w:lang w:val="en-US"/>
        </w:rPr>
        <w:t>[2]</w:t>
      </w:r>
      <w:r w:rsidR="005323C2"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The funders selected for this study represent three different levels in the research funding system: 1) national public funding, 2) national, private non-profit funding, and 3) local public funding. They vary in geographical scope as four out of seven </w:t>
      </w:r>
      <w:r>
        <w:rPr>
          <w:rFonts w:ascii="Times New Roman" w:hAnsi="Times New Roman" w:cs="Times New Roman"/>
          <w:sz w:val="20"/>
          <w:szCs w:val="20"/>
          <w:lang w:val="en-US"/>
        </w:rPr>
        <w:t>local public funders</w:t>
      </w:r>
      <w:r w:rsidRPr="006376DF">
        <w:rPr>
          <w:rFonts w:ascii="Times New Roman" w:hAnsi="Times New Roman" w:cs="Times New Roman"/>
          <w:sz w:val="20"/>
          <w:szCs w:val="20"/>
          <w:lang w:val="en-US"/>
        </w:rPr>
        <w:t xml:space="preserve">, </w:t>
      </w:r>
      <w:r>
        <w:rPr>
          <w:rFonts w:ascii="Times New Roman" w:hAnsi="Times New Roman" w:cs="Times New Roman"/>
          <w:sz w:val="20"/>
          <w:szCs w:val="20"/>
          <w:lang w:val="en-US"/>
        </w:rPr>
        <w:t>who</w:t>
      </w:r>
      <w:r w:rsidRPr="006376DF">
        <w:rPr>
          <w:rFonts w:ascii="Times New Roman" w:hAnsi="Times New Roman" w:cs="Times New Roman"/>
          <w:sz w:val="20"/>
          <w:szCs w:val="20"/>
          <w:lang w:val="en-US"/>
        </w:rPr>
        <w:t xml:space="preserve"> fund clinical research in Sweden, were included. The three levels of funders accordingly act at different distances from healthcare, with national public funders being farthest away and local public funders being closest to healthcare.</w:t>
      </w:r>
    </w:p>
    <w:p w:rsidR="00E07AEE" w:rsidRPr="006376DF" w:rsidRDefault="00E07AEE" w:rsidP="00E07AEE">
      <w:pPr>
        <w:spacing w:after="0" w:line="360" w:lineRule="auto"/>
        <w:jc w:val="both"/>
        <w:rPr>
          <w:rFonts w:ascii="Times New Roman" w:hAnsi="Times New Roman" w:cs="Times New Roman"/>
          <w:sz w:val="20"/>
          <w:szCs w:val="20"/>
          <w:lang w:val="en-US"/>
        </w:rPr>
      </w:pPr>
    </w:p>
    <w:p w:rsidR="00E07AEE" w:rsidRPr="006376DF" w:rsidRDefault="00E07AEE" w:rsidP="00E07AEE">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At the 10 selected funders, respondents from the highest decision-making bodies were chosen. Admittedly several levels of decision making exist at each funder, but the selected respondents make the final decisions on funds allocation. The respondents were included based on seniority, experience and knowledge of clinical research. </w:t>
      </w:r>
    </w:p>
    <w:p w:rsidR="00E07AEE" w:rsidRPr="00F16575" w:rsidRDefault="00E07AEE" w:rsidP="00E07AEE">
      <w:pPr>
        <w:spacing w:after="0" w:line="360" w:lineRule="auto"/>
        <w:jc w:val="both"/>
        <w:rPr>
          <w:rFonts w:ascii="Times New Roman" w:hAnsi="Times New Roman" w:cs="Times New Roman"/>
          <w:b/>
          <w:sz w:val="20"/>
          <w:szCs w:val="20"/>
          <w:lang w:val="en-US"/>
        </w:rPr>
      </w:pPr>
    </w:p>
    <w:p w:rsidR="00E07AEE" w:rsidRPr="00754DD4" w:rsidRDefault="00E07AEE" w:rsidP="00E07AEE">
      <w:pPr>
        <w:spacing w:line="360" w:lineRule="auto"/>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The selected funders represent three important levels of the Swedish </w:t>
      </w:r>
      <w:r w:rsidR="00F4251F">
        <w:rPr>
          <w:rFonts w:ascii="Times New Roman" w:hAnsi="Times New Roman" w:cs="Times New Roman"/>
          <w:sz w:val="20"/>
          <w:szCs w:val="20"/>
          <w:lang w:val="en-US"/>
        </w:rPr>
        <w:t>research funding system. Appendix 1</w:t>
      </w:r>
      <w:r w:rsidRPr="006376DF">
        <w:rPr>
          <w:rFonts w:ascii="Times New Roman" w:hAnsi="Times New Roman" w:cs="Times New Roman"/>
          <w:sz w:val="20"/>
          <w:szCs w:val="20"/>
          <w:lang w:val="en-US"/>
        </w:rPr>
        <w:t xml:space="preserve"> gives a short des</w:t>
      </w:r>
      <w:r w:rsidR="00F4251F">
        <w:rPr>
          <w:rFonts w:ascii="Times New Roman" w:hAnsi="Times New Roman" w:cs="Times New Roman"/>
          <w:sz w:val="20"/>
          <w:szCs w:val="20"/>
          <w:lang w:val="en-US"/>
        </w:rPr>
        <w:t>cription of the three funding levels</w:t>
      </w:r>
      <w:r w:rsidRPr="006376DF">
        <w:rPr>
          <w:rFonts w:ascii="Times New Roman" w:hAnsi="Times New Roman" w:cs="Times New Roman"/>
          <w:sz w:val="20"/>
          <w:szCs w:val="20"/>
          <w:lang w:val="en-US"/>
        </w:rPr>
        <w:t>.</w:t>
      </w:r>
    </w:p>
    <w:p w:rsidR="00E07AEE" w:rsidRPr="00754DD4" w:rsidRDefault="00E07AEE" w:rsidP="00E07AEE">
      <w:pPr>
        <w:pStyle w:val="Heading2"/>
        <w:spacing w:before="0" w:line="360" w:lineRule="auto"/>
        <w:rPr>
          <w:rFonts w:ascii="Times New Roman" w:hAnsi="Times New Roman" w:cs="Times New Roman"/>
          <w:color w:val="auto"/>
          <w:lang w:val="en-US"/>
        </w:rPr>
      </w:pPr>
      <w:r w:rsidRPr="00754DD4">
        <w:rPr>
          <w:rFonts w:ascii="Times New Roman" w:hAnsi="Times New Roman" w:cs="Times New Roman"/>
          <w:color w:val="auto"/>
          <w:lang w:val="en-US"/>
        </w:rPr>
        <w:t>Data collection</w:t>
      </w:r>
    </w:p>
    <w:p w:rsidR="00E07AEE" w:rsidRPr="00754DD4" w:rsidRDefault="00E07AEE" w:rsidP="00E07AEE">
      <w:pPr>
        <w:spacing w:after="0" w:line="360" w:lineRule="auto"/>
        <w:jc w:val="both"/>
        <w:rPr>
          <w:rFonts w:ascii="Times New Roman" w:hAnsi="Times New Roman" w:cs="Times New Roman"/>
          <w:sz w:val="20"/>
          <w:szCs w:val="20"/>
          <w:lang w:val="en-US"/>
        </w:rPr>
      </w:pPr>
    </w:p>
    <w:p w:rsidR="00E07AEE" w:rsidRDefault="00E07AEE" w:rsidP="00E07AEE">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Two semi-structured, face-to-face, interviews per funder were conducted, except in two cases (</w:t>
      </w:r>
      <w:proofErr w:type="spellStart"/>
      <w:r w:rsidRPr="006376DF">
        <w:rPr>
          <w:rFonts w:ascii="Times New Roman" w:hAnsi="Times New Roman" w:cs="Times New Roman"/>
          <w:sz w:val="20"/>
          <w:szCs w:val="20"/>
          <w:lang w:val="en-US"/>
        </w:rPr>
        <w:t>Vinnova</w:t>
      </w:r>
      <w:proofErr w:type="spellEnd"/>
      <w:r w:rsidRPr="006376DF">
        <w:rPr>
          <w:rFonts w:ascii="Times New Roman" w:hAnsi="Times New Roman" w:cs="Times New Roman"/>
          <w:sz w:val="20"/>
          <w:szCs w:val="20"/>
          <w:lang w:val="en-US"/>
        </w:rPr>
        <w:t xml:space="preserve"> and Region </w:t>
      </w:r>
      <w:proofErr w:type="spellStart"/>
      <w:r w:rsidRPr="006376DF">
        <w:rPr>
          <w:rFonts w:ascii="Times New Roman" w:hAnsi="Times New Roman" w:cs="Times New Roman"/>
          <w:sz w:val="20"/>
          <w:szCs w:val="20"/>
          <w:lang w:val="en-US"/>
        </w:rPr>
        <w:t>Skåne</w:t>
      </w:r>
      <w:proofErr w:type="spellEnd"/>
      <w:r w:rsidRPr="006376DF">
        <w:rPr>
          <w:rFonts w:ascii="Times New Roman" w:hAnsi="Times New Roman" w:cs="Times New Roman"/>
          <w:sz w:val="20"/>
          <w:szCs w:val="20"/>
          <w:lang w:val="en-US"/>
        </w:rPr>
        <w:t>) where there was only one respondent who fulfilled the inclusion criteria. The 18 respondents were identified by the research team and every approached respondent participated. In addition to this, the relevance of the respondents was validated by means of asking the respondents to identify key respondents within their organization. One researcher conducted all the interviews. The same int</w:t>
      </w:r>
      <w:r w:rsidR="002B7635">
        <w:rPr>
          <w:rFonts w:ascii="Times New Roman" w:hAnsi="Times New Roman" w:cs="Times New Roman"/>
          <w:sz w:val="20"/>
          <w:szCs w:val="20"/>
          <w:lang w:val="en-US"/>
        </w:rPr>
        <w:t>erview guide</w:t>
      </w:r>
      <w:r w:rsidRPr="006376DF">
        <w:rPr>
          <w:rFonts w:ascii="Times New Roman" w:hAnsi="Times New Roman" w:cs="Times New Roman"/>
          <w:sz w:val="20"/>
          <w:szCs w:val="20"/>
          <w:lang w:val="en-US"/>
        </w:rPr>
        <w:t xml:space="preserve"> was used with all respondents with minor adaptations to funders’ organization and respondent’s position. No specific definition of the primary concepts </w:t>
      </w:r>
      <w:r>
        <w:rPr>
          <w:rFonts w:ascii="Times New Roman" w:hAnsi="Times New Roman" w:cs="Times New Roman"/>
          <w:sz w:val="20"/>
          <w:szCs w:val="20"/>
          <w:lang w:val="en-US"/>
        </w:rPr>
        <w:t>discussed in this paper concerning roles and responsibilities</w:t>
      </w:r>
      <w:r w:rsidRPr="006376DF">
        <w:rPr>
          <w:rFonts w:ascii="Times New Roman" w:hAnsi="Times New Roman" w:cs="Times New Roman"/>
          <w:sz w:val="20"/>
          <w:szCs w:val="20"/>
          <w:lang w:val="en-US"/>
        </w:rPr>
        <w:t xml:space="preserve"> was provided to respondents as exploring their opinions, instead of forcing them to use specific concepts, was preferred. The interviews were recorded and transcribed verbatim. The data was collected between April and September 2012. In order to diminish bias, methodological triangulation </w:t>
      </w:r>
      <w:r w:rsidR="005323C2" w:rsidRPr="006376DF">
        <w:rPr>
          <w:rFonts w:ascii="Times New Roman" w:hAnsi="Times New Roman" w:cs="Times New Roman"/>
          <w:sz w:val="20"/>
          <w:szCs w:val="20"/>
        </w:rPr>
        <w:fldChar w:fldCharType="begin" w:fldLock="1"/>
      </w:r>
      <w:r w:rsidR="00797439">
        <w:rPr>
          <w:rFonts w:ascii="Times New Roman" w:hAnsi="Times New Roman" w:cs="Times New Roman"/>
          <w:sz w:val="20"/>
          <w:szCs w:val="20"/>
          <w:lang w:val="en-US"/>
        </w:rPr>
        <w:instrText>ADDIN CSL_CITATION { "citationItems" : [ { "id" : "ITEM-1", "itemData" : { "author" : [ { "dropping-particle" : "", "family" : "Denzin", "given" : "N", "non-dropping-particle" : "", "parse-names" : false, "suffix" : "" } ], "id" : "ITEM-1", "issued" : { "date-parts" : [ [ "1970" ] ] }, "publisher" : "Butterworths", "publisher-place" : "London", "title" : "The Research Act in Sociology: A Theoretical Introduction to Sociological Methods.", "type" : "book" }, "uris" : [ "http://www.mendeley.com/documents/?uuid=6a2cbc96-fd6d-4d53-9f77-484e624bd975" ] } ], "mendeley" : { "formattedCitation" : "[3]", "plainTextFormattedCitation" : "[3]", "previouslyFormattedCitation" : "[3]" }, "properties" : { "noteIndex" : 0 }, "schema" : "https://github.com/citation-style-language/schema/raw/master/csl-citation.json" }</w:instrText>
      </w:r>
      <w:r w:rsidR="005323C2" w:rsidRPr="006376DF">
        <w:rPr>
          <w:rFonts w:ascii="Times New Roman" w:hAnsi="Times New Roman" w:cs="Times New Roman"/>
          <w:sz w:val="20"/>
          <w:szCs w:val="20"/>
        </w:rPr>
        <w:fldChar w:fldCharType="separate"/>
      </w:r>
      <w:r w:rsidR="00797439" w:rsidRPr="00797439">
        <w:rPr>
          <w:rFonts w:ascii="Times New Roman" w:hAnsi="Times New Roman" w:cs="Times New Roman"/>
          <w:noProof/>
          <w:sz w:val="20"/>
          <w:szCs w:val="20"/>
          <w:lang w:val="en-US"/>
        </w:rPr>
        <w:t>[3]</w:t>
      </w:r>
      <w:r w:rsidR="005323C2"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was used through data collected from websites, annual reports </w:t>
      </w:r>
      <w:r w:rsidRPr="006376DF">
        <w:rPr>
          <w:rFonts w:ascii="Times New Roman" w:hAnsi="Times New Roman" w:cs="Times New Roman"/>
          <w:sz w:val="20"/>
          <w:szCs w:val="20"/>
          <w:lang w:val="en-US"/>
        </w:rPr>
        <w:lastRenderedPageBreak/>
        <w:t>and goal statements, which were reviewed in order to find out how the funders described their official roles and to which degree responsibility issues for implementation were d</w:t>
      </w:r>
      <w:r w:rsidR="00F4251F">
        <w:rPr>
          <w:rFonts w:ascii="Times New Roman" w:hAnsi="Times New Roman" w:cs="Times New Roman"/>
          <w:sz w:val="20"/>
          <w:szCs w:val="20"/>
          <w:lang w:val="en-US"/>
        </w:rPr>
        <w:t>iscussed by the funders (Table 2</w:t>
      </w:r>
      <w:r w:rsidRPr="006376DF">
        <w:rPr>
          <w:rFonts w:ascii="Times New Roman" w:hAnsi="Times New Roman" w:cs="Times New Roman"/>
          <w:sz w:val="20"/>
          <w:szCs w:val="20"/>
          <w:lang w:val="en-US"/>
        </w:rPr>
        <w:t xml:space="preserve">). </w:t>
      </w:r>
    </w:p>
    <w:p w:rsidR="00CB6C96" w:rsidRPr="006376DF" w:rsidRDefault="00CB6C96" w:rsidP="00E07AEE">
      <w:pPr>
        <w:spacing w:after="0" w:line="360" w:lineRule="auto"/>
        <w:jc w:val="both"/>
        <w:rPr>
          <w:rFonts w:ascii="Times New Roman" w:hAnsi="Times New Roman" w:cs="Times New Roman"/>
          <w:sz w:val="20"/>
          <w:szCs w:val="20"/>
          <w:lang w:val="en-US"/>
        </w:rPr>
      </w:pPr>
      <w:bookmarkStart w:id="0" w:name="_GoBack"/>
      <w:bookmarkEnd w:id="0"/>
    </w:p>
    <w:p w:rsidR="00E07AEE" w:rsidRPr="00C71532" w:rsidRDefault="00E07AEE" w:rsidP="00E07AEE">
      <w:pPr>
        <w:pStyle w:val="Heading2"/>
        <w:spacing w:before="0" w:line="360" w:lineRule="auto"/>
        <w:rPr>
          <w:rFonts w:ascii="Times New Roman" w:hAnsi="Times New Roman" w:cs="Times New Roman"/>
          <w:color w:val="auto"/>
          <w:lang w:val="en-US"/>
        </w:rPr>
      </w:pPr>
      <w:r w:rsidRPr="00C71532">
        <w:rPr>
          <w:rFonts w:ascii="Times New Roman" w:hAnsi="Times New Roman" w:cs="Times New Roman"/>
          <w:color w:val="auto"/>
          <w:lang w:val="en-US"/>
        </w:rPr>
        <w:t>Analysis</w:t>
      </w:r>
    </w:p>
    <w:p w:rsidR="00E07AEE" w:rsidRPr="00C71532" w:rsidRDefault="00E07AEE" w:rsidP="00E07AEE">
      <w:pPr>
        <w:spacing w:after="0" w:line="360" w:lineRule="auto"/>
        <w:jc w:val="both"/>
        <w:rPr>
          <w:rFonts w:ascii="Times New Roman" w:hAnsi="Times New Roman" w:cs="Times New Roman"/>
          <w:sz w:val="20"/>
          <w:szCs w:val="20"/>
          <w:lang w:val="en-US"/>
        </w:rPr>
      </w:pPr>
    </w:p>
    <w:p w:rsidR="00E07AEE" w:rsidRPr="006376DF" w:rsidRDefault="00E07AEE" w:rsidP="00E07AEE">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The data was analyzed using an </w:t>
      </w:r>
      <w:proofErr w:type="spellStart"/>
      <w:r w:rsidRPr="006376DF">
        <w:rPr>
          <w:rFonts w:ascii="Times New Roman" w:hAnsi="Times New Roman" w:cs="Times New Roman"/>
          <w:sz w:val="20"/>
          <w:szCs w:val="20"/>
          <w:lang w:val="en-US"/>
        </w:rPr>
        <w:t>abductive</w:t>
      </w:r>
      <w:proofErr w:type="spellEnd"/>
      <w:r w:rsidRPr="006376DF">
        <w:rPr>
          <w:rFonts w:ascii="Times New Roman" w:hAnsi="Times New Roman" w:cs="Times New Roman"/>
          <w:sz w:val="20"/>
          <w:szCs w:val="20"/>
          <w:lang w:val="en-US"/>
        </w:rPr>
        <w:t xml:space="preserve"> approach </w:t>
      </w:r>
      <w:r w:rsidR="005323C2" w:rsidRPr="006376DF">
        <w:rPr>
          <w:rFonts w:ascii="Times New Roman" w:hAnsi="Times New Roman" w:cs="Times New Roman"/>
          <w:sz w:val="20"/>
          <w:szCs w:val="20"/>
        </w:rPr>
        <w:fldChar w:fldCharType="begin" w:fldLock="1"/>
      </w:r>
      <w:r w:rsidR="00797439">
        <w:rPr>
          <w:rFonts w:ascii="Times New Roman" w:hAnsi="Times New Roman" w:cs="Times New Roman"/>
          <w:sz w:val="20"/>
          <w:szCs w:val="20"/>
          <w:lang w:val="en-US"/>
        </w:rPr>
        <w:instrText>ADDIN CSL_CITATION { "citationItems" : [ { "id" : "ITEM-1", "itemData" : { "ISSN" : "1077-8004", "abstract" : "Distinctions between abduction and induction, and between phronesis and theory, are often elided in methodological discussion about case study. Making these distinctions clear offers a pathway for the better conduct of case study and for a less apologetic stance in its use. Owing its legitimacy to the experiential knowledge of phronesis rather than the generalizing power of induction and theory in explanation and prediction, case study can more unselfconsciously look to the anatomy of narrative for the justification of its processes and its conclusions. A look at this anatomy reveals a number of ways in which the valency of case study may be constructed.", "author" : [ { "dropping-particle" : "", "family" : "Thomas", "given" : "G.", "non-dropping-particle" : "", "parse-names" : false, "suffix" : "" } ], "container-title" : "Qualitative Inquiry", "id" : "ITEM-1", "issue" : "7", "issued" : { "date-parts" : [ [ "2010", "6", "8" ] ] }, "page" : "575-582", "title" : "Doing Case Study: Abduction Not Induction, Phronesis Not Theory", "type" : "article-journal", "volume" : "16" }, "uris" : [ "http://www.mendeley.com/documents/?uuid=c11e580e-b765-4884-9899-fd68096b2bcf" ] }, { "id" : "ITEM-2", "itemData" : { "ISSN" : "01482963", "author" : [ { "dropping-particle" : "", "family" : "Dubois", "given" : "A", "non-dropping-particle" : "", "parse-names" : false, "suffix" : "" }, { "dropping-particle" : "", "family" : "Gadde", "given" : "L-E", "non-dropping-particle" : "", "parse-names" : false, "suffix" : "" } ], "container-title" : "Journal of Business Research", "id" : "ITEM-2", "issue" : "7", "issued" : { "date-parts" : [ [ "2002", "7" ] ] }, "page" : "553-560", "title" : "Systematic combining: an abductive approach to case research", "type" : "article-journal", "volume" : "55" }, "uris" : [ "http://www.mendeley.com/documents/?uuid=c4329f8a-cf46-4ef4-b87e-8cca8dbbea33" ] } ], "mendeley" : { "formattedCitation" : "[4, 5]", "plainTextFormattedCitation" : "[4, 5]", "previouslyFormattedCitation" : "[4, 5]" }, "properties" : { "noteIndex" : 0 }, "schema" : "https://github.com/citation-style-language/schema/raw/master/csl-citation.json" }</w:instrText>
      </w:r>
      <w:r w:rsidR="005323C2" w:rsidRPr="006376DF">
        <w:rPr>
          <w:rFonts w:ascii="Times New Roman" w:hAnsi="Times New Roman" w:cs="Times New Roman"/>
          <w:sz w:val="20"/>
          <w:szCs w:val="20"/>
        </w:rPr>
        <w:fldChar w:fldCharType="separate"/>
      </w:r>
      <w:r w:rsidR="00797439" w:rsidRPr="00797439">
        <w:rPr>
          <w:rFonts w:ascii="Times New Roman" w:hAnsi="Times New Roman" w:cs="Times New Roman"/>
          <w:noProof/>
          <w:sz w:val="20"/>
          <w:szCs w:val="20"/>
          <w:lang w:val="en-US"/>
        </w:rPr>
        <w:t>[4, 5]</w:t>
      </w:r>
      <w:r w:rsidR="005323C2"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which is a suitable approach when one aims to study phenomena in their conte</w:t>
      </w:r>
      <w:r w:rsidR="00F31013">
        <w:rPr>
          <w:rFonts w:ascii="Times New Roman" w:hAnsi="Times New Roman" w:cs="Times New Roman"/>
          <w:sz w:val="20"/>
          <w:szCs w:val="20"/>
          <w:lang w:val="en-US"/>
        </w:rPr>
        <w:t>xt starting from existing theory</w:t>
      </w:r>
      <w:r w:rsidRPr="006376DF">
        <w:rPr>
          <w:rFonts w:ascii="Times New Roman" w:hAnsi="Times New Roman" w:cs="Times New Roman"/>
          <w:sz w:val="20"/>
          <w:szCs w:val="20"/>
          <w:lang w:val="en-US"/>
        </w:rPr>
        <w:t xml:space="preserve"> </w:t>
      </w:r>
      <w:r w:rsidR="005323C2" w:rsidRPr="006376DF">
        <w:rPr>
          <w:rFonts w:ascii="Times New Roman" w:hAnsi="Times New Roman" w:cs="Times New Roman"/>
          <w:sz w:val="20"/>
          <w:szCs w:val="20"/>
        </w:rPr>
        <w:fldChar w:fldCharType="begin" w:fldLock="1"/>
      </w:r>
      <w:r w:rsidR="00797439">
        <w:rPr>
          <w:rFonts w:ascii="Times New Roman" w:hAnsi="Times New Roman" w:cs="Times New Roman"/>
          <w:sz w:val="20"/>
          <w:szCs w:val="20"/>
          <w:lang w:val="en-US"/>
        </w:rPr>
        <w:instrText>ADDIN CSL_CITATION { "citationItems" : [ { "id" : "ITEM-1", "itemData" : { "ISSN" : "00117315", "author" : [ { "dropping-particle" : "", "family" : "Shah", "given" : "R", "non-dropping-particle" : "", "parse-names" : false, "suffix" : "" }, { "dropping-particle" : "", "family" : "Goldstein", "given" : "S M", "non-dropping-particle" : "", "parse-names" : false, "suffix" : "" }, { "dropping-particle" : "", "family" : "Unger", "given" : "B T", "non-dropping-particle" : "", "parse-names" : false, "suffix" : "" }, { "dropping-particle" : "", "family" : "Henry", "given" : "T D", "non-dropping-particle" : "", "parse-names" : false, "suffix" : "" } ], "container-title" : "Decision Sciences", "id" : "ITEM-1", "issue" : "4", "issued" : { "date-parts" : [ [ "2008", "11" ] ] }, "page" : "759-789", "title" : "Explaining Anomalous High Performance in a Health Care Supply Chain", "type" : "article-journal", "volume" : "39" }, "uris" : [ "http://www.mendeley.com/documents/?uuid=b7f7884f-4f5a-4066-9d72-bdc11a2eebf4" ] } ], "mendeley" : { "formattedCitation" : "[6]", "plainTextFormattedCitation" : "[6]", "previouslyFormattedCitation" : "[6]" }, "properties" : { "noteIndex" : 0 }, "schema" : "https://github.com/citation-style-language/schema/raw/master/csl-citation.json" }</w:instrText>
      </w:r>
      <w:r w:rsidR="005323C2" w:rsidRPr="006376DF">
        <w:rPr>
          <w:rFonts w:ascii="Times New Roman" w:hAnsi="Times New Roman" w:cs="Times New Roman"/>
          <w:sz w:val="20"/>
          <w:szCs w:val="20"/>
        </w:rPr>
        <w:fldChar w:fldCharType="separate"/>
      </w:r>
      <w:r w:rsidR="00797439" w:rsidRPr="00797439">
        <w:rPr>
          <w:rFonts w:ascii="Times New Roman" w:hAnsi="Times New Roman" w:cs="Times New Roman"/>
          <w:noProof/>
          <w:sz w:val="20"/>
          <w:szCs w:val="20"/>
          <w:lang w:val="en-US"/>
        </w:rPr>
        <w:t>[6]</w:t>
      </w:r>
      <w:r w:rsidR="005323C2"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This approach, which combines induction and deduction, allowed the initiation of this study with meaningful pre-determined concepts (about roles and responsibilities). The data collection was influenced by the</w:t>
      </w:r>
      <w:r>
        <w:rPr>
          <w:rFonts w:ascii="Times New Roman" w:hAnsi="Times New Roman" w:cs="Times New Roman"/>
          <w:sz w:val="20"/>
          <w:szCs w:val="20"/>
          <w:lang w:val="en-US"/>
        </w:rPr>
        <w:t xml:space="preserve"> theoretical considerations</w:t>
      </w:r>
      <w:r w:rsidRPr="006376DF">
        <w:rPr>
          <w:rFonts w:ascii="Times New Roman" w:hAnsi="Times New Roman" w:cs="Times New Roman"/>
          <w:sz w:val="20"/>
          <w:szCs w:val="20"/>
          <w:lang w:val="en-US"/>
        </w:rPr>
        <w:t xml:space="preserve"> </w:t>
      </w:r>
      <w:r>
        <w:rPr>
          <w:rFonts w:ascii="Times New Roman" w:hAnsi="Times New Roman" w:cs="Times New Roman"/>
          <w:sz w:val="20"/>
          <w:szCs w:val="20"/>
          <w:lang w:val="en-US"/>
        </w:rPr>
        <w:t>regarding</w:t>
      </w:r>
      <w:r w:rsidRPr="006376DF">
        <w:rPr>
          <w:rFonts w:ascii="Times New Roman" w:hAnsi="Times New Roman" w:cs="Times New Roman"/>
          <w:sz w:val="20"/>
          <w:szCs w:val="20"/>
          <w:lang w:val="en-US"/>
        </w:rPr>
        <w:t xml:space="preserve"> research funders’ roles and, for implementation responsibility, the </w:t>
      </w:r>
      <w:r w:rsidR="00370215">
        <w:rPr>
          <w:rFonts w:ascii="Times New Roman" w:hAnsi="Times New Roman" w:cs="Times New Roman"/>
          <w:sz w:val="20"/>
          <w:szCs w:val="20"/>
          <w:lang w:val="en-US"/>
        </w:rPr>
        <w:t>“</w:t>
      </w:r>
      <w:r w:rsidRPr="006376DF">
        <w:rPr>
          <w:rFonts w:ascii="Times New Roman" w:hAnsi="Times New Roman" w:cs="Times New Roman"/>
          <w:sz w:val="20"/>
          <w:szCs w:val="20"/>
          <w:lang w:val="en-US"/>
        </w:rPr>
        <w:t>pro</w:t>
      </w:r>
      <w:r w:rsidR="00370215">
        <w:rPr>
          <w:rFonts w:ascii="Times New Roman" w:hAnsi="Times New Roman" w:cs="Times New Roman"/>
          <w:sz w:val="20"/>
          <w:szCs w:val="20"/>
          <w:lang w:val="en-US"/>
        </w:rPr>
        <w:t>blem of many hands”.</w:t>
      </w:r>
      <w:r w:rsidRPr="006376DF">
        <w:rPr>
          <w:rFonts w:ascii="Times New Roman" w:hAnsi="Times New Roman" w:cs="Times New Roman"/>
          <w:sz w:val="20"/>
          <w:szCs w:val="20"/>
          <w:lang w:val="en-US"/>
        </w:rPr>
        <w:t xml:space="preserve"> Nonetheless, the answers of the individual respondents were coded inductively before forming the categories. In case the respondents within the same case had differing views these were discussed within the research team and a coding scheme was drafted which facilitated the balancing of these differing views and allowed arriving at the level of cases (n=10). As the core concepts were not defined for the respondents, every category was carefully analyzed and the categories that did not match the definitions (about roles and responsibilities) used in this paper were not included in the results. </w:t>
      </w:r>
    </w:p>
    <w:p w:rsidR="00E07AEE" w:rsidRPr="006376DF" w:rsidRDefault="00E07AEE" w:rsidP="00E07AEE">
      <w:pPr>
        <w:spacing w:after="0" w:line="360" w:lineRule="auto"/>
        <w:jc w:val="both"/>
        <w:rPr>
          <w:rFonts w:ascii="Times New Roman" w:hAnsi="Times New Roman" w:cs="Times New Roman"/>
          <w:sz w:val="20"/>
          <w:szCs w:val="20"/>
          <w:lang w:val="en-US"/>
        </w:rPr>
      </w:pPr>
    </w:p>
    <w:p w:rsidR="00E07AEE" w:rsidRPr="006376DF" w:rsidRDefault="00E07AEE" w:rsidP="00E07AEE">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Both a “within-cases” and an “across-cases” analysis </w:t>
      </w:r>
      <w:r w:rsidR="005323C2" w:rsidRPr="006376DF">
        <w:rPr>
          <w:rFonts w:ascii="Times New Roman" w:hAnsi="Times New Roman" w:cs="Times New Roman"/>
          <w:sz w:val="20"/>
          <w:szCs w:val="20"/>
        </w:rPr>
        <w:fldChar w:fldCharType="begin" w:fldLock="1"/>
      </w:r>
      <w:r w:rsidR="00797439">
        <w:rPr>
          <w:rFonts w:ascii="Times New Roman" w:hAnsi="Times New Roman" w:cs="Times New Roman"/>
          <w:sz w:val="20"/>
          <w:szCs w:val="20"/>
          <w:lang w:val="en-US"/>
        </w:rPr>
        <w:instrText>ADDIN CSL_CITATION { "citationItems" : [ { "id" : "ITEM-1", "itemData" : { "ISSN" : "9904978980", "author" : [ { "dropping-particle" : "", "family" : "Yin", "given" : "R K", "non-dropping-particle" : "", "parse-names" : false, "suffix" : "" } ], "edition" : "3rd ed", "id" : "ITEM-1", "issued" : { "date-parts" : [ [ "2003" ] ] }, "publisher" : "SAGE", "publisher-place" : "Thousand Oaks", "title" : "Case Study Research: Design and Methods.", "type" : "book" }, "uris" : [ "http://www.mendeley.com/documents/?uuid=f318e8f3-e095-4115-8d59-5724b1afcc25" ] } ], "mendeley" : { "formattedCitation" : "[7]", "plainTextFormattedCitation" : "[7]", "previouslyFormattedCitation" : "[7]" }, "properties" : { "noteIndex" : 0 }, "schema" : "https://github.com/citation-style-language/schema/raw/master/csl-citation.json" }</w:instrText>
      </w:r>
      <w:r w:rsidR="005323C2" w:rsidRPr="006376DF">
        <w:rPr>
          <w:rFonts w:ascii="Times New Roman" w:hAnsi="Times New Roman" w:cs="Times New Roman"/>
          <w:sz w:val="20"/>
          <w:szCs w:val="20"/>
        </w:rPr>
        <w:fldChar w:fldCharType="separate"/>
      </w:r>
      <w:r w:rsidR="00797439" w:rsidRPr="00797439">
        <w:rPr>
          <w:rFonts w:ascii="Times New Roman" w:hAnsi="Times New Roman" w:cs="Times New Roman"/>
          <w:noProof/>
          <w:sz w:val="20"/>
          <w:szCs w:val="20"/>
          <w:lang w:val="en-US"/>
        </w:rPr>
        <w:t>[7]</w:t>
      </w:r>
      <w:r w:rsidR="005323C2" w:rsidRPr="006376DF">
        <w:rPr>
          <w:rFonts w:ascii="Times New Roman" w:hAnsi="Times New Roman" w:cs="Times New Roman"/>
          <w:sz w:val="20"/>
          <w:szCs w:val="20"/>
        </w:rPr>
        <w:fldChar w:fldCharType="end"/>
      </w:r>
      <w:r w:rsidRPr="006376DF">
        <w:rPr>
          <w:rFonts w:ascii="Times New Roman" w:hAnsi="Times New Roman" w:cs="Times New Roman"/>
          <w:sz w:val="20"/>
          <w:szCs w:val="20"/>
          <w:lang w:val="en-US"/>
        </w:rPr>
        <w:t xml:space="preserve"> was conducted comparing the perceptions within the same level of funders and between different levels of funders, searching for similarities and differences. The primary focus was on categories that were common for several funders, but even categories, mentioned by only one funder, were included when this was deemed to add something to the overall findings. The coding schemes were discussed and evaluated by the research team in order to enhance their clarity and validity. The tables were constructed by one researcher and checked for validity by another researcher.</w:t>
      </w:r>
    </w:p>
    <w:p w:rsidR="00E07AEE" w:rsidRPr="006376DF" w:rsidRDefault="00E07AEE" w:rsidP="00E07AEE">
      <w:pPr>
        <w:spacing w:after="0" w:line="360" w:lineRule="auto"/>
        <w:jc w:val="both"/>
        <w:rPr>
          <w:rFonts w:ascii="Times New Roman" w:hAnsi="Times New Roman" w:cs="Times New Roman"/>
          <w:sz w:val="20"/>
          <w:szCs w:val="20"/>
          <w:lang w:val="en-US"/>
        </w:rPr>
      </w:pPr>
    </w:p>
    <w:p w:rsidR="00E07AEE" w:rsidRDefault="00E07AEE" w:rsidP="00E07AEE">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The study protocol was submitted to the</w:t>
      </w:r>
      <w:r>
        <w:rPr>
          <w:rFonts w:ascii="Times New Roman" w:hAnsi="Times New Roman" w:cs="Times New Roman"/>
          <w:sz w:val="20"/>
          <w:szCs w:val="20"/>
          <w:lang w:val="en-US"/>
        </w:rPr>
        <w:t xml:space="preserve"> Regional</w:t>
      </w:r>
      <w:r w:rsidRPr="006376DF">
        <w:rPr>
          <w:rFonts w:ascii="Times New Roman" w:hAnsi="Times New Roman" w:cs="Times New Roman"/>
          <w:sz w:val="20"/>
          <w:szCs w:val="20"/>
          <w:lang w:val="en-US"/>
        </w:rPr>
        <w:t xml:space="preserve"> Ethical Review Board</w:t>
      </w:r>
      <w:r>
        <w:rPr>
          <w:rFonts w:ascii="Times New Roman" w:hAnsi="Times New Roman" w:cs="Times New Roman"/>
          <w:sz w:val="20"/>
          <w:szCs w:val="20"/>
          <w:lang w:val="en-US"/>
        </w:rPr>
        <w:t xml:space="preserve"> in Uppsala</w:t>
      </w:r>
      <w:r w:rsidRPr="006376DF">
        <w:rPr>
          <w:rFonts w:ascii="Times New Roman" w:hAnsi="Times New Roman" w:cs="Times New Roman"/>
          <w:sz w:val="20"/>
          <w:szCs w:val="20"/>
          <w:lang w:val="en-US"/>
        </w:rPr>
        <w:t>, who stated that ethical approval was not required for this study.</w:t>
      </w:r>
    </w:p>
    <w:p w:rsidR="007C4DF5" w:rsidRDefault="007C4DF5" w:rsidP="00E07AEE">
      <w:pPr>
        <w:spacing w:after="0" w:line="360" w:lineRule="auto"/>
        <w:jc w:val="both"/>
        <w:rPr>
          <w:rFonts w:ascii="Times New Roman" w:hAnsi="Times New Roman" w:cs="Times New Roman"/>
          <w:sz w:val="20"/>
          <w:szCs w:val="20"/>
          <w:lang w:val="en-US"/>
        </w:rPr>
      </w:pPr>
    </w:p>
    <w:p w:rsidR="00F16575" w:rsidRPr="00F16575" w:rsidRDefault="00F16575" w:rsidP="00F16575">
      <w:pPr>
        <w:pStyle w:val="Heading1"/>
        <w:spacing w:before="0"/>
        <w:rPr>
          <w:color w:val="auto"/>
          <w:szCs w:val="20"/>
          <w:lang w:val="en-US"/>
        </w:rPr>
      </w:pPr>
      <w:r w:rsidRPr="00F16575">
        <w:rPr>
          <w:color w:val="auto"/>
          <w:lang w:val="en-US"/>
        </w:rPr>
        <w:t>References</w:t>
      </w:r>
    </w:p>
    <w:p w:rsidR="00616F69" w:rsidRPr="00616F69" w:rsidRDefault="005323C2">
      <w:pPr>
        <w:pStyle w:val="NormalWeb"/>
        <w:divId w:val="1886410414"/>
        <w:rPr>
          <w:noProof/>
          <w:sz w:val="20"/>
        </w:rPr>
      </w:pPr>
      <w:r>
        <w:rPr>
          <w:sz w:val="20"/>
          <w:szCs w:val="20"/>
          <w:lang w:val="en-US"/>
        </w:rPr>
        <w:fldChar w:fldCharType="begin" w:fldLock="1"/>
      </w:r>
      <w:r w:rsidR="00BA4776">
        <w:rPr>
          <w:sz w:val="20"/>
          <w:szCs w:val="20"/>
          <w:lang w:val="en-US"/>
        </w:rPr>
        <w:instrText xml:space="preserve">ADDIN Mendeley Bibliography CSL_BIBLIOGRAPHY </w:instrText>
      </w:r>
      <w:r>
        <w:rPr>
          <w:sz w:val="20"/>
          <w:szCs w:val="20"/>
          <w:lang w:val="en-US"/>
        </w:rPr>
        <w:fldChar w:fldCharType="separate"/>
      </w:r>
      <w:r w:rsidR="00616F69" w:rsidRPr="00F06BC2">
        <w:rPr>
          <w:noProof/>
          <w:sz w:val="20"/>
          <w:lang w:val="en-US"/>
        </w:rPr>
        <w:t xml:space="preserve">1. Creswell JW: </w:t>
      </w:r>
      <w:r w:rsidR="00616F69" w:rsidRPr="00F06BC2">
        <w:rPr>
          <w:i/>
          <w:iCs/>
          <w:noProof/>
          <w:sz w:val="20"/>
          <w:lang w:val="en-US"/>
        </w:rPr>
        <w:t>Qualitative Inquiry and Research Design: Choosing Among Five Approaches.</w:t>
      </w:r>
      <w:r w:rsidR="00616F69" w:rsidRPr="00F06BC2">
        <w:rPr>
          <w:noProof/>
          <w:sz w:val="20"/>
          <w:lang w:val="en-US"/>
        </w:rPr>
        <w:t xml:space="preserve"> </w:t>
      </w:r>
      <w:r w:rsidR="00616F69" w:rsidRPr="00616F69">
        <w:rPr>
          <w:noProof/>
          <w:sz w:val="20"/>
        </w:rPr>
        <w:t>2nd ed. Thousand Oaks: SAGE; 2007.</w:t>
      </w:r>
    </w:p>
    <w:p w:rsidR="00616F69" w:rsidRPr="00F06BC2" w:rsidRDefault="00616F69">
      <w:pPr>
        <w:pStyle w:val="NormalWeb"/>
        <w:divId w:val="1886410414"/>
        <w:rPr>
          <w:noProof/>
          <w:sz w:val="20"/>
          <w:lang w:val="en-US"/>
        </w:rPr>
      </w:pPr>
      <w:r w:rsidRPr="00616F69">
        <w:rPr>
          <w:noProof/>
          <w:sz w:val="20"/>
        </w:rPr>
        <w:t xml:space="preserve">2. SOU: </w:t>
      </w:r>
      <w:r w:rsidR="00E50440">
        <w:rPr>
          <w:i/>
          <w:iCs/>
          <w:noProof/>
          <w:sz w:val="20"/>
        </w:rPr>
        <w:t>Världsklass! Åtgärdsplan för den kliniska forskningen. Delbetänkande av u</w:t>
      </w:r>
      <w:r w:rsidRPr="00616F69">
        <w:rPr>
          <w:i/>
          <w:iCs/>
          <w:noProof/>
          <w:sz w:val="20"/>
        </w:rPr>
        <w:t>tredni</w:t>
      </w:r>
      <w:r w:rsidR="00E50440">
        <w:rPr>
          <w:i/>
          <w:iCs/>
          <w:noProof/>
          <w:sz w:val="20"/>
        </w:rPr>
        <w:t>ngen av den kliniska f</w:t>
      </w:r>
      <w:r w:rsidRPr="00616F69">
        <w:rPr>
          <w:i/>
          <w:iCs/>
          <w:noProof/>
          <w:sz w:val="20"/>
        </w:rPr>
        <w:t xml:space="preserve">orskningen. </w:t>
      </w:r>
      <w:r w:rsidRPr="00CB6C96">
        <w:rPr>
          <w:i/>
          <w:iCs/>
          <w:noProof/>
          <w:sz w:val="20"/>
          <w:lang w:val="en-US"/>
        </w:rPr>
        <w:t>SOU 2008:7</w:t>
      </w:r>
      <w:r w:rsidRPr="00CB6C96">
        <w:rPr>
          <w:noProof/>
          <w:sz w:val="20"/>
          <w:lang w:val="en-US"/>
        </w:rPr>
        <w:t xml:space="preserve">. </w:t>
      </w:r>
      <w:r w:rsidRPr="00E50440">
        <w:rPr>
          <w:noProof/>
          <w:sz w:val="20"/>
          <w:lang w:val="en-US"/>
        </w:rPr>
        <w:t>Stockholm: Utbildningsdepartement</w:t>
      </w:r>
      <w:r w:rsidRPr="00F06BC2">
        <w:rPr>
          <w:noProof/>
          <w:sz w:val="20"/>
          <w:lang w:val="en-US"/>
        </w:rPr>
        <w:t>et; 2008.</w:t>
      </w:r>
    </w:p>
    <w:p w:rsidR="00616F69" w:rsidRPr="00F06BC2" w:rsidRDefault="00616F69">
      <w:pPr>
        <w:pStyle w:val="NormalWeb"/>
        <w:divId w:val="1886410414"/>
        <w:rPr>
          <w:noProof/>
          <w:sz w:val="20"/>
          <w:lang w:val="en-US"/>
        </w:rPr>
      </w:pPr>
      <w:r w:rsidRPr="00F06BC2">
        <w:rPr>
          <w:noProof/>
          <w:sz w:val="20"/>
          <w:lang w:val="en-US"/>
        </w:rPr>
        <w:t xml:space="preserve">3. Denzin N: </w:t>
      </w:r>
      <w:r w:rsidRPr="00F06BC2">
        <w:rPr>
          <w:i/>
          <w:iCs/>
          <w:noProof/>
          <w:sz w:val="20"/>
          <w:lang w:val="en-US"/>
        </w:rPr>
        <w:t>The Research Act in Sociology: A Theoretical Introduction to Sociological Methods.</w:t>
      </w:r>
      <w:r w:rsidRPr="00F06BC2">
        <w:rPr>
          <w:noProof/>
          <w:sz w:val="20"/>
          <w:lang w:val="en-US"/>
        </w:rPr>
        <w:t xml:space="preserve"> London: Butterworths; 1970.</w:t>
      </w:r>
    </w:p>
    <w:p w:rsidR="00616F69" w:rsidRPr="00F06BC2" w:rsidRDefault="00616F69">
      <w:pPr>
        <w:pStyle w:val="NormalWeb"/>
        <w:divId w:val="1886410414"/>
        <w:rPr>
          <w:noProof/>
          <w:sz w:val="20"/>
          <w:lang w:val="en-US"/>
        </w:rPr>
      </w:pPr>
      <w:r w:rsidRPr="00F06BC2">
        <w:rPr>
          <w:noProof/>
          <w:sz w:val="20"/>
          <w:lang w:val="en-US"/>
        </w:rPr>
        <w:t xml:space="preserve">4. Thomas G: </w:t>
      </w:r>
      <w:r w:rsidRPr="00F06BC2">
        <w:rPr>
          <w:b/>
          <w:bCs/>
          <w:noProof/>
          <w:sz w:val="20"/>
          <w:lang w:val="en-US"/>
        </w:rPr>
        <w:t>Doing Case Study: Abduction Not Induction, Phronesis Not Theory</w:t>
      </w:r>
      <w:r w:rsidRPr="00F06BC2">
        <w:rPr>
          <w:noProof/>
          <w:sz w:val="20"/>
          <w:lang w:val="en-US"/>
        </w:rPr>
        <w:t xml:space="preserve">. </w:t>
      </w:r>
      <w:r w:rsidRPr="00F06BC2">
        <w:rPr>
          <w:i/>
          <w:iCs/>
          <w:noProof/>
          <w:sz w:val="20"/>
          <w:lang w:val="en-US"/>
        </w:rPr>
        <w:t>Qual Inq</w:t>
      </w:r>
      <w:r w:rsidRPr="00F06BC2">
        <w:rPr>
          <w:noProof/>
          <w:sz w:val="20"/>
          <w:lang w:val="en-US"/>
        </w:rPr>
        <w:t xml:space="preserve"> 2010, </w:t>
      </w:r>
      <w:r w:rsidRPr="00F06BC2">
        <w:rPr>
          <w:b/>
          <w:bCs/>
          <w:noProof/>
          <w:sz w:val="20"/>
          <w:lang w:val="en-US"/>
        </w:rPr>
        <w:t>16</w:t>
      </w:r>
      <w:r w:rsidRPr="00F06BC2">
        <w:rPr>
          <w:noProof/>
          <w:sz w:val="20"/>
          <w:lang w:val="en-US"/>
        </w:rPr>
        <w:t>:575–582.</w:t>
      </w:r>
    </w:p>
    <w:p w:rsidR="00616F69" w:rsidRPr="00F06BC2" w:rsidRDefault="00616F69">
      <w:pPr>
        <w:pStyle w:val="NormalWeb"/>
        <w:divId w:val="1886410414"/>
        <w:rPr>
          <w:noProof/>
          <w:sz w:val="20"/>
          <w:lang w:val="en-US"/>
        </w:rPr>
      </w:pPr>
      <w:r w:rsidRPr="00F06BC2">
        <w:rPr>
          <w:noProof/>
          <w:sz w:val="20"/>
          <w:lang w:val="en-US"/>
        </w:rPr>
        <w:t xml:space="preserve">5. Dubois A, Gadde L-E: </w:t>
      </w:r>
      <w:r w:rsidRPr="00F06BC2">
        <w:rPr>
          <w:b/>
          <w:bCs/>
          <w:noProof/>
          <w:sz w:val="20"/>
          <w:lang w:val="en-US"/>
        </w:rPr>
        <w:t>Systematic combining: an abductive approach to case research</w:t>
      </w:r>
      <w:r w:rsidRPr="00F06BC2">
        <w:rPr>
          <w:noProof/>
          <w:sz w:val="20"/>
          <w:lang w:val="en-US"/>
        </w:rPr>
        <w:t xml:space="preserve">. </w:t>
      </w:r>
      <w:r w:rsidRPr="00F06BC2">
        <w:rPr>
          <w:i/>
          <w:iCs/>
          <w:noProof/>
          <w:sz w:val="20"/>
          <w:lang w:val="en-US"/>
        </w:rPr>
        <w:t>J Bus Res</w:t>
      </w:r>
      <w:r w:rsidRPr="00F06BC2">
        <w:rPr>
          <w:noProof/>
          <w:sz w:val="20"/>
          <w:lang w:val="en-US"/>
        </w:rPr>
        <w:t xml:space="preserve"> 2002, </w:t>
      </w:r>
      <w:r w:rsidRPr="00F06BC2">
        <w:rPr>
          <w:b/>
          <w:bCs/>
          <w:noProof/>
          <w:sz w:val="20"/>
          <w:lang w:val="en-US"/>
        </w:rPr>
        <w:t>55</w:t>
      </w:r>
      <w:r w:rsidRPr="00F06BC2">
        <w:rPr>
          <w:noProof/>
          <w:sz w:val="20"/>
          <w:lang w:val="en-US"/>
        </w:rPr>
        <w:t>:553–560.</w:t>
      </w:r>
    </w:p>
    <w:p w:rsidR="00616F69" w:rsidRPr="00F06BC2" w:rsidRDefault="00616F69">
      <w:pPr>
        <w:pStyle w:val="NormalWeb"/>
        <w:divId w:val="1886410414"/>
        <w:rPr>
          <w:noProof/>
          <w:sz w:val="20"/>
          <w:lang w:val="en-US"/>
        </w:rPr>
      </w:pPr>
      <w:r w:rsidRPr="00F06BC2">
        <w:rPr>
          <w:noProof/>
          <w:sz w:val="20"/>
          <w:lang w:val="en-US"/>
        </w:rPr>
        <w:lastRenderedPageBreak/>
        <w:t xml:space="preserve">6. Shah R, Goldstein SM, Unger BT, Henry TD: </w:t>
      </w:r>
      <w:r w:rsidRPr="00F06BC2">
        <w:rPr>
          <w:b/>
          <w:bCs/>
          <w:noProof/>
          <w:sz w:val="20"/>
          <w:lang w:val="en-US"/>
        </w:rPr>
        <w:t>Explaining Anomalous High Performance in a Health Care Supply Chain</w:t>
      </w:r>
      <w:r w:rsidRPr="00F06BC2">
        <w:rPr>
          <w:noProof/>
          <w:sz w:val="20"/>
          <w:lang w:val="en-US"/>
        </w:rPr>
        <w:t xml:space="preserve">. </w:t>
      </w:r>
      <w:r w:rsidRPr="00F06BC2">
        <w:rPr>
          <w:i/>
          <w:iCs/>
          <w:noProof/>
          <w:sz w:val="20"/>
          <w:lang w:val="en-US"/>
        </w:rPr>
        <w:t>Decis Sci</w:t>
      </w:r>
      <w:r w:rsidRPr="00F06BC2">
        <w:rPr>
          <w:noProof/>
          <w:sz w:val="20"/>
          <w:lang w:val="en-US"/>
        </w:rPr>
        <w:t xml:space="preserve"> 2008, </w:t>
      </w:r>
      <w:r w:rsidRPr="00F06BC2">
        <w:rPr>
          <w:b/>
          <w:bCs/>
          <w:noProof/>
          <w:sz w:val="20"/>
          <w:lang w:val="en-US"/>
        </w:rPr>
        <w:t>39</w:t>
      </w:r>
      <w:r w:rsidRPr="00F06BC2">
        <w:rPr>
          <w:noProof/>
          <w:sz w:val="20"/>
          <w:lang w:val="en-US"/>
        </w:rPr>
        <w:t>:759–789.</w:t>
      </w:r>
    </w:p>
    <w:p w:rsidR="00616F69" w:rsidRPr="00F06BC2" w:rsidRDefault="00616F69">
      <w:pPr>
        <w:pStyle w:val="NormalWeb"/>
        <w:divId w:val="1886410414"/>
        <w:rPr>
          <w:noProof/>
          <w:sz w:val="20"/>
          <w:lang w:val="en-US"/>
        </w:rPr>
      </w:pPr>
      <w:r w:rsidRPr="00F06BC2">
        <w:rPr>
          <w:noProof/>
          <w:sz w:val="20"/>
          <w:lang w:val="en-US"/>
        </w:rPr>
        <w:t xml:space="preserve">7. Yin RK: </w:t>
      </w:r>
      <w:r w:rsidRPr="00F06BC2">
        <w:rPr>
          <w:i/>
          <w:iCs/>
          <w:noProof/>
          <w:sz w:val="20"/>
          <w:lang w:val="en-US"/>
        </w:rPr>
        <w:t>Case Study Research: Design and Methods.</w:t>
      </w:r>
      <w:r w:rsidRPr="00F06BC2">
        <w:rPr>
          <w:noProof/>
          <w:sz w:val="20"/>
          <w:lang w:val="en-US"/>
        </w:rPr>
        <w:t xml:space="preserve"> 3rd ed. Thousand Oaks: SAGE; 2003. </w:t>
      </w:r>
    </w:p>
    <w:p w:rsidR="007C4DF5" w:rsidRPr="006376DF" w:rsidRDefault="005323C2" w:rsidP="00616F69">
      <w:pPr>
        <w:pStyle w:val="NormalWeb"/>
        <w:divId w:val="630789684"/>
        <w:rPr>
          <w:sz w:val="20"/>
          <w:szCs w:val="20"/>
          <w:lang w:val="en-US"/>
        </w:rPr>
      </w:pPr>
      <w:r>
        <w:rPr>
          <w:sz w:val="20"/>
          <w:szCs w:val="20"/>
          <w:lang w:val="en-US"/>
        </w:rPr>
        <w:fldChar w:fldCharType="end"/>
      </w:r>
    </w:p>
    <w:p w:rsidR="007F76A0" w:rsidRPr="00E07AEE" w:rsidRDefault="007F76A0">
      <w:pPr>
        <w:rPr>
          <w:lang w:val="en-US"/>
        </w:rPr>
      </w:pPr>
    </w:p>
    <w:sectPr w:rsidR="007F76A0" w:rsidRPr="00E07AEE" w:rsidSect="005323C2">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99A" w:rsidRDefault="0097599A" w:rsidP="0097599A">
      <w:pPr>
        <w:spacing w:after="0" w:line="240" w:lineRule="auto"/>
      </w:pPr>
      <w:r>
        <w:separator/>
      </w:r>
    </w:p>
  </w:endnote>
  <w:endnote w:type="continuationSeparator" w:id="0">
    <w:p w:rsidR="0097599A" w:rsidRDefault="0097599A" w:rsidP="009759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3473090"/>
      <w:docPartObj>
        <w:docPartGallery w:val="Page Numbers (Bottom of Page)"/>
        <w:docPartUnique/>
      </w:docPartObj>
    </w:sdtPr>
    <w:sdtContent>
      <w:p w:rsidR="0097599A" w:rsidRDefault="005323C2">
        <w:pPr>
          <w:pStyle w:val="Footer"/>
          <w:jc w:val="right"/>
        </w:pPr>
        <w:r>
          <w:fldChar w:fldCharType="begin"/>
        </w:r>
        <w:r w:rsidR="0097599A">
          <w:instrText>PAGE   \* MERGEFORMAT</w:instrText>
        </w:r>
        <w:r>
          <w:fldChar w:fldCharType="separate"/>
        </w:r>
        <w:r w:rsidR="0025576A">
          <w:rPr>
            <w:noProof/>
          </w:rPr>
          <w:t>1</w:t>
        </w:r>
        <w:r>
          <w:fldChar w:fldCharType="end"/>
        </w:r>
      </w:p>
    </w:sdtContent>
  </w:sdt>
  <w:p w:rsidR="0097599A" w:rsidRDefault="009759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99A" w:rsidRDefault="0097599A" w:rsidP="0097599A">
      <w:pPr>
        <w:spacing w:after="0" w:line="240" w:lineRule="auto"/>
      </w:pPr>
      <w:r>
        <w:separator/>
      </w:r>
    </w:p>
  </w:footnote>
  <w:footnote w:type="continuationSeparator" w:id="0">
    <w:p w:rsidR="0097599A" w:rsidRDefault="0097599A" w:rsidP="0097599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footnotePr>
    <w:footnote w:id="-1"/>
    <w:footnote w:id="0"/>
  </w:footnotePr>
  <w:endnotePr>
    <w:endnote w:id="-1"/>
    <w:endnote w:id="0"/>
  </w:endnotePr>
  <w:compat/>
  <w:rsids>
    <w:rsidRoot w:val="00E07AEE"/>
    <w:rsid w:val="000360F4"/>
    <w:rsid w:val="001636A7"/>
    <w:rsid w:val="0025576A"/>
    <w:rsid w:val="002B7635"/>
    <w:rsid w:val="00370215"/>
    <w:rsid w:val="005323C2"/>
    <w:rsid w:val="005C4E84"/>
    <w:rsid w:val="00616F69"/>
    <w:rsid w:val="00754DD4"/>
    <w:rsid w:val="00797439"/>
    <w:rsid w:val="007C4DF5"/>
    <w:rsid w:val="007F76A0"/>
    <w:rsid w:val="00940E17"/>
    <w:rsid w:val="0097599A"/>
    <w:rsid w:val="009E2B7B"/>
    <w:rsid w:val="00BA0791"/>
    <w:rsid w:val="00BA4776"/>
    <w:rsid w:val="00CB6C96"/>
    <w:rsid w:val="00E07AEE"/>
    <w:rsid w:val="00E50440"/>
    <w:rsid w:val="00ED21EB"/>
    <w:rsid w:val="00F06BC2"/>
    <w:rsid w:val="00F16575"/>
    <w:rsid w:val="00F31013"/>
    <w:rsid w:val="00F4251F"/>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EE"/>
    <w:rPr>
      <w:rFonts w:eastAsiaTheme="minorEastAsia"/>
      <w:lang w:eastAsia="sv-SE"/>
    </w:rPr>
  </w:style>
  <w:style w:type="paragraph" w:styleId="Heading1">
    <w:name w:val="heading 1"/>
    <w:basedOn w:val="Normal"/>
    <w:next w:val="Normal"/>
    <w:link w:val="Heading1Char"/>
    <w:uiPriority w:val="9"/>
    <w:qFormat/>
    <w:rsid w:val="00E07A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7A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AEE"/>
    <w:rPr>
      <w:rFonts w:asciiTheme="majorHAnsi" w:eastAsiaTheme="majorEastAsia" w:hAnsiTheme="majorHAnsi" w:cstheme="majorBidi"/>
      <w:b/>
      <w:bCs/>
      <w:color w:val="365F91" w:themeColor="accent1" w:themeShade="BF"/>
      <w:sz w:val="28"/>
      <w:szCs w:val="28"/>
      <w:lang w:eastAsia="sv-SE"/>
    </w:rPr>
  </w:style>
  <w:style w:type="character" w:customStyle="1" w:styleId="Heading2Char">
    <w:name w:val="Heading 2 Char"/>
    <w:basedOn w:val="DefaultParagraphFont"/>
    <w:link w:val="Heading2"/>
    <w:uiPriority w:val="9"/>
    <w:rsid w:val="00E07AEE"/>
    <w:rPr>
      <w:rFonts w:asciiTheme="majorHAnsi" w:eastAsiaTheme="majorEastAsia" w:hAnsiTheme="majorHAnsi" w:cstheme="majorBidi"/>
      <w:b/>
      <w:bCs/>
      <w:color w:val="4F81BD" w:themeColor="accent1"/>
      <w:sz w:val="26"/>
      <w:szCs w:val="26"/>
      <w:lang w:eastAsia="sv-SE"/>
    </w:rPr>
  </w:style>
  <w:style w:type="table" w:styleId="TableGrid">
    <w:name w:val="Table Grid"/>
    <w:basedOn w:val="TableNormal"/>
    <w:uiPriority w:val="59"/>
    <w:rsid w:val="00E07AEE"/>
    <w:pPr>
      <w:spacing w:after="0" w:line="240" w:lineRule="auto"/>
    </w:pPr>
    <w:rPr>
      <w:rFonts w:eastAsiaTheme="minorEastAsia"/>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A4776"/>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9759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7599A"/>
    <w:rPr>
      <w:rFonts w:eastAsiaTheme="minorEastAsia"/>
      <w:lang w:eastAsia="sv-SE"/>
    </w:rPr>
  </w:style>
  <w:style w:type="paragraph" w:styleId="Footer">
    <w:name w:val="footer"/>
    <w:basedOn w:val="Normal"/>
    <w:link w:val="FooterChar"/>
    <w:uiPriority w:val="99"/>
    <w:unhideWhenUsed/>
    <w:rsid w:val="009759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7599A"/>
    <w:rPr>
      <w:rFonts w:eastAsiaTheme="minorEastAsia"/>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EE"/>
    <w:rPr>
      <w:rFonts w:eastAsiaTheme="minorEastAsia"/>
      <w:lang w:eastAsia="sv-SE"/>
    </w:rPr>
  </w:style>
  <w:style w:type="paragraph" w:styleId="Rubrik1">
    <w:name w:val="heading 1"/>
    <w:basedOn w:val="Normal"/>
    <w:next w:val="Normal"/>
    <w:link w:val="Rubrik1Char"/>
    <w:uiPriority w:val="9"/>
    <w:qFormat/>
    <w:rsid w:val="00E07A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07A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07AEE"/>
    <w:rPr>
      <w:rFonts w:asciiTheme="majorHAnsi" w:eastAsiaTheme="majorEastAsia" w:hAnsiTheme="majorHAnsi" w:cstheme="majorBidi"/>
      <w:b/>
      <w:bCs/>
      <w:color w:val="365F91" w:themeColor="accent1" w:themeShade="BF"/>
      <w:sz w:val="28"/>
      <w:szCs w:val="28"/>
      <w:lang w:eastAsia="sv-SE"/>
    </w:rPr>
  </w:style>
  <w:style w:type="character" w:customStyle="1" w:styleId="Rubrik2Char">
    <w:name w:val="Rubrik 2 Char"/>
    <w:basedOn w:val="Standardstycketeckensnitt"/>
    <w:link w:val="Rubrik2"/>
    <w:uiPriority w:val="9"/>
    <w:rsid w:val="00E07AEE"/>
    <w:rPr>
      <w:rFonts w:asciiTheme="majorHAnsi" w:eastAsiaTheme="majorEastAsia" w:hAnsiTheme="majorHAnsi" w:cstheme="majorBidi"/>
      <w:b/>
      <w:bCs/>
      <w:color w:val="4F81BD" w:themeColor="accent1"/>
      <w:sz w:val="26"/>
      <w:szCs w:val="26"/>
      <w:lang w:eastAsia="sv-SE"/>
    </w:rPr>
  </w:style>
  <w:style w:type="table" w:styleId="Tabellrutnt">
    <w:name w:val="Table Grid"/>
    <w:basedOn w:val="Normaltabell"/>
    <w:uiPriority w:val="59"/>
    <w:rsid w:val="00E07AEE"/>
    <w:pPr>
      <w:spacing w:after="0" w:line="240" w:lineRule="auto"/>
    </w:pPr>
    <w:rPr>
      <w:rFonts w:eastAsiaTheme="minorEastAsia"/>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unhideWhenUsed/>
    <w:rsid w:val="00BA4776"/>
    <w:pPr>
      <w:spacing w:before="100" w:beforeAutospacing="1" w:after="100" w:afterAutospacing="1" w:line="240" w:lineRule="auto"/>
    </w:pPr>
    <w:rPr>
      <w:rFonts w:ascii="Times New Roman" w:hAnsi="Times New Roman" w:cs="Times New Roman"/>
      <w:sz w:val="24"/>
      <w:szCs w:val="24"/>
    </w:rPr>
  </w:style>
  <w:style w:type="paragraph" w:styleId="Sidhuvud">
    <w:name w:val="header"/>
    <w:basedOn w:val="Normal"/>
    <w:link w:val="SidhuvudChar"/>
    <w:uiPriority w:val="99"/>
    <w:unhideWhenUsed/>
    <w:rsid w:val="0097599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7599A"/>
    <w:rPr>
      <w:rFonts w:eastAsiaTheme="minorEastAsia"/>
      <w:lang w:eastAsia="sv-SE"/>
    </w:rPr>
  </w:style>
  <w:style w:type="paragraph" w:styleId="Sidfot">
    <w:name w:val="footer"/>
    <w:basedOn w:val="Normal"/>
    <w:link w:val="SidfotChar"/>
    <w:uiPriority w:val="99"/>
    <w:unhideWhenUsed/>
    <w:rsid w:val="0097599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7599A"/>
    <w:rPr>
      <w:rFonts w:eastAsiaTheme="minorEastAsia"/>
      <w:lang w:eastAsia="sv-SE"/>
    </w:rPr>
  </w:style>
</w:styles>
</file>

<file path=word/webSettings.xml><?xml version="1.0" encoding="utf-8"?>
<w:webSettings xmlns:r="http://schemas.openxmlformats.org/officeDocument/2006/relationships" xmlns:w="http://schemas.openxmlformats.org/wordprocessingml/2006/main">
  <w:divs>
    <w:div w:id="1758403250">
      <w:bodyDiv w:val="1"/>
      <w:marLeft w:val="0"/>
      <w:marRight w:val="0"/>
      <w:marTop w:val="0"/>
      <w:marBottom w:val="0"/>
      <w:divBdr>
        <w:top w:val="none" w:sz="0" w:space="0" w:color="auto"/>
        <w:left w:val="none" w:sz="0" w:space="0" w:color="auto"/>
        <w:bottom w:val="none" w:sz="0" w:space="0" w:color="auto"/>
        <w:right w:val="none" w:sz="0" w:space="0" w:color="auto"/>
      </w:divBdr>
      <w:divsChild>
        <w:div w:id="269045643">
          <w:marLeft w:val="0"/>
          <w:marRight w:val="0"/>
          <w:marTop w:val="0"/>
          <w:marBottom w:val="0"/>
          <w:divBdr>
            <w:top w:val="none" w:sz="0" w:space="0" w:color="auto"/>
            <w:left w:val="none" w:sz="0" w:space="0" w:color="auto"/>
            <w:bottom w:val="none" w:sz="0" w:space="0" w:color="auto"/>
            <w:right w:val="none" w:sz="0" w:space="0" w:color="auto"/>
          </w:divBdr>
          <w:divsChild>
            <w:div w:id="33578437">
              <w:marLeft w:val="0"/>
              <w:marRight w:val="0"/>
              <w:marTop w:val="0"/>
              <w:marBottom w:val="0"/>
              <w:divBdr>
                <w:top w:val="none" w:sz="0" w:space="0" w:color="auto"/>
                <w:left w:val="none" w:sz="0" w:space="0" w:color="auto"/>
                <w:bottom w:val="none" w:sz="0" w:space="0" w:color="auto"/>
                <w:right w:val="none" w:sz="0" w:space="0" w:color="auto"/>
              </w:divBdr>
              <w:divsChild>
                <w:div w:id="1537353755">
                  <w:marLeft w:val="0"/>
                  <w:marRight w:val="0"/>
                  <w:marTop w:val="0"/>
                  <w:marBottom w:val="0"/>
                  <w:divBdr>
                    <w:top w:val="none" w:sz="0" w:space="0" w:color="auto"/>
                    <w:left w:val="none" w:sz="0" w:space="0" w:color="auto"/>
                    <w:bottom w:val="none" w:sz="0" w:space="0" w:color="auto"/>
                    <w:right w:val="none" w:sz="0" w:space="0" w:color="auto"/>
                  </w:divBdr>
                  <w:divsChild>
                    <w:div w:id="630789684">
                      <w:marLeft w:val="0"/>
                      <w:marRight w:val="0"/>
                      <w:marTop w:val="0"/>
                      <w:marBottom w:val="0"/>
                      <w:divBdr>
                        <w:top w:val="none" w:sz="0" w:space="0" w:color="auto"/>
                        <w:left w:val="none" w:sz="0" w:space="0" w:color="auto"/>
                        <w:bottom w:val="none" w:sz="0" w:space="0" w:color="auto"/>
                        <w:right w:val="none" w:sz="0" w:space="0" w:color="auto"/>
                      </w:divBdr>
                      <w:divsChild>
                        <w:div w:id="1886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DF153-64E2-488B-9FD1-8DF3CB8A7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1917</Words>
  <Characters>10929</Characters>
  <Application>Microsoft Office Word</Application>
  <DocSecurity>0</DocSecurity>
  <Lines>91</Lines>
  <Paragraphs>25</Paragraphs>
  <ScaleCrop>false</ScaleCrop>
  <HeadingPairs>
    <vt:vector size="2" baseType="variant">
      <vt:variant>
        <vt:lpstr>Rubrik</vt:lpstr>
      </vt:variant>
      <vt:variant>
        <vt:i4>1</vt:i4>
      </vt:variant>
    </vt:vector>
  </HeadingPairs>
  <TitlesOfParts>
    <vt:vector size="1" baseType="lpstr">
      <vt:lpstr/>
    </vt:vector>
  </TitlesOfParts>
  <Company>Microsoft</Company>
  <LinksUpToDate>false</LinksUpToDate>
  <CharactersWithSpaces>12821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Brantnell</dc:creator>
  <cp:lastModifiedBy>ltachado</cp:lastModifiedBy>
  <cp:revision>9</cp:revision>
  <dcterms:created xsi:type="dcterms:W3CDTF">2015-05-27T12:56:00Z</dcterms:created>
  <dcterms:modified xsi:type="dcterms:W3CDTF">2015-07-09T13:06:00Z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anders.brantnell@pubcare.uu.se@www.mendeley.com</vt:lpwstr>
  </property>
  <property fmtid="{D5CDD505-2E9C-101B-9397-08002B2CF9AE}" pid="4" name="Mendeley Citation Style_1">
    <vt:lpwstr>http://www.zotero.org/styles/bmc-bioinformatics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http://www.zotero.org/styles/bmc-bioinformatics</vt:lpwstr>
  </property>
  <property fmtid="{D5CDD505-2E9C-101B-9397-08002B2CF9AE}" pid="12" name="Mendeley Recent Style Name 3_1">
    <vt:lpwstr>BMC Bioinformatics</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