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4E1" w:rsidRPr="00B564E1" w:rsidRDefault="00B86A72" w:rsidP="00B564E1">
      <w:pPr>
        <w:pStyle w:val="Heading1"/>
        <w:spacing w:before="0" w:line="360" w:lineRule="auto"/>
        <w:rPr>
          <w:rFonts w:ascii="Times New Roman" w:hAnsi="Times New Roman" w:cs="Times New Roman"/>
          <w:color w:val="auto"/>
          <w:lang w:val="en-US"/>
        </w:rPr>
      </w:pPr>
      <w:r>
        <w:rPr>
          <w:rFonts w:ascii="Times New Roman" w:hAnsi="Times New Roman" w:cs="Times New Roman"/>
          <w:color w:val="auto"/>
          <w:lang w:val="en-US"/>
        </w:rPr>
        <w:t>Additional file</w:t>
      </w:r>
      <w:r w:rsidR="00A44072">
        <w:rPr>
          <w:rFonts w:ascii="Times New Roman" w:hAnsi="Times New Roman" w:cs="Times New Roman"/>
          <w:color w:val="auto"/>
          <w:lang w:val="en-US"/>
        </w:rPr>
        <w:t xml:space="preserve"> 5</w:t>
      </w:r>
      <w:r w:rsidR="00B868D6">
        <w:rPr>
          <w:rFonts w:ascii="Times New Roman" w:hAnsi="Times New Roman" w:cs="Times New Roman"/>
          <w:color w:val="auto"/>
          <w:lang w:val="en-US"/>
        </w:rPr>
        <w:t>. D</w:t>
      </w:r>
      <w:r w:rsidR="00267FCE">
        <w:rPr>
          <w:rFonts w:ascii="Times New Roman" w:hAnsi="Times New Roman" w:cs="Times New Roman"/>
          <w:color w:val="auto"/>
          <w:lang w:val="en-US"/>
        </w:rPr>
        <w:t>etailed discussion of</w:t>
      </w:r>
      <w:r w:rsidR="008C5F26">
        <w:rPr>
          <w:rFonts w:ascii="Times New Roman" w:hAnsi="Times New Roman" w:cs="Times New Roman"/>
          <w:color w:val="auto"/>
          <w:lang w:val="en-US"/>
        </w:rPr>
        <w:t xml:space="preserve"> the</w:t>
      </w:r>
      <w:r w:rsidR="00267FCE">
        <w:rPr>
          <w:rFonts w:ascii="Times New Roman" w:hAnsi="Times New Roman" w:cs="Times New Roman"/>
          <w:color w:val="auto"/>
          <w:lang w:val="en-US"/>
        </w:rPr>
        <w:t xml:space="preserve"> findings</w:t>
      </w:r>
    </w:p>
    <w:p w:rsidR="00B564E1" w:rsidRPr="006376DF" w:rsidRDefault="00B564E1" w:rsidP="00B564E1">
      <w:pPr>
        <w:spacing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br/>
        <w:t>The discussion of the findings explicitly addresses the two purposes of this study: (1) identifying the facilitative roles of 10 Swedish clinical research funders in relation to the implementation of clinical research results; and (2) analyzing the funders’ views on implementation re</w:t>
      </w:r>
      <w:r w:rsidR="00F56CE8">
        <w:rPr>
          <w:rFonts w:ascii="Times New Roman" w:hAnsi="Times New Roman" w:cs="Times New Roman"/>
          <w:sz w:val="20"/>
          <w:szCs w:val="20"/>
          <w:lang w:val="en-US"/>
        </w:rPr>
        <w:t>sponsibilities.</w:t>
      </w:r>
      <w:r w:rsidRPr="006376DF">
        <w:rPr>
          <w:rFonts w:ascii="Times New Roman" w:hAnsi="Times New Roman" w:cs="Times New Roman"/>
          <w:sz w:val="20"/>
          <w:szCs w:val="20"/>
          <w:lang w:val="en-US"/>
        </w:rPr>
        <w:t xml:space="preserve"> </w:t>
      </w:r>
    </w:p>
    <w:p w:rsidR="00B564E1" w:rsidRPr="006376DF" w:rsidRDefault="00B564E1" w:rsidP="00B564E1">
      <w:pPr>
        <w:pStyle w:val="Heading2"/>
        <w:spacing w:line="360" w:lineRule="auto"/>
        <w:rPr>
          <w:rFonts w:ascii="Times New Roman" w:hAnsi="Times New Roman" w:cs="Times New Roman"/>
          <w:color w:val="auto"/>
          <w:lang w:val="en-US"/>
        </w:rPr>
      </w:pPr>
      <w:r w:rsidRPr="006376DF">
        <w:rPr>
          <w:rFonts w:ascii="Times New Roman" w:hAnsi="Times New Roman" w:cs="Times New Roman"/>
          <w:color w:val="auto"/>
          <w:lang w:val="en-US"/>
        </w:rPr>
        <w:t xml:space="preserve">Research funders’ facilitative roles </w:t>
      </w:r>
    </w:p>
    <w:p w:rsidR="00B564E1" w:rsidRPr="006376DF" w:rsidRDefault="00B564E1" w:rsidP="00B564E1">
      <w:pPr>
        <w:spacing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br/>
        <w:t>All in all, the eight facilitative roles mentioned by the funders provide a nuanced picture of research funders’ facilitative roles in rel</w:t>
      </w:r>
      <w:r>
        <w:rPr>
          <w:rFonts w:ascii="Times New Roman" w:hAnsi="Times New Roman" w:cs="Times New Roman"/>
          <w:sz w:val="20"/>
          <w:szCs w:val="20"/>
          <w:lang w:val="en-US"/>
        </w:rPr>
        <w:t>ation to implementation: from a</w:t>
      </w:r>
      <w:r w:rsidRPr="006376DF">
        <w:rPr>
          <w:rFonts w:ascii="Times New Roman" w:hAnsi="Times New Roman" w:cs="Times New Roman"/>
          <w:sz w:val="20"/>
          <w:szCs w:val="20"/>
          <w:lang w:val="en-US"/>
        </w:rPr>
        <w:t xml:space="preserve"> </w:t>
      </w:r>
      <w:r w:rsidRPr="006376DF">
        <w:rPr>
          <w:rFonts w:ascii="Times New Roman" w:hAnsi="Times New Roman" w:cs="Times New Roman"/>
          <w:i/>
          <w:sz w:val="20"/>
          <w:szCs w:val="20"/>
          <w:lang w:val="en-US"/>
        </w:rPr>
        <w:t>pos</w:t>
      </w:r>
      <w:r>
        <w:rPr>
          <w:rFonts w:ascii="Times New Roman" w:hAnsi="Times New Roman" w:cs="Times New Roman"/>
          <w:i/>
          <w:sz w:val="20"/>
          <w:szCs w:val="20"/>
          <w:lang w:val="en-US"/>
        </w:rPr>
        <w:t xml:space="preserve">t-implementation </w:t>
      </w:r>
      <w:r>
        <w:rPr>
          <w:rFonts w:ascii="Times New Roman" w:hAnsi="Times New Roman" w:cs="Times New Roman"/>
          <w:sz w:val="20"/>
          <w:szCs w:val="20"/>
          <w:lang w:val="en-US"/>
        </w:rPr>
        <w:t>r</w:t>
      </w:r>
      <w:r w:rsidRPr="006376DF">
        <w:rPr>
          <w:rFonts w:ascii="Times New Roman" w:hAnsi="Times New Roman" w:cs="Times New Roman"/>
          <w:sz w:val="20"/>
          <w:szCs w:val="20"/>
          <w:lang w:val="en-US"/>
        </w:rPr>
        <w:t xml:space="preserve">ole expressed as “Monitoring implementation outcomes” to a </w:t>
      </w:r>
      <w:r w:rsidRPr="006376DF">
        <w:rPr>
          <w:rFonts w:ascii="Times New Roman" w:hAnsi="Times New Roman" w:cs="Times New Roman"/>
          <w:i/>
          <w:sz w:val="20"/>
          <w:szCs w:val="20"/>
          <w:lang w:val="en-US"/>
        </w:rPr>
        <w:t>direct involvement</w:t>
      </w:r>
      <w:r w:rsidRPr="006376DF">
        <w:rPr>
          <w:rFonts w:ascii="Times New Roman" w:hAnsi="Times New Roman" w:cs="Times New Roman"/>
          <w:sz w:val="20"/>
          <w:szCs w:val="20"/>
          <w:lang w:val="en-US"/>
        </w:rPr>
        <w:t xml:space="preserve"> in implementation in terms of “Educate healthcare personnel and parents”, and “Work actively towards implementation”; and from </w:t>
      </w:r>
      <w:r w:rsidRPr="006376DF">
        <w:rPr>
          <w:rFonts w:ascii="Times New Roman" w:hAnsi="Times New Roman" w:cs="Times New Roman"/>
          <w:i/>
          <w:sz w:val="20"/>
          <w:szCs w:val="20"/>
          <w:lang w:val="en-US"/>
        </w:rPr>
        <w:t>indirect support</w:t>
      </w:r>
      <w:r w:rsidRPr="006376DF">
        <w:rPr>
          <w:rFonts w:ascii="Times New Roman" w:hAnsi="Times New Roman" w:cs="Times New Roman"/>
          <w:sz w:val="20"/>
          <w:szCs w:val="20"/>
          <w:lang w:val="en-US"/>
        </w:rPr>
        <w:t xml:space="preserve"> via “Dissemination of knowledge”</w:t>
      </w:r>
      <w:r>
        <w:rPr>
          <w:rFonts w:ascii="Times New Roman" w:hAnsi="Times New Roman" w:cs="Times New Roman"/>
          <w:sz w:val="20"/>
          <w:szCs w:val="20"/>
          <w:lang w:val="en-US"/>
        </w:rPr>
        <w:t xml:space="preserve">, </w:t>
      </w:r>
      <w:r w:rsidRPr="006376DF">
        <w:rPr>
          <w:rFonts w:ascii="Times New Roman" w:hAnsi="Times New Roman" w:cs="Times New Roman"/>
          <w:sz w:val="20"/>
          <w:szCs w:val="20"/>
          <w:lang w:val="en-US"/>
        </w:rPr>
        <w:t xml:space="preserve">“Create structures for organized introduction”,  and “Advocacy work” to a </w:t>
      </w:r>
      <w:r w:rsidRPr="006376DF">
        <w:rPr>
          <w:rFonts w:ascii="Times New Roman" w:hAnsi="Times New Roman" w:cs="Times New Roman"/>
          <w:i/>
          <w:sz w:val="20"/>
          <w:szCs w:val="20"/>
          <w:lang w:val="en-US"/>
        </w:rPr>
        <w:t>general and abstract support</w:t>
      </w:r>
      <w:r w:rsidRPr="006376DF">
        <w:rPr>
          <w:rFonts w:ascii="Times New Roman" w:hAnsi="Times New Roman" w:cs="Times New Roman"/>
          <w:sz w:val="20"/>
          <w:szCs w:val="20"/>
          <w:lang w:val="en-US"/>
        </w:rPr>
        <w:t xml:space="preserve"> such as “Create conditions for implementation through legislation in implementation related issues” and “Stimulate collaboration between researchers and industry”</w:t>
      </w:r>
    </w:p>
    <w:p w:rsidR="00B564E1" w:rsidRPr="006376DF" w:rsidRDefault="00B564E1" w:rsidP="00B564E1">
      <w:pPr>
        <w:spacing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 xml:space="preserve">Two of the identified roles were common for at least two different funding levels: “Advocacy work” and “Monitoring implementation outcomes”. “Advocacy work” is an acknowledged role for research funders aiming to facilitate implementation of research results through raising awareness and influencing for example universities to acknowledge merits that go beyond publication </w:t>
      </w:r>
      <w:r w:rsidR="00087A11" w:rsidRPr="006376DF">
        <w:rPr>
          <w:rFonts w:ascii="Times New Roman" w:hAnsi="Times New Roman" w:cs="Times New Roman"/>
          <w:sz w:val="20"/>
          <w:szCs w:val="20"/>
        </w:rPr>
        <w:fldChar w:fldCharType="begin" w:fldLock="1"/>
      </w:r>
      <w:r w:rsidR="00602B9A">
        <w:rPr>
          <w:rFonts w:ascii="Times New Roman" w:hAnsi="Times New Roman" w:cs="Times New Roman"/>
          <w:sz w:val="20"/>
          <w:szCs w:val="20"/>
          <w:lang w:val="en-US"/>
        </w:rPr>
        <w:instrText>ADDIN CSL_CITATION { "citationItems" : [ { "id" : "ITEM-1", "itemData" : { "ISSN" : "1748-5908", "abstract" : "ABSTRACT: BACKGROUND: A growing body of work on knowledge translation (KT) reveals significant gaps between what is known to improve health, and what is done to improve health. The literature and practice also suggest that KT has the potential to narrow those gaps, leading to more evidence-informed healthcare. In response, Canadian health research funders and agencies have made KT a priority. This article describes how one funding agency determined its KT role and in the process developed a model that other agencies could use when considering KT programs. DISCUSSION: While 'excellence' is an important criterion by which to evaluate and fund health research, it alone does not ensure relevance to societal health priorities. There is increased demand for return on investments in health research in the form of societal and health system benefits. Canadian health research funding agencies are responding to these demands by emphasizing relevance as a funding criterion and supporting researchers and research users to use the evidence generated. Based on recommendations from the literature, an environmental scan, broad circulation of an iterative discussion paper, and an expert working group process, our agency developed a plan to maximize our role in KT. Key to the process was development of a model comprising five key functional areas that together create the conditions for effective KT: advancing KT science; building KT capacity; managing KT projects; funding KT activities; and advocating for KT. Observations made during the planning process of relevance to the KT enterprise are: the importance of delineating KT and communications, and information and knowledge; determining responsibility for KT; supporting implementation and evaluation; and promoting the message that both research and KT take time to realize results. SUMMARY: Challenges exist in fulfilling expectations that research evidence results in beneficial impacts for society. However, health agencies are well placed to help maximize the use of evidence in health practice and policy. We propose five key functional areas of KT for health agencies, and encourage partnerships and discussion to advance the field.", "author" : [ { "dropping-particle" : "", "family" : "Holmes", "given" : "Bev", "non-dropping-particle" : "", "parse-names" : false, "suffix" : "" }, { "dropping-particle" : "", "family" : "Scarrow", "given" : "Gayle", "non-dropping-particle" : "", "parse-names" : false, "suffix" : "" }, { "dropping-particle" : "", "family" : "Schellenberg", "given" : "Megan", "non-dropping-particle" : "", "parse-names" : false, "suffix" : "" } ], "container-title" : "Implementation Science", "id" : "ITEM-1", "issue" : "1", "issued" : { "date-parts" : [ [ "2012", "4", "24" ] ] }, "page" : "39", "publisher" : "BioMed Central Ltd", "title" : "Translating evidence into practice: the role of health research funders.", "type" : "article-journal", "volume" : "7" }, "uris" : [ "http://www.mendeley.com/documents/?uuid=f06452b9-64f3-4026-b927-836196ae3b9e" ] } ], "mendeley" : { "formattedCitation" : "[1]", "plainTextFormattedCitation" : "[1]", "previouslyFormattedCitation" : "[1]"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[1]</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w:t>
      </w:r>
      <w:r w:rsidR="00E66F33">
        <w:rPr>
          <w:rFonts w:ascii="Times New Roman" w:hAnsi="Times New Roman" w:cs="Times New Roman"/>
          <w:sz w:val="20"/>
          <w:szCs w:val="20"/>
          <w:lang w:val="en-US"/>
        </w:rPr>
        <w:t>Creating awareness and increasing knowledge among decision makers at different levels regarding feasibility and costs of implementation was identified, in this study, as an</w:t>
      </w:r>
      <w:r w:rsidR="00E66F33" w:rsidRPr="006376DF">
        <w:rPr>
          <w:rFonts w:ascii="Times New Roman" w:hAnsi="Times New Roman" w:cs="Times New Roman"/>
          <w:sz w:val="20"/>
          <w:szCs w:val="20"/>
          <w:lang w:val="en-US"/>
        </w:rPr>
        <w:t xml:space="preserve"> advocatory activity.</w:t>
      </w:r>
      <w:r w:rsidRPr="006376DF">
        <w:rPr>
          <w:rFonts w:ascii="Times New Roman" w:hAnsi="Times New Roman" w:cs="Times New Roman"/>
          <w:sz w:val="20"/>
          <w:szCs w:val="20"/>
          <w:lang w:val="en-US"/>
        </w:rPr>
        <w:t xml:space="preserve"> For “Monitor</w:t>
      </w:r>
      <w:r>
        <w:rPr>
          <w:rFonts w:ascii="Times New Roman" w:hAnsi="Times New Roman" w:cs="Times New Roman"/>
          <w:sz w:val="20"/>
          <w:szCs w:val="20"/>
          <w:lang w:val="en-US"/>
        </w:rPr>
        <w:t>ing</w:t>
      </w:r>
      <w:r w:rsidRPr="006376DF">
        <w:rPr>
          <w:rFonts w:ascii="Times New Roman" w:hAnsi="Times New Roman" w:cs="Times New Roman"/>
          <w:sz w:val="20"/>
          <w:szCs w:val="20"/>
          <w:lang w:val="en-US"/>
        </w:rPr>
        <w:t xml:space="preserve"> implementation outcomes”, the second common role, the two national private funders even had an explicit structure for monitoring and effectiveness evaluation. This role identifies important activities for research funders occurring </w:t>
      </w:r>
      <w:r w:rsidRPr="006376DF">
        <w:rPr>
          <w:rFonts w:ascii="Times New Roman" w:hAnsi="Times New Roman" w:cs="Times New Roman"/>
          <w:i/>
          <w:sz w:val="20"/>
          <w:szCs w:val="20"/>
          <w:lang w:val="en-US"/>
        </w:rPr>
        <w:t>after</w:t>
      </w:r>
      <w:r w:rsidRPr="006376DF">
        <w:rPr>
          <w:rFonts w:ascii="Times New Roman" w:hAnsi="Times New Roman" w:cs="Times New Roman"/>
          <w:sz w:val="20"/>
          <w:szCs w:val="20"/>
          <w:lang w:val="en-US"/>
        </w:rPr>
        <w:t xml:space="preserve"> implementation and has not been reported in previous research. In addition to these two common roles, a role shared by national private funders only, yet reported in previous research, was the “Dissemination of knowledge” </w:t>
      </w:r>
      <w:r w:rsidR="00087A11" w:rsidRPr="006376DF">
        <w:rPr>
          <w:rFonts w:ascii="Times New Roman" w:hAnsi="Times New Roman" w:cs="Times New Roman"/>
          <w:sz w:val="20"/>
          <w:szCs w:val="20"/>
        </w:rPr>
        <w:fldChar w:fldCharType="begin" w:fldLock="1"/>
      </w:r>
      <w:r w:rsidR="00602B9A">
        <w:rPr>
          <w:rFonts w:ascii="Times New Roman" w:hAnsi="Times New Roman" w:cs="Times New Roman"/>
          <w:sz w:val="20"/>
          <w:szCs w:val="20"/>
          <w:lang w:val="en-US"/>
        </w:rPr>
        <w:instrText>ADDIN CSL_CITATION { "citationItems" : [ { "id" : "ITEM-1", "itemData" : { "author" : [ { "dropping-particle" : "", "family" : "Lomas", "given" : "J", "non-dropping-particle" : "", "parse-names" : false, "suffix" : "" } ], "container-title" : "Health Affairs", "id" : "ITEM-1", "issue" : "3", "issued" : { "date-parts" : [ [ "2000" ] ] }, "page" : "236-240", "title" : "Using \"Linkage and Exchange\" to Move Research into Policy at a Canadian Foundation", "type" : "article-journal", "volume" : "19" }, "uris" : [ "http://www.mendeley.com/documents/?uuid=9124bb0b-d636-4838-843c-166462ae06a6" ] }, { "id" : "ITEM-2", "itemData" : { "ISSN" : "0887-378X", "abstract" : "The process of knowledge translation (KT) in health research depends on the activities of a wide range of actors, including health professionals, researchers, the public, policymakers, and research funders. Little is known, however, about health research funding agencies' support and promotion of KT. Our team asked thirty-three agencies from Australia, Canada, France, the Netherlands, Scandinavia, the United Kingdom, and the United States about their role in promoting the results of the research they fund.", "author" : [ { "dropping-particle" : "", "family" : "Tetroe", "given" : "J M", "non-dropping-particle" : "", "parse-names" : false, "suffix" : "" }, { "dropping-particle" : "", "family" : "Graham", "given" : "I D", "non-dropping-particle" : "", "parse-names" : false, "suffix" : "" }, { "dropping-particle" : "", "family" : "Foy", "given" : "R", "non-dropping-particle" : "", "parse-names" : false, "suffix" : "" }, { "dropping-particle" : "", "family" : "Robinson", "given" : "N", "non-dropping-particle" : "", "parse-names" : false, "suffix" : "" }, { "dropping-particle" : "", "family" : "Eccles", "given" : "M P", "non-dropping-particle" : "", "parse-names" : false, "suffix" : "" }, { "dropping-particle" : "", "family" : "Wensing", "given" : "M", "non-dropping-particle" : "", "parse-names" : false, "suffix" : "" }, { "dropping-particle" : "", "family" : "Durieux", "given" : "P", "non-dropping-particle" : "", "parse-names" : false, "suffix" : "" }, { "dropping-particle" : "", "family" : "L\u00e9gar\u00e9", "given" : "F", "non-dropping-particle" : "", "parse-names" : false, "suffix" : "" }, { "dropping-particle" : "", "family" : "Palmh\u00f8j Nielson", "given" : "C", "non-dropping-particle" : "", "parse-names" : false, "suffix" : "" }, { "dropping-particle" : "", "family" : "Adily", "given" : "A", "non-dropping-particle" : "", "parse-names" : false, "suffix" : "" }, { "dropping-particle" : "", "family" : "Ward", "given" : "J E", "non-dropping-particle" : "", "parse-names" : false, "suffix" : "" }, { "dropping-particle" : "", "family" : "Porter", "given" : "C", "non-dropping-particle" : "", "parse-names" : false, "suffix" : "" }, { "dropping-particle" : "", "family" : "Shea", "given" : "B", "non-dropping-particle" : "", "parse-names" : false, "suffix" : "" }, { "dropping-particle" : "", "family" : "Grimshaw", "given" : "J M", "non-dropping-particle" : "", "parse-names" : false, "suffix" : "" } ], "container-title" : "The Milbank quarterly", "id" : "ITEM-2", "issue" : "1", "issued" : { "date-parts" : [ [ "2008", "3" ] ] }, "page" : "125-155", "title" : "Health Research Funding Agencies' Support and Promotion of Knowledge Translation: An International Study.", "type" : "article-journal", "volume" : "86" }, "uris" : [ "http://www.mendeley.com/documents/?uuid=e54f913c-799c-4888-b36b-59bce7126764" ] } ], "mendeley" : { "formattedCitation" : "[2, 3]", "plainTextFormattedCitation" : "[2, 3]", "previouslyFormattedCitation" : "[2, 3]"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[2, 3]</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This role can be very simple, e.g. through sending out a newsletter, or more demanding, such as by organizing a seminar and inviting guest speakers to discuss the findings.</w:t>
      </w:r>
    </w:p>
    <w:p w:rsidR="00B564E1" w:rsidRPr="006376DF" w:rsidRDefault="00B564E1" w:rsidP="00B564E1">
      <w:pPr>
        <w:spacing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In general, many of the facilitative roles appear to fit the funders in question: the national public funders identify few facilitative roles (3), which fits their main mission of funding research; while national private funders assumed a greater number of facilitative roles (5) and especially roles related to indirect support such as “Advocacy work” and “Dissemination of knowledge”, which fits their mission of improving health. The local public funders are the units within the County Councils funding a significant amount of clinical research. However, due to the large size and complexity of their mother organization, the local public funders are not necessarily connected to the part of the County Council providing healthcare or organizing implementation. Consequently, the roles that local public funders perceive as theirs in relation to implementation may purposefully differ from the more explicit implementation roles of other healthcare-providing parts of the County Councils. This fact can explain the few facilitative roles (2) identified by the local public funders and their lack of involvement in activities such as “Advocacy work” and “Dissemination of knowledge”.</w:t>
      </w:r>
    </w:p>
    <w:p w:rsidR="00B564E1" w:rsidRPr="006376DF" w:rsidRDefault="00B564E1" w:rsidP="00B564E1">
      <w:pPr>
        <w:pStyle w:val="Heading2"/>
        <w:spacing w:line="360" w:lineRule="auto"/>
        <w:rPr>
          <w:rFonts w:ascii="Times New Roman" w:hAnsi="Times New Roman" w:cs="Times New Roman"/>
          <w:color w:val="auto"/>
          <w:lang w:val="en-US"/>
        </w:rPr>
      </w:pPr>
      <w:r w:rsidRPr="006376DF">
        <w:rPr>
          <w:rFonts w:ascii="Times New Roman" w:hAnsi="Times New Roman" w:cs="Times New Roman"/>
          <w:color w:val="auto"/>
          <w:lang w:val="en-US"/>
        </w:rPr>
        <w:lastRenderedPageBreak/>
        <w:t>Who is responsible?</w:t>
      </w:r>
    </w:p>
    <w:p w:rsidR="00B564E1" w:rsidRPr="006376DF" w:rsidRDefault="00B564E1" w:rsidP="00B564E1">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br/>
        <w:t xml:space="preserve">The funders from all levels considered that the actors responsible for implementation are either the healthcare providing County Councils or some actors within the County Councils. In other words, there is a consensus among funders that the responsibility for implementation lies in the healthcare setting. This consensus reflects the Swedish law stating that the County Councils are required to deliver good quality care that is continually developed </w:t>
      </w:r>
      <w:r w:rsidR="00087A11" w:rsidRPr="006376DF">
        <w:rPr>
          <w:rFonts w:ascii="Times New Roman" w:hAnsi="Times New Roman" w:cs="Times New Roman"/>
          <w:sz w:val="20"/>
          <w:szCs w:val="20"/>
        </w:rPr>
        <w:fldChar w:fldCharType="begin" w:fldLock="1"/>
      </w:r>
      <w:r w:rsidR="00602B9A">
        <w:rPr>
          <w:rFonts w:ascii="Times New Roman" w:hAnsi="Times New Roman" w:cs="Times New Roman"/>
          <w:sz w:val="20"/>
          <w:szCs w:val="20"/>
          <w:lang w:val="en-US"/>
        </w:rPr>
        <w:instrText>ADDIN CSL_CITATION { "citationItems" : [ { "id" : "ITEM-1", "itemData" : { "author" : [ { "dropping-particle" : "", "family" : "Socialdepartementet", "given" : "", "non-dropping-particle" : "", "parse-names" : false, "suffix" : "" } ], "id" : "ITEM-1", "issued" : { "date-parts" : [ [ "1982" ] ] }, "publisher-place" : "Svensk f\u00f6rfattningssamling, Stockholm", "title" : "H\u00e4lso- och sjukv\u00e5rdslag SFS 1982:763", "type" : "report" }, "uris" : [ "http://www.mendeley.com/documents/?uuid=9e1b6868-337b-4469-b7f5-626e7c4d96c2" ] } ], "mendeley" : { "formattedCitation" : "[4]", "plainTextFormattedCitation" : "[4]", "previouslyFormattedCitation" : "[4]"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[4]</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whereby implementation of clinical research results can be viewed as part of this assignment. However, the fact that the three funding levels together proposed five different County Council-related actors as responsible for implementation may be a potential barrier for</w:t>
      </w:r>
      <w:r>
        <w:rPr>
          <w:rFonts w:ascii="Times New Roman" w:hAnsi="Times New Roman" w:cs="Times New Roman"/>
          <w:sz w:val="20"/>
          <w:szCs w:val="20"/>
          <w:lang w:val="en-US"/>
        </w:rPr>
        <w:t xml:space="preserve"> implementation</w:t>
      </w:r>
      <w:r w:rsidRPr="006376DF">
        <w:rPr>
          <w:rFonts w:ascii="Times New Roman" w:hAnsi="Times New Roman" w:cs="Times New Roman"/>
          <w:sz w:val="20"/>
          <w:szCs w:val="20"/>
          <w:lang w:val="en-US"/>
        </w:rPr>
        <w:t>. It suggests a “problem of many hands” whereby responsibilities become so uncl</w:t>
      </w:r>
      <w:r w:rsidR="003B77CA">
        <w:rPr>
          <w:rFonts w:ascii="Times New Roman" w:hAnsi="Times New Roman" w:cs="Times New Roman"/>
          <w:sz w:val="20"/>
          <w:szCs w:val="20"/>
          <w:lang w:val="en-US"/>
        </w:rPr>
        <w:t>ear that implementation risks becoming</w:t>
      </w:r>
      <w:r w:rsidRPr="006376DF">
        <w:rPr>
          <w:rFonts w:ascii="Times New Roman" w:hAnsi="Times New Roman" w:cs="Times New Roman"/>
          <w:sz w:val="20"/>
          <w:szCs w:val="20"/>
          <w:lang w:val="en-US"/>
        </w:rPr>
        <w:t xml:space="preserve"> no-one’s responsibility </w:t>
      </w:r>
      <w:r w:rsidR="00087A11" w:rsidRPr="006376DF">
        <w:rPr>
          <w:rFonts w:ascii="Times New Roman" w:hAnsi="Times New Roman" w:cs="Times New Roman"/>
          <w:sz w:val="20"/>
          <w:szCs w:val="20"/>
        </w:rPr>
        <w:fldChar w:fldCharType="begin" w:fldLock="1"/>
      </w:r>
      <w:r w:rsidR="00602B9A">
        <w:rPr>
          <w:rFonts w:ascii="Times New Roman" w:hAnsi="Times New Roman" w:cs="Times New Roman"/>
          <w:sz w:val="20"/>
          <w:szCs w:val="20"/>
          <w:lang w:val="en-US"/>
        </w:rPr>
        <w:instrText>ADDIN CSL_CITATION { "citationItems" : [ { "id" : "ITEM-1", "itemData" : { "author" : [ { "dropping-particle" : "", "family" : "Thompson", "given" : "D F", "non-dropping-particle" : "", "parse-names" : false, "suffix" : "" } ], "container-title" : "The American Political Science Review", "id" : "ITEM-1", "issue" : "4", "issued" : { "date-parts" : [ [ "1980" ] ] }, "page" : "905-916", "title" : "Moral Responsibility of Public Officials: The Problem of Many Hands", "type" : "article-journal", "volume" : "74" }, "uris" : [ "http://www.mendeley.com/documents/?uuid=f4bb676a-0f2e-4d30-b07b-e15b1c9f56e2" ] } ], "mendeley" : { "formattedCitation" : "[5]", "plainTextFormattedCitation" : "[5]", "previouslyFormattedCitation" : "[5]"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[5]</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However, on the other hand the local public funders, which are closest to the healthcare setting, proposed three different actors as responsible for implementation not so much because of</w:t>
      </w:r>
      <w:r w:rsidR="003B77CA">
        <w:rPr>
          <w:rFonts w:ascii="Times New Roman" w:hAnsi="Times New Roman" w:cs="Times New Roman"/>
          <w:sz w:val="20"/>
          <w:szCs w:val="20"/>
          <w:lang w:val="en-US"/>
        </w:rPr>
        <w:t xml:space="preserve"> the</w:t>
      </w:r>
      <w:r w:rsidRPr="006376DF">
        <w:rPr>
          <w:rFonts w:ascii="Times New Roman" w:hAnsi="Times New Roman" w:cs="Times New Roman"/>
          <w:sz w:val="20"/>
          <w:szCs w:val="20"/>
          <w:lang w:val="en-US"/>
        </w:rPr>
        <w:t xml:space="preserve"> “problem of many hands”, but because actors responsible for implementation can indeed be different from one County Council to another. In fact, County Councils are independent from the central government in how they assign implementation responsibility: for instance a County Council may have attributed implementation responsibility to hospital heads, whereas in another it might be less well-defined. In cases where the quite diffuse and large actors, such as “County Councils” or even more the “Healthcare system”, were identified as responsible the “problem of many hands” is a concrete risk due to the size and complexity of these organizations.</w:t>
      </w:r>
    </w:p>
    <w:p w:rsidR="00B564E1" w:rsidRPr="006376DF" w:rsidRDefault="00B564E1" w:rsidP="00B564E1">
      <w:pPr>
        <w:spacing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br/>
        <w:t xml:space="preserve">In terms of personal or organizational responsibility, half of the funders seemed to consider that implementation is a matter of </w:t>
      </w:r>
      <w:r w:rsidRPr="006376DF">
        <w:rPr>
          <w:rFonts w:ascii="Times New Roman" w:hAnsi="Times New Roman" w:cs="Times New Roman"/>
          <w:i/>
          <w:sz w:val="20"/>
          <w:szCs w:val="20"/>
          <w:lang w:val="en-US"/>
        </w:rPr>
        <w:t xml:space="preserve">organizational </w:t>
      </w:r>
      <w:r w:rsidRPr="006376DF">
        <w:rPr>
          <w:rFonts w:ascii="Times New Roman" w:hAnsi="Times New Roman" w:cs="Times New Roman"/>
          <w:sz w:val="20"/>
          <w:szCs w:val="20"/>
          <w:lang w:val="en-US"/>
        </w:rPr>
        <w:t xml:space="preserve">responsibility </w:t>
      </w:r>
      <w:r w:rsidR="00087A11" w:rsidRPr="006376DF">
        <w:rPr>
          <w:rFonts w:ascii="Times New Roman" w:hAnsi="Times New Roman" w:cs="Times New Roman"/>
          <w:sz w:val="20"/>
          <w:szCs w:val="20"/>
        </w:rPr>
        <w:fldChar w:fldCharType="begin" w:fldLock="1"/>
      </w:r>
      <w:r w:rsidR="00602B9A">
        <w:rPr>
          <w:rFonts w:ascii="Times New Roman" w:hAnsi="Times New Roman" w:cs="Times New Roman"/>
          <w:sz w:val="20"/>
          <w:szCs w:val="20"/>
          <w:lang w:val="en-US"/>
        </w:rPr>
        <w:instrText>ADDIN CSL_CITATION { "citationItems" : [ { "id" : "ITEM-1", "itemData" : { "author" : [ { "dropping-particle" : "", "family" : "Stone", "given" : "C D", "non-dropping-particle" : "", "parse-names" : false, "suffix" : "" } ], "id" : "ITEM-1", "issued" : { "date-parts" : [ [ "1975" ] ] }, "publisher" : "Harper &amp; Row", "publisher-place" : "New York", "title" : "Where the law ends: The social control of corporate behavior.", "type" : "book" }, "uris" : [ "http://www.mendeley.com/documents/?uuid=0c04fa8e-a474-4ffd-a86b-3705fb1d2d64" ] }, { "id" : "ITEM-2", "itemData" : { "author" : [ { "dropping-particle" : "", "family" : "Braithwaite", "given" : "J", "non-dropping-particle" : "", "parse-names" : false, "suffix" : "" }, { "dropping-particle" : "", "family" : "Makkai", "given" : "T", "non-dropping-particle" : "", "parse-names" : false, "suffix" : "" } ], "container-title" : "Law &amp; Society Review", "id" : "ITEM-2", "issue" : "1", "issued" : { "date-parts" : [ [ "1991" ] ] }, "page" : "7-40", "title" : "Testing an Expected Utility Model of Corporate Deterrence", "type" : "article-journal", "volume" : "25" }, "uris" : [ "http://www.mendeley.com/documents/?uuid=dbbd5030-8be7-4e80-be2a-353663fe3256" ] } ], "mendeley" : { "formattedCitation" : "[6, 7]", "plainTextFormattedCitation" : "[6, 7]", "previouslyFormattedCitation" : "[6, 7]"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[6, 7]</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In fact, “County Councils”, “Healthcare system,” and “The medical practitioners together with County Councils” were suggested by five funders. Instead, a pure personal responsibility </w:t>
      </w:r>
      <w:r w:rsidR="00087A11" w:rsidRPr="006376DF">
        <w:rPr>
          <w:rFonts w:ascii="Times New Roman" w:hAnsi="Times New Roman" w:cs="Times New Roman"/>
          <w:sz w:val="20"/>
          <w:szCs w:val="20"/>
        </w:rPr>
        <w:fldChar w:fldCharType="begin" w:fldLock="1"/>
      </w:r>
      <w:r w:rsidR="00602B9A">
        <w:rPr>
          <w:rFonts w:ascii="Times New Roman" w:hAnsi="Times New Roman" w:cs="Times New Roman"/>
          <w:sz w:val="20"/>
          <w:szCs w:val="20"/>
          <w:lang w:val="en-US"/>
        </w:rPr>
        <w:instrText>ADDIN CSL_CITATION { "citationItems" : [ { "id" : "ITEM-1", "itemData" : { "author" : [ { "dropping-particle" : "", "family" : "Peters", "given" : "B G", "non-dropping-particle" : "", "parse-names" : false, "suffix" : "" } ], "edition" : "5th ed", "id" : "ITEM-1", "issued" : { "date-parts" : [ [ "2001" ] ] }, "publisher" : "Routledge", "publisher-place" : "London", "title" : "The politics of bureaucracy.", "type" : "book" }, "uris" : [ "http://www.mendeley.com/documents/?uuid=f9f68a29-fed6-4bec-9522-40c8d6ca9dfd" ] }, { "id" : "ITEM-2", "itemData" : { "author" : [ { "dropping-particle" : "", "family" : "Jackall", "given" : "R", "non-dropping-particle" : "", "parse-names" : false, "suffix" : "" } ], "edition" : "20th editi", "id" : "ITEM-2", "issued" : { "date-parts" : [ [ "2010" ] ] }, "publisher" : "Oxford University Press", "publisher-place" : "New York", "title" : "Moral Mazes: The World of Corporate Managers.", "type" : "book" }, "uris" : [ "http://www.mendeley.com/documents/?uuid=71a5e4f2-8a30-4065-a1c5-b6ff21d6c1c9" ] } ], "mendeley" : { "formattedCitation" : "[8, 9]", "plainTextFormattedCitation" : "[8, 9]", "previouslyFormattedCitation" : "[8, 9]"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[8, 9]</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within County Councils was attributed by three funders to the “Head of hospital units”</w:t>
      </w:r>
      <w:r>
        <w:rPr>
          <w:rFonts w:ascii="Times New Roman" w:hAnsi="Times New Roman" w:cs="Times New Roman"/>
          <w:sz w:val="20"/>
          <w:szCs w:val="20"/>
          <w:lang w:val="en-US"/>
        </w:rPr>
        <w:t>.</w:t>
      </w:r>
      <w:r w:rsidRPr="006376DF">
        <w:rPr>
          <w:rFonts w:ascii="Times New Roman" w:hAnsi="Times New Roman" w:cs="Times New Roman"/>
          <w:sz w:val="20"/>
          <w:szCs w:val="20"/>
          <w:lang w:val="en-US"/>
        </w:rPr>
        <w:t xml:space="preserve"> This form of personal responsibility is also a form of hierarchical responsibility, whereby the person highest in rank is made responsible </w:t>
      </w:r>
      <w:r w:rsidR="00087A11" w:rsidRPr="006376DF">
        <w:rPr>
          <w:rFonts w:ascii="Times New Roman" w:hAnsi="Times New Roman" w:cs="Times New Roman"/>
          <w:sz w:val="20"/>
          <w:szCs w:val="20"/>
        </w:rPr>
        <w:fldChar w:fldCharType="begin" w:fldLock="1"/>
      </w:r>
      <w:r w:rsidR="00602B9A">
        <w:rPr>
          <w:rFonts w:ascii="Times New Roman" w:hAnsi="Times New Roman" w:cs="Times New Roman"/>
          <w:sz w:val="20"/>
          <w:szCs w:val="20"/>
          <w:lang w:val="en-US"/>
        </w:rPr>
        <w:instrText>ADDIN CSL_CITATION { "citationItems" : [ { "id" : "ITEM-1", "itemData" : { "author" : [ { "dropping-particle" : "", "family" : "Jackall", "given" : "R", "non-dropping-particle" : "", "parse-names" : false, "suffix" : "" } ], "edition" : "20th editi", "id" : "ITEM-1", "issued" : { "date-parts" : [ [ "2010" ] ] }, "publisher" : "Oxford University Press", "publisher-place" : "New York", "title" : "Moral Mazes: The World of Corporate Managers.", "type" : "book" }, "uris" : [ "http://www.mendeley.com/documents/?uuid=71a5e4f2-8a30-4065-a1c5-b6ff21d6c1c9" ] }, { "id" : "ITEM-2", "itemData" : { "author" : [ { "dropping-particle" : "", "family" : "Coffee", "given" : "J C", "non-dropping-particle" : "", "parse-names" : false, "suffix" : "" } ], "container-title" : "Virginia Law Review", "id" : "ITEM-2", "issued" : { "date-parts" : [ [ "1977" ] ] }, "page" : "1099-1278", "title" : "Beyond the Shut-Eyed Sentry: Toward a Theoretical View of Corporate Misconduct and an Effective Legal Response.", "type" : "article-journal", "volume" : "63" }, "uris" : [ "http://www.mendeley.com/documents/?uuid=67bfd0eb-281f-484e-811f-274f48b3ef03" ] } ], "mendeley" : { "formattedCitation" : "[9, 10]", "plainTextFormattedCitation" : "[9, 10]", "previouslyFormattedCitation" : "[9, 10]"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[9, 10]</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However, the heads of hospital units are merely managers and, following the argument of hierarchical responsibility </w:t>
      </w:r>
      <w:r w:rsidR="00087A11" w:rsidRPr="006376DF">
        <w:rPr>
          <w:rFonts w:ascii="Times New Roman" w:hAnsi="Times New Roman" w:cs="Times New Roman"/>
          <w:sz w:val="20"/>
          <w:szCs w:val="20"/>
        </w:rPr>
        <w:fldChar w:fldCharType="begin" w:fldLock="1"/>
      </w:r>
      <w:r w:rsidR="00602B9A">
        <w:rPr>
          <w:rFonts w:ascii="Times New Roman" w:hAnsi="Times New Roman" w:cs="Times New Roman"/>
          <w:sz w:val="20"/>
          <w:szCs w:val="20"/>
          <w:lang w:val="en-US"/>
        </w:rPr>
        <w:instrText>ADDIN CSL_CITATION { "citationItems" : [ { "id" : "ITEM-1", "itemData" : { "author" : [ { "dropping-particle" : "", "family" : "Bovens", "given" : "M", "non-dropping-particle" : "", "parse-names" : false, "suffix" : "" } ], "id" : "ITEM-1", "issued" : { "date-parts" : [ [ "1998" ] ] }, "publisher" : "Cambridge University Press", "publisher-place" : "Cambridge", "title" : "The Quest for Responsibility. Accountability and Citizenship in Complex Organisations", "type" : "book" }, "uris" : [ "http://www.mendeley.com/documents/?uuid=e1e88816-0193-4769-b43d-6d40d2c1dad0" ] } ], "mendeley" : { "formattedCitation" : "[11]", "plainTextFormattedCitation" : "[11]", "previouslyFormattedCitation" : "[11]"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[11]</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the real responsibility ultimately rests on the organizational leadership, usually taking the form of a group of actors. “Hospital leadership” as a category was supported by only one local public funder. </w:t>
      </w:r>
      <w:r w:rsidRPr="004F52EB">
        <w:rPr>
          <w:rFonts w:ascii="Times New Roman" w:hAnsi="Times New Roman" w:cs="Times New Roman"/>
          <w:sz w:val="20"/>
          <w:szCs w:val="20"/>
          <w:lang w:val="en-US"/>
        </w:rPr>
        <w:t>Still, the prominence of or</w:t>
      </w:r>
      <w:r w:rsidR="004F52EB" w:rsidRPr="004F52EB">
        <w:rPr>
          <w:rFonts w:ascii="Times New Roman" w:hAnsi="Times New Roman" w:cs="Times New Roman"/>
          <w:sz w:val="20"/>
          <w:szCs w:val="20"/>
          <w:lang w:val="en-US"/>
        </w:rPr>
        <w:t>ganizational or shared</w:t>
      </w:r>
      <w:r w:rsidRPr="004F52EB">
        <w:rPr>
          <w:rFonts w:ascii="Times New Roman" w:hAnsi="Times New Roman" w:cs="Times New Roman"/>
          <w:sz w:val="20"/>
          <w:szCs w:val="20"/>
          <w:lang w:val="en-US"/>
        </w:rPr>
        <w:t xml:space="preserve"> responsibility is confirmed by the fact that four out of five categories regarding the actors related to County Councils refer to a group of actors or organizations, indicating a </w:t>
      </w:r>
      <w:r w:rsidRPr="004F52EB">
        <w:rPr>
          <w:rFonts w:ascii="Times New Roman" w:hAnsi="Times New Roman" w:cs="Times New Roman"/>
          <w:i/>
          <w:sz w:val="20"/>
          <w:szCs w:val="20"/>
          <w:lang w:val="en-US"/>
        </w:rPr>
        <w:t>collective</w:t>
      </w:r>
      <w:r w:rsidR="003B77CA">
        <w:rPr>
          <w:rFonts w:ascii="Times New Roman" w:hAnsi="Times New Roman" w:cs="Times New Roman"/>
          <w:i/>
          <w:sz w:val="20"/>
          <w:szCs w:val="20"/>
          <w:lang w:val="en-US"/>
        </w:rPr>
        <w:t xml:space="preserve"> and organizational</w:t>
      </w:r>
      <w:r w:rsidRPr="004F52EB">
        <w:rPr>
          <w:rFonts w:ascii="Times New Roman" w:hAnsi="Times New Roman" w:cs="Times New Roman"/>
          <w:sz w:val="20"/>
          <w:szCs w:val="20"/>
          <w:lang w:val="en-US"/>
        </w:rPr>
        <w:t xml:space="preserve"> responsibility</w:t>
      </w:r>
      <w:r w:rsidRPr="006376DF">
        <w:rPr>
          <w:rFonts w:ascii="Times New Roman" w:hAnsi="Times New Roman" w:cs="Times New Roman"/>
          <w:sz w:val="20"/>
          <w:szCs w:val="20"/>
          <w:lang w:val="en-US"/>
        </w:rPr>
        <w:t xml:space="preserve"> </w:t>
      </w:r>
      <w:r w:rsidR="00087A11" w:rsidRPr="006376DF">
        <w:rPr>
          <w:rFonts w:ascii="Times New Roman" w:hAnsi="Times New Roman" w:cs="Times New Roman"/>
          <w:sz w:val="20"/>
          <w:szCs w:val="20"/>
        </w:rPr>
        <w:fldChar w:fldCharType="begin" w:fldLock="1"/>
      </w:r>
      <w:r w:rsidR="00AB29EE">
        <w:rPr>
          <w:rFonts w:ascii="Times New Roman" w:hAnsi="Times New Roman" w:cs="Times New Roman"/>
          <w:sz w:val="20"/>
          <w:szCs w:val="20"/>
          <w:lang w:val="en-US"/>
        </w:rPr>
        <w:instrText>ADDIN CSL_CITATION { "citationItems" : [ { "id" : "ITEM-1", "itemData" : { "author" : [ { "dropping-particle" : "", "family" : "MacIntyre", "given" : "A", "non-dropping-particle" : "", "parse-names" : false, "suffix" : "" } ], "edition" : "3rd ed", "id" : "ITEM-1", "issued" : { "date-parts" : [ [ "2007" ] ] }, "publisher" : "University of Notre Dame Press", "publisher-place" : "Notre Dame", "title" : "After Virtue: A Study in Moral Theory", "type" : "book" }, "uris" : [ "http://www.mendeley.com/documents/?uuid=f63241da-f050-4390-9b0b-151c5e678c2c" ] }, { "id" : "ITEM-2", "itemData" : { "author" : [ { "dropping-particle" : "", "family" : "Walsh", "given" : "W H", "non-dropping-particle" : "", "parse-names" : false, "suffix" : "" } ], "container-title" : "The Philosophical Quarterly", "id" : "ITEM-2", "issue" : "78", "issued" : { "date-parts" : [ [ "1970" ] ] }, "page" : "1-13", "title" : "Pride, Shame and Responsibility.", "type" : "article-journal", "volume" : "20" }, "uris" : [ "http://www.mendeley.com/documents/?uuid=4ee81982-a701-4e02-bb35-426cf6923db1" ] } ], "mendeley" : { "formattedCitation" : "[12, 13]", "plainTextFormattedCitation" : "[12, 13]", "previouslyFormattedCitation" : "[12, 13]" }, "properties" : { "noteIndex" : 0 }, "schema" : "https://github.com/citation-style-language/schema/raw/master/csl-citation.json" }</w:instrText>
      </w:r>
      <w:r w:rsidR="00087A11" w:rsidRPr="006376DF">
        <w:rPr>
          <w:rFonts w:ascii="Times New Roman" w:hAnsi="Times New Roman" w:cs="Times New Roman"/>
          <w:sz w:val="20"/>
          <w:szCs w:val="20"/>
        </w:rPr>
        <w:fldChar w:fldCharType="separate"/>
      </w:r>
      <w:r w:rsidR="00602B9A" w:rsidRPr="00602B9A">
        <w:rPr>
          <w:rFonts w:ascii="Times New Roman" w:hAnsi="Times New Roman" w:cs="Times New Roman"/>
          <w:noProof/>
          <w:sz w:val="20"/>
          <w:szCs w:val="20"/>
          <w:lang w:val="en-US"/>
        </w:rPr>
        <w:t>[12, 13]</w:t>
      </w:r>
      <w:r w:rsidR="00087A11"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w:t>
      </w:r>
    </w:p>
    <w:p w:rsidR="00B564E1" w:rsidRPr="006376DF" w:rsidRDefault="00B564E1" w:rsidP="00B564E1">
      <w:pPr>
        <w:pStyle w:val="Heading2"/>
        <w:spacing w:line="360" w:lineRule="auto"/>
        <w:rPr>
          <w:rFonts w:ascii="Times New Roman" w:hAnsi="Times New Roman" w:cs="Times New Roman"/>
          <w:color w:val="auto"/>
          <w:lang w:val="en-US"/>
        </w:rPr>
      </w:pPr>
      <w:r w:rsidRPr="006376DF">
        <w:rPr>
          <w:rFonts w:ascii="Times New Roman" w:hAnsi="Times New Roman" w:cs="Times New Roman"/>
          <w:color w:val="auto"/>
          <w:lang w:val="en-US"/>
        </w:rPr>
        <w:t>Do the actors ta</w:t>
      </w:r>
      <w:bookmarkStart w:id="0" w:name="_GoBack"/>
      <w:bookmarkEnd w:id="0"/>
      <w:r w:rsidRPr="006376DF">
        <w:rPr>
          <w:rFonts w:ascii="Times New Roman" w:hAnsi="Times New Roman" w:cs="Times New Roman"/>
          <w:color w:val="auto"/>
          <w:lang w:val="en-US"/>
        </w:rPr>
        <w:t>ke responsibility, or should someone else?</w:t>
      </w:r>
    </w:p>
    <w:p w:rsidR="00B564E1" w:rsidRDefault="00B564E1" w:rsidP="00B564E1">
      <w:pPr>
        <w:spacing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br/>
        <w:t>The funders in general</w:t>
      </w:r>
      <w:r w:rsidR="00F6075A">
        <w:rPr>
          <w:rFonts w:ascii="Times New Roman" w:hAnsi="Times New Roman" w:cs="Times New Roman"/>
          <w:sz w:val="20"/>
          <w:szCs w:val="20"/>
          <w:lang w:val="en-US"/>
        </w:rPr>
        <w:t xml:space="preserve"> were somewhat hesitant whether</w:t>
      </w:r>
      <w:r w:rsidRPr="006376DF">
        <w:rPr>
          <w:rFonts w:ascii="Times New Roman" w:hAnsi="Times New Roman" w:cs="Times New Roman"/>
          <w:sz w:val="20"/>
          <w:szCs w:val="20"/>
          <w:lang w:val="en-US"/>
        </w:rPr>
        <w:t xml:space="preserve"> the actors identified take responsibility for i</w:t>
      </w:r>
      <w:r w:rsidR="00F6075A">
        <w:rPr>
          <w:rFonts w:ascii="Times New Roman" w:hAnsi="Times New Roman" w:cs="Times New Roman"/>
          <w:sz w:val="20"/>
          <w:szCs w:val="20"/>
          <w:lang w:val="en-US"/>
        </w:rPr>
        <w:t>mplementation as five funders considered that the identified actors take responsibility “T</w:t>
      </w:r>
      <w:r w:rsidRPr="006376DF">
        <w:rPr>
          <w:rFonts w:ascii="Times New Roman" w:hAnsi="Times New Roman" w:cs="Times New Roman"/>
          <w:sz w:val="20"/>
          <w:szCs w:val="20"/>
          <w:lang w:val="en-US"/>
        </w:rPr>
        <w:t>o a certain degree</w:t>
      </w:r>
      <w:r w:rsidR="00F6075A">
        <w:rPr>
          <w:rFonts w:ascii="Times New Roman" w:hAnsi="Times New Roman" w:cs="Times New Roman"/>
          <w:sz w:val="20"/>
          <w:szCs w:val="20"/>
          <w:lang w:val="en-US"/>
        </w:rPr>
        <w:t>” and one funder reported</w:t>
      </w:r>
      <w:r w:rsidR="00284174">
        <w:rPr>
          <w:rFonts w:ascii="Times New Roman" w:hAnsi="Times New Roman" w:cs="Times New Roman"/>
          <w:sz w:val="20"/>
          <w:szCs w:val="20"/>
          <w:lang w:val="en-US"/>
        </w:rPr>
        <w:t xml:space="preserve"> that the identified actor does</w:t>
      </w:r>
      <w:r w:rsidR="00F6075A">
        <w:rPr>
          <w:rFonts w:ascii="Times New Roman" w:hAnsi="Times New Roman" w:cs="Times New Roman"/>
          <w:sz w:val="20"/>
          <w:szCs w:val="20"/>
          <w:lang w:val="en-US"/>
        </w:rPr>
        <w:t xml:space="preserve"> not take responsibility</w:t>
      </w:r>
      <w:r w:rsidRPr="006376DF">
        <w:rPr>
          <w:rFonts w:ascii="Times New Roman" w:hAnsi="Times New Roman" w:cs="Times New Roman"/>
          <w:sz w:val="20"/>
          <w:szCs w:val="20"/>
          <w:lang w:val="en-US"/>
        </w:rPr>
        <w:t>. The local public funders were most positive about responsibility taking, followed by the national public funders. The national private funders were divided over this</w:t>
      </w:r>
      <w:r w:rsidR="00F6075A">
        <w:rPr>
          <w:rFonts w:ascii="Times New Roman" w:hAnsi="Times New Roman" w:cs="Times New Roman"/>
          <w:sz w:val="20"/>
          <w:szCs w:val="20"/>
          <w:lang w:val="en-US"/>
        </w:rPr>
        <w:t xml:space="preserve"> (Table 4)</w:t>
      </w:r>
      <w:r w:rsidRPr="006376DF">
        <w:rPr>
          <w:rFonts w:ascii="Times New Roman" w:hAnsi="Times New Roman" w:cs="Times New Roman"/>
          <w:sz w:val="20"/>
          <w:szCs w:val="20"/>
          <w:lang w:val="en-US"/>
        </w:rPr>
        <w:t xml:space="preserve">. As for the alternative responsible actors, considering all three levels of funders, </w:t>
      </w:r>
      <w:r>
        <w:rPr>
          <w:rFonts w:ascii="Times New Roman" w:hAnsi="Times New Roman" w:cs="Times New Roman"/>
          <w:sz w:val="20"/>
          <w:szCs w:val="20"/>
          <w:lang w:val="en-US"/>
        </w:rPr>
        <w:t>half</w:t>
      </w:r>
      <w:r w:rsidRPr="006376DF">
        <w:rPr>
          <w:rFonts w:ascii="Times New Roman" w:hAnsi="Times New Roman" w:cs="Times New Roman"/>
          <w:sz w:val="20"/>
          <w:szCs w:val="20"/>
          <w:lang w:val="en-US"/>
        </w:rPr>
        <w:t xml:space="preserve"> of the funders suggested that </w:t>
      </w:r>
      <w:r w:rsidRPr="006376DF">
        <w:rPr>
          <w:rFonts w:ascii="Times New Roman" w:hAnsi="Times New Roman" w:cs="Times New Roman"/>
          <w:i/>
          <w:sz w:val="20"/>
          <w:szCs w:val="20"/>
          <w:lang w:val="en-US"/>
        </w:rPr>
        <w:t>no-one else</w:t>
      </w:r>
      <w:r w:rsidRPr="006376DF">
        <w:rPr>
          <w:rFonts w:ascii="Times New Roman" w:hAnsi="Times New Roman" w:cs="Times New Roman"/>
          <w:sz w:val="20"/>
          <w:szCs w:val="20"/>
          <w:lang w:val="en-US"/>
        </w:rPr>
        <w:t xml:space="preserve"> sho</w:t>
      </w:r>
      <w:r w:rsidR="008C5F26">
        <w:rPr>
          <w:rFonts w:ascii="Times New Roman" w:hAnsi="Times New Roman" w:cs="Times New Roman"/>
          <w:sz w:val="20"/>
          <w:szCs w:val="20"/>
          <w:lang w:val="en-US"/>
        </w:rPr>
        <w:t>uld take responsibility (Table 5</w:t>
      </w:r>
      <w:r w:rsidRPr="006376DF">
        <w:rPr>
          <w:rFonts w:ascii="Times New Roman" w:hAnsi="Times New Roman" w:cs="Times New Roman"/>
          <w:sz w:val="20"/>
          <w:szCs w:val="20"/>
          <w:lang w:val="en-US"/>
        </w:rPr>
        <w:t>). Also</w:t>
      </w:r>
      <w:r>
        <w:rPr>
          <w:rFonts w:ascii="Times New Roman" w:hAnsi="Times New Roman" w:cs="Times New Roman"/>
          <w:sz w:val="20"/>
          <w:szCs w:val="20"/>
          <w:lang w:val="en-US"/>
        </w:rPr>
        <w:t xml:space="preserve"> three</w:t>
      </w:r>
      <w:r w:rsidRPr="006376DF">
        <w:rPr>
          <w:rFonts w:ascii="Times New Roman" w:hAnsi="Times New Roman" w:cs="Times New Roman"/>
          <w:sz w:val="20"/>
          <w:szCs w:val="20"/>
          <w:lang w:val="en-US"/>
        </w:rPr>
        <w:t xml:space="preserve"> funders supported the option of another responsible actor “To a certain degree”, which is somewhere between “No” and “Yes”. This </w:t>
      </w:r>
      <w:r w:rsidRPr="006376DF">
        <w:rPr>
          <w:rFonts w:ascii="Times New Roman" w:hAnsi="Times New Roman" w:cs="Times New Roman"/>
          <w:sz w:val="20"/>
          <w:szCs w:val="20"/>
          <w:lang w:val="en-US"/>
        </w:rPr>
        <w:lastRenderedPageBreak/>
        <w:t>result can be interpreted as the majority</w:t>
      </w:r>
      <w:r w:rsidR="00E91008">
        <w:rPr>
          <w:rFonts w:ascii="Times New Roman" w:hAnsi="Times New Roman" w:cs="Times New Roman"/>
          <w:sz w:val="20"/>
          <w:szCs w:val="20"/>
          <w:lang w:val="en-US"/>
        </w:rPr>
        <w:t xml:space="preserve"> of funders being rather content with</w:t>
      </w:r>
      <w:r w:rsidRPr="006376DF">
        <w:rPr>
          <w:rFonts w:ascii="Times New Roman" w:hAnsi="Times New Roman" w:cs="Times New Roman"/>
          <w:sz w:val="20"/>
          <w:szCs w:val="20"/>
          <w:lang w:val="en-US"/>
        </w:rPr>
        <w:t xml:space="preserve"> the identified actors. Regarding the alternative actors, the actors proposed by the local public funders were in general more concrete than the ones proposed by the national public funders. For instance “Shared University/County Council organ”, proposed by one local public funder, seems a more </w:t>
      </w:r>
      <w:r>
        <w:rPr>
          <w:rFonts w:ascii="Times New Roman" w:hAnsi="Times New Roman" w:cs="Times New Roman"/>
          <w:sz w:val="20"/>
          <w:szCs w:val="20"/>
          <w:lang w:val="en-US"/>
        </w:rPr>
        <w:t>concrete</w:t>
      </w:r>
      <w:r w:rsidRPr="006376DF">
        <w:rPr>
          <w:rFonts w:ascii="Times New Roman" w:hAnsi="Times New Roman" w:cs="Times New Roman"/>
          <w:sz w:val="20"/>
          <w:szCs w:val="20"/>
          <w:lang w:val="en-US"/>
        </w:rPr>
        <w:t xml:space="preserve"> option for taking responsibility for implementation than “Society”, as suggested by one national public funder. </w:t>
      </w:r>
    </w:p>
    <w:p w:rsidR="00F56CE8" w:rsidRPr="006376DF" w:rsidRDefault="00F56CE8" w:rsidP="00F56CE8">
      <w:pPr>
        <w:pStyle w:val="Heading1"/>
        <w:spacing w:before="0"/>
        <w:rPr>
          <w:lang w:val="en-US"/>
        </w:rPr>
      </w:pPr>
      <w:r w:rsidRPr="00F56CE8">
        <w:rPr>
          <w:color w:val="auto"/>
          <w:lang w:val="en-US"/>
        </w:rPr>
        <w:t>References</w:t>
      </w:r>
    </w:p>
    <w:p w:rsidR="00AB29EE" w:rsidRPr="008C5F26" w:rsidRDefault="00087A11">
      <w:pPr>
        <w:pStyle w:val="NormalWeb"/>
        <w:divId w:val="354695761"/>
        <w:rPr>
          <w:noProof/>
          <w:sz w:val="20"/>
          <w:lang w:val="en-US"/>
        </w:rPr>
      </w:pPr>
      <w:r w:rsidRPr="00F56CE8">
        <w:rPr>
          <w:sz w:val="20"/>
          <w:szCs w:val="20"/>
          <w:lang w:val="en-US"/>
        </w:rPr>
        <w:fldChar w:fldCharType="begin" w:fldLock="1"/>
      </w:r>
      <w:r w:rsidR="009C04EF" w:rsidRPr="00F56CE8">
        <w:rPr>
          <w:sz w:val="20"/>
          <w:szCs w:val="20"/>
          <w:lang w:val="en-US"/>
        </w:rPr>
        <w:instrText xml:space="preserve">ADDIN Mendeley Bibliography CSL_BIBLIOGRAPHY </w:instrText>
      </w:r>
      <w:r w:rsidRPr="00F56CE8">
        <w:rPr>
          <w:sz w:val="20"/>
          <w:szCs w:val="20"/>
          <w:lang w:val="en-US"/>
        </w:rPr>
        <w:fldChar w:fldCharType="separate"/>
      </w:r>
      <w:r w:rsidR="00AB29EE" w:rsidRPr="008C5F26">
        <w:rPr>
          <w:noProof/>
          <w:sz w:val="20"/>
          <w:lang w:val="en-US"/>
        </w:rPr>
        <w:t xml:space="preserve">1. Holmes B, Scarrow G, Schellenberg M: </w:t>
      </w:r>
      <w:r w:rsidR="00AB29EE" w:rsidRPr="008C5F26">
        <w:rPr>
          <w:b/>
          <w:bCs/>
          <w:noProof/>
          <w:sz w:val="20"/>
          <w:lang w:val="en-US"/>
        </w:rPr>
        <w:t>Translating evidence into practice: the role of health research funders.</w:t>
      </w:r>
      <w:r w:rsidR="00AB29EE" w:rsidRPr="008C5F26">
        <w:rPr>
          <w:noProof/>
          <w:sz w:val="20"/>
          <w:lang w:val="en-US"/>
        </w:rPr>
        <w:t xml:space="preserve"> </w:t>
      </w:r>
      <w:r w:rsidR="00AB29EE" w:rsidRPr="008C5F26">
        <w:rPr>
          <w:i/>
          <w:iCs/>
          <w:noProof/>
          <w:sz w:val="20"/>
          <w:lang w:val="en-US"/>
        </w:rPr>
        <w:t>Implement Sci</w:t>
      </w:r>
      <w:r w:rsidR="00AB29EE" w:rsidRPr="008C5F26">
        <w:rPr>
          <w:noProof/>
          <w:sz w:val="20"/>
          <w:lang w:val="en-US"/>
        </w:rPr>
        <w:t xml:space="preserve"> 2012, </w:t>
      </w:r>
      <w:r w:rsidR="00AB29EE" w:rsidRPr="008C5F26">
        <w:rPr>
          <w:b/>
          <w:bCs/>
          <w:noProof/>
          <w:sz w:val="20"/>
          <w:lang w:val="en-US"/>
        </w:rPr>
        <w:t>7</w:t>
      </w:r>
      <w:r w:rsidR="00AB29EE" w:rsidRPr="008C5F26">
        <w:rPr>
          <w:noProof/>
          <w:sz w:val="20"/>
          <w:lang w:val="en-US"/>
        </w:rPr>
        <w:t>:39.</w:t>
      </w:r>
    </w:p>
    <w:p w:rsidR="00AB29EE" w:rsidRPr="008C5F26" w:rsidRDefault="00AB29EE">
      <w:pPr>
        <w:pStyle w:val="NormalWeb"/>
        <w:divId w:val="354695761"/>
        <w:rPr>
          <w:noProof/>
          <w:sz w:val="20"/>
          <w:lang w:val="en-US"/>
        </w:rPr>
      </w:pPr>
      <w:r w:rsidRPr="008C5F26">
        <w:rPr>
          <w:noProof/>
          <w:sz w:val="20"/>
          <w:lang w:val="en-US"/>
        </w:rPr>
        <w:t xml:space="preserve">2. Lomas J: </w:t>
      </w:r>
      <w:r w:rsidRPr="008C5F26">
        <w:rPr>
          <w:b/>
          <w:bCs/>
          <w:noProof/>
          <w:sz w:val="20"/>
          <w:lang w:val="en-US"/>
        </w:rPr>
        <w:t>Using “Linkage and Exchange” to Move Research into Policy at a Canadian Foundation</w:t>
      </w:r>
      <w:r w:rsidRPr="008C5F26">
        <w:rPr>
          <w:noProof/>
          <w:sz w:val="20"/>
          <w:lang w:val="en-US"/>
        </w:rPr>
        <w:t xml:space="preserve">. </w:t>
      </w:r>
      <w:r w:rsidRPr="008C5F26">
        <w:rPr>
          <w:i/>
          <w:iCs/>
          <w:noProof/>
          <w:sz w:val="20"/>
          <w:lang w:val="en-US"/>
        </w:rPr>
        <w:t>Health Aff</w:t>
      </w:r>
      <w:r w:rsidRPr="008C5F26">
        <w:rPr>
          <w:noProof/>
          <w:sz w:val="20"/>
          <w:lang w:val="en-US"/>
        </w:rPr>
        <w:t xml:space="preserve"> 2000, </w:t>
      </w:r>
      <w:r w:rsidRPr="008C5F26">
        <w:rPr>
          <w:b/>
          <w:bCs/>
          <w:noProof/>
          <w:sz w:val="20"/>
          <w:lang w:val="en-US"/>
        </w:rPr>
        <w:t>19</w:t>
      </w:r>
      <w:r w:rsidRPr="008C5F26">
        <w:rPr>
          <w:noProof/>
          <w:sz w:val="20"/>
          <w:lang w:val="en-US"/>
        </w:rPr>
        <w:t>:236–240.</w:t>
      </w:r>
    </w:p>
    <w:p w:rsidR="00AB29EE" w:rsidRPr="008C5F26" w:rsidRDefault="00AB29EE">
      <w:pPr>
        <w:pStyle w:val="NormalWeb"/>
        <w:divId w:val="354695761"/>
        <w:rPr>
          <w:noProof/>
          <w:sz w:val="20"/>
          <w:lang w:val="en-US"/>
        </w:rPr>
      </w:pPr>
      <w:r w:rsidRPr="008C5F26">
        <w:rPr>
          <w:noProof/>
          <w:sz w:val="20"/>
          <w:lang w:val="en-US"/>
        </w:rPr>
        <w:t xml:space="preserve">3. Tetroe JM, Graham ID, Foy R, Robinson N, Eccles MP, Wensing M, Durieux P, Légaré F, Palmhøj Nielson C, Adily A, Ward JE, Porter C, Shea B, Grimshaw JM: </w:t>
      </w:r>
      <w:r w:rsidRPr="008C5F26">
        <w:rPr>
          <w:b/>
          <w:bCs/>
          <w:noProof/>
          <w:sz w:val="20"/>
          <w:lang w:val="en-US"/>
        </w:rPr>
        <w:t>Health Research Funding Agencies’ Support and Promotion of Knowledge Translation: An International Study.</w:t>
      </w:r>
      <w:r w:rsidRPr="008C5F26">
        <w:rPr>
          <w:noProof/>
          <w:sz w:val="20"/>
          <w:lang w:val="en-US"/>
        </w:rPr>
        <w:t xml:space="preserve"> </w:t>
      </w:r>
      <w:r w:rsidRPr="008C5F26">
        <w:rPr>
          <w:i/>
          <w:iCs/>
          <w:noProof/>
          <w:sz w:val="20"/>
          <w:lang w:val="en-US"/>
        </w:rPr>
        <w:t>Milbank Q</w:t>
      </w:r>
      <w:r w:rsidRPr="008C5F26">
        <w:rPr>
          <w:noProof/>
          <w:sz w:val="20"/>
          <w:lang w:val="en-US"/>
        </w:rPr>
        <w:t xml:space="preserve"> 2008, </w:t>
      </w:r>
      <w:r w:rsidRPr="008C5F26">
        <w:rPr>
          <w:b/>
          <w:bCs/>
          <w:noProof/>
          <w:sz w:val="20"/>
          <w:lang w:val="en-US"/>
        </w:rPr>
        <w:t>86</w:t>
      </w:r>
      <w:r w:rsidRPr="008C5F26">
        <w:rPr>
          <w:noProof/>
          <w:sz w:val="20"/>
          <w:lang w:val="en-US"/>
        </w:rPr>
        <w:t>:125–155.</w:t>
      </w:r>
    </w:p>
    <w:p w:rsidR="00AB29EE" w:rsidRPr="008C5F26" w:rsidRDefault="00AB29EE">
      <w:pPr>
        <w:pStyle w:val="NormalWeb"/>
        <w:divId w:val="354695761"/>
        <w:rPr>
          <w:noProof/>
          <w:sz w:val="20"/>
          <w:lang w:val="en-US"/>
        </w:rPr>
      </w:pPr>
      <w:r w:rsidRPr="00A310AC">
        <w:rPr>
          <w:noProof/>
          <w:sz w:val="20"/>
          <w:lang w:val="en-US"/>
        </w:rPr>
        <w:t xml:space="preserve">4. </w:t>
      </w:r>
      <w:r w:rsidR="00162F70" w:rsidRPr="00A310AC">
        <w:rPr>
          <w:noProof/>
          <w:sz w:val="20"/>
          <w:lang w:val="en-US"/>
        </w:rPr>
        <w:t xml:space="preserve">Socialdepartementet: </w:t>
      </w:r>
      <w:r w:rsidR="00387715" w:rsidRPr="00A310AC">
        <w:rPr>
          <w:i/>
          <w:iCs/>
          <w:noProof/>
          <w:sz w:val="20"/>
          <w:lang w:val="en-US"/>
        </w:rPr>
        <w:t>Hälso- och s</w:t>
      </w:r>
      <w:r w:rsidR="00162F70" w:rsidRPr="00A310AC">
        <w:rPr>
          <w:i/>
          <w:iCs/>
          <w:noProof/>
          <w:sz w:val="20"/>
          <w:lang w:val="en-US"/>
        </w:rPr>
        <w:t>jukvårdslag SFS 1982:763</w:t>
      </w:r>
      <w:r w:rsidR="00162F70" w:rsidRPr="00A310AC">
        <w:rPr>
          <w:noProof/>
          <w:sz w:val="20"/>
          <w:lang w:val="en-US"/>
        </w:rPr>
        <w:t xml:space="preserve">. </w:t>
      </w:r>
      <w:r w:rsidR="00162F70">
        <w:rPr>
          <w:noProof/>
          <w:sz w:val="20"/>
          <w:lang w:val="en-US"/>
        </w:rPr>
        <w:t>Stockholm; 1982</w:t>
      </w:r>
      <w:r w:rsidRPr="008C5F26">
        <w:rPr>
          <w:noProof/>
          <w:sz w:val="20"/>
          <w:lang w:val="en-US"/>
        </w:rPr>
        <w:t>.</w:t>
      </w:r>
    </w:p>
    <w:p w:rsidR="00AB29EE" w:rsidRPr="008C5F26" w:rsidRDefault="00AB29EE">
      <w:pPr>
        <w:pStyle w:val="NormalWeb"/>
        <w:divId w:val="354695761"/>
        <w:rPr>
          <w:noProof/>
          <w:sz w:val="20"/>
          <w:lang w:val="en-US"/>
        </w:rPr>
      </w:pPr>
      <w:r w:rsidRPr="008C5F26">
        <w:rPr>
          <w:noProof/>
          <w:sz w:val="20"/>
          <w:lang w:val="en-US"/>
        </w:rPr>
        <w:t xml:space="preserve">5. Thompson DF: </w:t>
      </w:r>
      <w:r w:rsidRPr="008C5F26">
        <w:rPr>
          <w:b/>
          <w:bCs/>
          <w:noProof/>
          <w:sz w:val="20"/>
          <w:lang w:val="en-US"/>
        </w:rPr>
        <w:t>Moral Responsibility of Public Officials: The Problem of Many Hands</w:t>
      </w:r>
      <w:r w:rsidRPr="008C5F26">
        <w:rPr>
          <w:noProof/>
          <w:sz w:val="20"/>
          <w:lang w:val="en-US"/>
        </w:rPr>
        <w:t xml:space="preserve">. </w:t>
      </w:r>
      <w:r w:rsidRPr="008C5F26">
        <w:rPr>
          <w:i/>
          <w:iCs/>
          <w:noProof/>
          <w:sz w:val="20"/>
          <w:lang w:val="en-US"/>
        </w:rPr>
        <w:t>Am Polit Sci Rev</w:t>
      </w:r>
      <w:r w:rsidRPr="008C5F26">
        <w:rPr>
          <w:noProof/>
          <w:sz w:val="20"/>
          <w:lang w:val="en-US"/>
        </w:rPr>
        <w:t xml:space="preserve"> 1980, </w:t>
      </w:r>
      <w:r w:rsidRPr="008C5F26">
        <w:rPr>
          <w:b/>
          <w:bCs/>
          <w:noProof/>
          <w:sz w:val="20"/>
          <w:lang w:val="en-US"/>
        </w:rPr>
        <w:t>74</w:t>
      </w:r>
      <w:r w:rsidRPr="008C5F26">
        <w:rPr>
          <w:noProof/>
          <w:sz w:val="20"/>
          <w:lang w:val="en-US"/>
        </w:rPr>
        <w:t>:905–916.</w:t>
      </w:r>
    </w:p>
    <w:p w:rsidR="00AB29EE" w:rsidRPr="008C5F26" w:rsidRDefault="00AB29EE">
      <w:pPr>
        <w:pStyle w:val="NormalWeb"/>
        <w:divId w:val="354695761"/>
        <w:rPr>
          <w:noProof/>
          <w:sz w:val="20"/>
          <w:lang w:val="en-US"/>
        </w:rPr>
      </w:pPr>
      <w:r w:rsidRPr="008C5F26">
        <w:rPr>
          <w:noProof/>
          <w:sz w:val="20"/>
          <w:lang w:val="en-US"/>
        </w:rPr>
        <w:t xml:space="preserve">6. Stone CD: </w:t>
      </w:r>
      <w:r w:rsidRPr="008C5F26">
        <w:rPr>
          <w:i/>
          <w:iCs/>
          <w:noProof/>
          <w:sz w:val="20"/>
          <w:lang w:val="en-US"/>
        </w:rPr>
        <w:t>Where the Law Ends: The Social Control of Corporate Behavior.</w:t>
      </w:r>
      <w:r w:rsidRPr="008C5F26">
        <w:rPr>
          <w:noProof/>
          <w:sz w:val="20"/>
          <w:lang w:val="en-US"/>
        </w:rPr>
        <w:t xml:space="preserve"> New York: Harper &amp; Row; 1975.</w:t>
      </w:r>
    </w:p>
    <w:p w:rsidR="00AB29EE" w:rsidRPr="008C5F26" w:rsidRDefault="00AB29EE">
      <w:pPr>
        <w:pStyle w:val="NormalWeb"/>
        <w:divId w:val="354695761"/>
        <w:rPr>
          <w:noProof/>
          <w:sz w:val="20"/>
          <w:lang w:val="en-US"/>
        </w:rPr>
      </w:pPr>
      <w:r w:rsidRPr="008C5F26">
        <w:rPr>
          <w:noProof/>
          <w:sz w:val="20"/>
          <w:lang w:val="en-US"/>
        </w:rPr>
        <w:t xml:space="preserve">7. Braithwaite J, Makkai T: </w:t>
      </w:r>
      <w:r w:rsidRPr="008C5F26">
        <w:rPr>
          <w:b/>
          <w:bCs/>
          <w:noProof/>
          <w:sz w:val="20"/>
          <w:lang w:val="en-US"/>
        </w:rPr>
        <w:t>Testing an Expected Utility Model of Corporate Deterrence</w:t>
      </w:r>
      <w:r w:rsidRPr="008C5F26">
        <w:rPr>
          <w:noProof/>
          <w:sz w:val="20"/>
          <w:lang w:val="en-US"/>
        </w:rPr>
        <w:t xml:space="preserve">. </w:t>
      </w:r>
      <w:r w:rsidRPr="008C5F26">
        <w:rPr>
          <w:i/>
          <w:iCs/>
          <w:noProof/>
          <w:sz w:val="20"/>
          <w:lang w:val="en-US"/>
        </w:rPr>
        <w:t>Law Soc Rev</w:t>
      </w:r>
      <w:r w:rsidRPr="008C5F26">
        <w:rPr>
          <w:noProof/>
          <w:sz w:val="20"/>
          <w:lang w:val="en-US"/>
        </w:rPr>
        <w:t xml:space="preserve"> 1991, </w:t>
      </w:r>
      <w:r w:rsidRPr="008C5F26">
        <w:rPr>
          <w:b/>
          <w:bCs/>
          <w:noProof/>
          <w:sz w:val="20"/>
          <w:lang w:val="en-US"/>
        </w:rPr>
        <w:t>25</w:t>
      </w:r>
      <w:r w:rsidRPr="008C5F26">
        <w:rPr>
          <w:noProof/>
          <w:sz w:val="20"/>
          <w:lang w:val="en-US"/>
        </w:rPr>
        <w:t>:7–40.</w:t>
      </w:r>
    </w:p>
    <w:p w:rsidR="00AB29EE" w:rsidRPr="008C5F26" w:rsidRDefault="00AB29EE">
      <w:pPr>
        <w:pStyle w:val="NormalWeb"/>
        <w:divId w:val="354695761"/>
        <w:rPr>
          <w:noProof/>
          <w:sz w:val="20"/>
          <w:lang w:val="en-US"/>
        </w:rPr>
      </w:pPr>
      <w:r w:rsidRPr="008C5F26">
        <w:rPr>
          <w:noProof/>
          <w:sz w:val="20"/>
          <w:lang w:val="en-US"/>
        </w:rPr>
        <w:t xml:space="preserve">8. Peters BG: </w:t>
      </w:r>
      <w:r w:rsidRPr="008C5F26">
        <w:rPr>
          <w:i/>
          <w:iCs/>
          <w:noProof/>
          <w:sz w:val="20"/>
          <w:lang w:val="en-US"/>
        </w:rPr>
        <w:t>The Politics of Bureaucracy.</w:t>
      </w:r>
      <w:r w:rsidRPr="008C5F26">
        <w:rPr>
          <w:noProof/>
          <w:sz w:val="20"/>
          <w:lang w:val="en-US"/>
        </w:rPr>
        <w:t xml:space="preserve"> 5th ed. London: Routledge; 2001.</w:t>
      </w:r>
    </w:p>
    <w:p w:rsidR="00AB29EE" w:rsidRPr="008C5F26" w:rsidRDefault="00AB29EE">
      <w:pPr>
        <w:pStyle w:val="NormalWeb"/>
        <w:divId w:val="354695761"/>
        <w:rPr>
          <w:noProof/>
          <w:sz w:val="20"/>
          <w:lang w:val="en-US"/>
        </w:rPr>
      </w:pPr>
      <w:r w:rsidRPr="008C5F26">
        <w:rPr>
          <w:noProof/>
          <w:sz w:val="20"/>
          <w:lang w:val="en-US"/>
        </w:rPr>
        <w:t xml:space="preserve">9. Jackall R: </w:t>
      </w:r>
      <w:r w:rsidRPr="008C5F26">
        <w:rPr>
          <w:i/>
          <w:iCs/>
          <w:noProof/>
          <w:sz w:val="20"/>
          <w:lang w:val="en-US"/>
        </w:rPr>
        <w:t>Moral Mazes: The World of Corporate Managers.</w:t>
      </w:r>
      <w:r w:rsidR="00A310AC">
        <w:rPr>
          <w:noProof/>
          <w:sz w:val="20"/>
          <w:lang w:val="en-US"/>
        </w:rPr>
        <w:t xml:space="preserve"> 20th ed</w:t>
      </w:r>
      <w:r w:rsidRPr="008C5F26">
        <w:rPr>
          <w:noProof/>
          <w:sz w:val="20"/>
          <w:lang w:val="en-US"/>
        </w:rPr>
        <w:t>. New York: Oxford University Press; 2010.</w:t>
      </w:r>
    </w:p>
    <w:p w:rsidR="00AB29EE" w:rsidRPr="008C5F26" w:rsidRDefault="00AB29EE">
      <w:pPr>
        <w:pStyle w:val="NormalWeb"/>
        <w:divId w:val="354695761"/>
        <w:rPr>
          <w:noProof/>
          <w:sz w:val="20"/>
          <w:lang w:val="en-US"/>
        </w:rPr>
      </w:pPr>
      <w:r w:rsidRPr="008C5F26">
        <w:rPr>
          <w:noProof/>
          <w:sz w:val="20"/>
          <w:lang w:val="en-US"/>
        </w:rPr>
        <w:t xml:space="preserve">10. Coffee JC: </w:t>
      </w:r>
      <w:r w:rsidRPr="008C5F26">
        <w:rPr>
          <w:b/>
          <w:bCs/>
          <w:noProof/>
          <w:sz w:val="20"/>
          <w:lang w:val="en-US"/>
        </w:rPr>
        <w:t>Beyond the Shut-Eyed Sentry: Toward a Theoretical View of Corporate Misconduct and an Effective Legal Response.</w:t>
      </w:r>
      <w:r w:rsidRPr="008C5F26">
        <w:rPr>
          <w:noProof/>
          <w:sz w:val="20"/>
          <w:lang w:val="en-US"/>
        </w:rPr>
        <w:t xml:space="preserve"> </w:t>
      </w:r>
      <w:r w:rsidRPr="008C5F26">
        <w:rPr>
          <w:i/>
          <w:iCs/>
          <w:noProof/>
          <w:sz w:val="20"/>
          <w:lang w:val="en-US"/>
        </w:rPr>
        <w:t>Va Law Rev</w:t>
      </w:r>
      <w:r w:rsidRPr="008C5F26">
        <w:rPr>
          <w:noProof/>
          <w:sz w:val="20"/>
          <w:lang w:val="en-US"/>
        </w:rPr>
        <w:t xml:space="preserve"> 1977, </w:t>
      </w:r>
      <w:r w:rsidRPr="008C5F26">
        <w:rPr>
          <w:b/>
          <w:bCs/>
          <w:noProof/>
          <w:sz w:val="20"/>
          <w:lang w:val="en-US"/>
        </w:rPr>
        <w:t>63</w:t>
      </w:r>
      <w:r w:rsidRPr="008C5F26">
        <w:rPr>
          <w:noProof/>
          <w:sz w:val="20"/>
          <w:lang w:val="en-US"/>
        </w:rPr>
        <w:t>:1099–1278.</w:t>
      </w:r>
    </w:p>
    <w:p w:rsidR="00AB29EE" w:rsidRPr="008C5F26" w:rsidRDefault="00AB29EE">
      <w:pPr>
        <w:pStyle w:val="NormalWeb"/>
        <w:divId w:val="354695761"/>
        <w:rPr>
          <w:noProof/>
          <w:sz w:val="20"/>
          <w:lang w:val="en-US"/>
        </w:rPr>
      </w:pPr>
      <w:r w:rsidRPr="008C5F26">
        <w:rPr>
          <w:noProof/>
          <w:sz w:val="20"/>
          <w:lang w:val="en-US"/>
        </w:rPr>
        <w:t xml:space="preserve">11. Bovens M: </w:t>
      </w:r>
      <w:r w:rsidRPr="008C5F26">
        <w:rPr>
          <w:i/>
          <w:iCs/>
          <w:noProof/>
          <w:sz w:val="20"/>
          <w:lang w:val="en-US"/>
        </w:rPr>
        <w:t>The Quest for Responsibility. Accountability and Citizenship in Complex Organisations</w:t>
      </w:r>
      <w:r w:rsidRPr="008C5F26">
        <w:rPr>
          <w:noProof/>
          <w:sz w:val="20"/>
          <w:lang w:val="en-US"/>
        </w:rPr>
        <w:t>. Cambridge: Cambridge University Press; 1998.</w:t>
      </w:r>
    </w:p>
    <w:p w:rsidR="00AB29EE" w:rsidRPr="008C5F26" w:rsidRDefault="00AB29EE">
      <w:pPr>
        <w:pStyle w:val="NormalWeb"/>
        <w:divId w:val="354695761"/>
        <w:rPr>
          <w:noProof/>
          <w:sz w:val="20"/>
          <w:lang w:val="en-US"/>
        </w:rPr>
      </w:pPr>
      <w:r w:rsidRPr="008C5F26">
        <w:rPr>
          <w:noProof/>
          <w:sz w:val="20"/>
          <w:lang w:val="en-US"/>
        </w:rPr>
        <w:t xml:space="preserve">12. MacIntyre A: </w:t>
      </w:r>
      <w:r w:rsidRPr="008C5F26">
        <w:rPr>
          <w:i/>
          <w:iCs/>
          <w:noProof/>
          <w:sz w:val="20"/>
          <w:lang w:val="en-US"/>
        </w:rPr>
        <w:t>After Virtue: A Study in Moral Theory</w:t>
      </w:r>
      <w:r w:rsidRPr="008C5F26">
        <w:rPr>
          <w:noProof/>
          <w:sz w:val="20"/>
          <w:lang w:val="en-US"/>
        </w:rPr>
        <w:t>. 3rd ed. Notre Dame: University of Notre Dame Press; 2007.</w:t>
      </w:r>
    </w:p>
    <w:p w:rsidR="00AB29EE" w:rsidRPr="008C5F26" w:rsidRDefault="00AB29EE">
      <w:pPr>
        <w:pStyle w:val="NormalWeb"/>
        <w:divId w:val="354695761"/>
        <w:rPr>
          <w:noProof/>
          <w:sz w:val="20"/>
          <w:lang w:val="en-US"/>
        </w:rPr>
      </w:pPr>
      <w:r w:rsidRPr="008C5F26">
        <w:rPr>
          <w:noProof/>
          <w:sz w:val="20"/>
          <w:lang w:val="en-US"/>
        </w:rPr>
        <w:t xml:space="preserve">13. Walsh WH: </w:t>
      </w:r>
      <w:r w:rsidRPr="008C5F26">
        <w:rPr>
          <w:b/>
          <w:bCs/>
          <w:noProof/>
          <w:sz w:val="20"/>
          <w:lang w:val="en-US"/>
        </w:rPr>
        <w:t>Pride, Shame and Responsibility.</w:t>
      </w:r>
      <w:r w:rsidRPr="008C5F26">
        <w:rPr>
          <w:noProof/>
          <w:sz w:val="20"/>
          <w:lang w:val="en-US"/>
        </w:rPr>
        <w:t xml:space="preserve"> </w:t>
      </w:r>
      <w:r w:rsidRPr="008C5F26">
        <w:rPr>
          <w:i/>
          <w:iCs/>
          <w:noProof/>
          <w:sz w:val="20"/>
          <w:lang w:val="en-US"/>
        </w:rPr>
        <w:t>Philos Q</w:t>
      </w:r>
      <w:r w:rsidRPr="008C5F26">
        <w:rPr>
          <w:noProof/>
          <w:sz w:val="20"/>
          <w:lang w:val="en-US"/>
        </w:rPr>
        <w:t xml:space="preserve"> 1970, </w:t>
      </w:r>
      <w:r w:rsidRPr="008C5F26">
        <w:rPr>
          <w:b/>
          <w:bCs/>
          <w:noProof/>
          <w:sz w:val="20"/>
          <w:lang w:val="en-US"/>
        </w:rPr>
        <w:t>20</w:t>
      </w:r>
      <w:r w:rsidRPr="008C5F26">
        <w:rPr>
          <w:noProof/>
          <w:sz w:val="20"/>
          <w:lang w:val="en-US"/>
        </w:rPr>
        <w:t>:1–13.</w:t>
      </w:r>
    </w:p>
    <w:p w:rsidR="00AB29EE" w:rsidRPr="008C5F26" w:rsidRDefault="00AB29EE">
      <w:pPr>
        <w:pStyle w:val="NormalWeb"/>
        <w:divId w:val="354695761"/>
        <w:rPr>
          <w:noProof/>
          <w:sz w:val="20"/>
          <w:lang w:val="en-US"/>
        </w:rPr>
      </w:pPr>
      <w:r w:rsidRPr="008C5F26">
        <w:rPr>
          <w:noProof/>
          <w:sz w:val="20"/>
          <w:lang w:val="en-US"/>
        </w:rPr>
        <w:t xml:space="preserve">14. Miller GJ: </w:t>
      </w:r>
      <w:r w:rsidRPr="008C5F26">
        <w:rPr>
          <w:b/>
          <w:bCs/>
          <w:noProof/>
          <w:sz w:val="20"/>
          <w:lang w:val="en-US"/>
        </w:rPr>
        <w:t>The Political Evolution of Principal-Agent Models.</w:t>
      </w:r>
      <w:r w:rsidRPr="008C5F26">
        <w:rPr>
          <w:noProof/>
          <w:sz w:val="20"/>
          <w:lang w:val="en-US"/>
        </w:rPr>
        <w:t xml:space="preserve"> </w:t>
      </w:r>
      <w:r w:rsidRPr="008C5F26">
        <w:rPr>
          <w:i/>
          <w:iCs/>
          <w:noProof/>
          <w:sz w:val="20"/>
          <w:lang w:val="en-US"/>
        </w:rPr>
        <w:t>Annu Rev Polit Sci</w:t>
      </w:r>
      <w:r w:rsidRPr="008C5F26">
        <w:rPr>
          <w:noProof/>
          <w:sz w:val="20"/>
          <w:lang w:val="en-US"/>
        </w:rPr>
        <w:t xml:space="preserve"> 2005, </w:t>
      </w:r>
      <w:r w:rsidRPr="008C5F26">
        <w:rPr>
          <w:b/>
          <w:bCs/>
          <w:noProof/>
          <w:sz w:val="20"/>
          <w:lang w:val="en-US"/>
        </w:rPr>
        <w:t>8</w:t>
      </w:r>
      <w:r w:rsidRPr="008C5F26">
        <w:rPr>
          <w:noProof/>
          <w:sz w:val="20"/>
          <w:lang w:val="en-US"/>
        </w:rPr>
        <w:t>:203–225.</w:t>
      </w:r>
    </w:p>
    <w:p w:rsidR="00AB29EE" w:rsidRPr="008C5F26" w:rsidRDefault="00AB29EE">
      <w:pPr>
        <w:pStyle w:val="NormalWeb"/>
        <w:divId w:val="354695761"/>
        <w:rPr>
          <w:noProof/>
          <w:sz w:val="20"/>
          <w:lang w:val="en-US"/>
        </w:rPr>
      </w:pPr>
      <w:r w:rsidRPr="008C5F26">
        <w:rPr>
          <w:noProof/>
          <w:sz w:val="20"/>
          <w:lang w:val="en-US"/>
        </w:rPr>
        <w:t xml:space="preserve">15. Waterman RW, Meier KJ: </w:t>
      </w:r>
      <w:r w:rsidRPr="008C5F26">
        <w:rPr>
          <w:b/>
          <w:bCs/>
          <w:noProof/>
          <w:sz w:val="20"/>
          <w:lang w:val="en-US"/>
        </w:rPr>
        <w:t>Principal-Agent Models: An Expansion?</w:t>
      </w:r>
      <w:r w:rsidRPr="008C5F26">
        <w:rPr>
          <w:noProof/>
          <w:sz w:val="20"/>
          <w:lang w:val="en-US"/>
        </w:rPr>
        <w:t xml:space="preserve">. </w:t>
      </w:r>
      <w:r w:rsidRPr="008C5F26">
        <w:rPr>
          <w:i/>
          <w:iCs/>
          <w:noProof/>
          <w:sz w:val="20"/>
          <w:lang w:val="en-US"/>
        </w:rPr>
        <w:t>J Public Adm Res Theory</w:t>
      </w:r>
      <w:r w:rsidRPr="008C5F26">
        <w:rPr>
          <w:noProof/>
          <w:sz w:val="20"/>
          <w:lang w:val="en-US"/>
        </w:rPr>
        <w:t xml:space="preserve"> 1998, </w:t>
      </w:r>
      <w:r w:rsidRPr="008C5F26">
        <w:rPr>
          <w:b/>
          <w:bCs/>
          <w:noProof/>
          <w:sz w:val="20"/>
          <w:lang w:val="en-US"/>
        </w:rPr>
        <w:t>8</w:t>
      </w:r>
      <w:r w:rsidRPr="008C5F26">
        <w:rPr>
          <w:noProof/>
          <w:sz w:val="20"/>
          <w:lang w:val="en-US"/>
        </w:rPr>
        <w:t>:173–202.</w:t>
      </w:r>
    </w:p>
    <w:p w:rsidR="00AB29EE" w:rsidRPr="008C5F26" w:rsidRDefault="00AB29EE">
      <w:pPr>
        <w:pStyle w:val="NormalWeb"/>
        <w:divId w:val="354695761"/>
        <w:rPr>
          <w:noProof/>
          <w:sz w:val="20"/>
          <w:lang w:val="en-US"/>
        </w:rPr>
      </w:pPr>
      <w:r w:rsidRPr="008C5F26">
        <w:rPr>
          <w:noProof/>
          <w:sz w:val="20"/>
          <w:lang w:val="en-US"/>
        </w:rPr>
        <w:t xml:space="preserve">16. Van Slyke DM: </w:t>
      </w:r>
      <w:r w:rsidRPr="008C5F26">
        <w:rPr>
          <w:b/>
          <w:bCs/>
          <w:noProof/>
          <w:sz w:val="20"/>
          <w:lang w:val="en-US"/>
        </w:rPr>
        <w:t>Agents or Stewards: Using Theory to Understand the Government-Nonprofit Social Service Contracting Relationship</w:t>
      </w:r>
      <w:r w:rsidRPr="008C5F26">
        <w:rPr>
          <w:noProof/>
          <w:sz w:val="20"/>
          <w:lang w:val="en-US"/>
        </w:rPr>
        <w:t xml:space="preserve">. </w:t>
      </w:r>
      <w:r w:rsidRPr="008C5F26">
        <w:rPr>
          <w:i/>
          <w:iCs/>
          <w:noProof/>
          <w:sz w:val="20"/>
          <w:lang w:val="en-US"/>
        </w:rPr>
        <w:t>J Public Adm Res Theory</w:t>
      </w:r>
      <w:r w:rsidRPr="008C5F26">
        <w:rPr>
          <w:noProof/>
          <w:sz w:val="20"/>
          <w:lang w:val="en-US"/>
        </w:rPr>
        <w:t xml:space="preserve"> 2007, </w:t>
      </w:r>
      <w:r w:rsidRPr="008C5F26">
        <w:rPr>
          <w:b/>
          <w:bCs/>
          <w:noProof/>
          <w:sz w:val="20"/>
          <w:lang w:val="en-US"/>
        </w:rPr>
        <w:t>17</w:t>
      </w:r>
      <w:r w:rsidRPr="008C5F26">
        <w:rPr>
          <w:noProof/>
          <w:sz w:val="20"/>
          <w:lang w:val="en-US"/>
        </w:rPr>
        <w:t>:157–187.</w:t>
      </w:r>
    </w:p>
    <w:p w:rsidR="00AB29EE" w:rsidRPr="008C5F26" w:rsidRDefault="00AB29EE">
      <w:pPr>
        <w:pStyle w:val="NormalWeb"/>
        <w:divId w:val="354695761"/>
        <w:rPr>
          <w:noProof/>
          <w:sz w:val="20"/>
          <w:lang w:val="en-US"/>
        </w:rPr>
      </w:pPr>
      <w:r w:rsidRPr="008C5F26">
        <w:rPr>
          <w:noProof/>
          <w:sz w:val="20"/>
          <w:lang w:val="en-US"/>
        </w:rPr>
        <w:t xml:space="preserve">17. Moe TM: </w:t>
      </w:r>
      <w:r w:rsidRPr="008C5F26">
        <w:rPr>
          <w:b/>
          <w:bCs/>
          <w:noProof/>
          <w:sz w:val="20"/>
          <w:lang w:val="en-US"/>
        </w:rPr>
        <w:t>The New Economics of Organization</w:t>
      </w:r>
      <w:r w:rsidRPr="008C5F26">
        <w:rPr>
          <w:noProof/>
          <w:sz w:val="20"/>
          <w:lang w:val="en-US"/>
        </w:rPr>
        <w:t xml:space="preserve">. </w:t>
      </w:r>
      <w:r w:rsidRPr="008C5F26">
        <w:rPr>
          <w:i/>
          <w:iCs/>
          <w:noProof/>
          <w:sz w:val="20"/>
          <w:lang w:val="en-US"/>
        </w:rPr>
        <w:t>Am J Pol Sci</w:t>
      </w:r>
      <w:r w:rsidRPr="008C5F26">
        <w:rPr>
          <w:noProof/>
          <w:sz w:val="20"/>
          <w:lang w:val="en-US"/>
        </w:rPr>
        <w:t xml:space="preserve"> 1984, </w:t>
      </w:r>
      <w:r w:rsidRPr="008C5F26">
        <w:rPr>
          <w:b/>
          <w:bCs/>
          <w:noProof/>
          <w:sz w:val="20"/>
          <w:lang w:val="en-US"/>
        </w:rPr>
        <w:t>28</w:t>
      </w:r>
      <w:r w:rsidRPr="008C5F26">
        <w:rPr>
          <w:noProof/>
          <w:sz w:val="20"/>
          <w:lang w:val="en-US"/>
        </w:rPr>
        <w:t>:739–777.</w:t>
      </w:r>
    </w:p>
    <w:p w:rsidR="00AB29EE" w:rsidRPr="00AB29EE" w:rsidRDefault="00AB29EE">
      <w:pPr>
        <w:pStyle w:val="NormalWeb"/>
        <w:divId w:val="354695761"/>
        <w:rPr>
          <w:noProof/>
          <w:sz w:val="20"/>
        </w:rPr>
      </w:pPr>
      <w:r w:rsidRPr="008C5F26">
        <w:rPr>
          <w:noProof/>
          <w:sz w:val="20"/>
          <w:lang w:val="en-US"/>
        </w:rPr>
        <w:lastRenderedPageBreak/>
        <w:t xml:space="preserve">18. Tomkins C: </w:t>
      </w:r>
      <w:r w:rsidRPr="008C5F26">
        <w:rPr>
          <w:b/>
          <w:bCs/>
          <w:noProof/>
          <w:sz w:val="20"/>
          <w:lang w:val="en-US"/>
        </w:rPr>
        <w:t>Interdependencies, trust and information in relationships, alliances and networks</w:t>
      </w:r>
      <w:r w:rsidRPr="008C5F26">
        <w:rPr>
          <w:noProof/>
          <w:sz w:val="20"/>
          <w:lang w:val="en-US"/>
        </w:rPr>
        <w:t xml:space="preserve">. </w:t>
      </w:r>
      <w:r w:rsidRPr="00AB29EE">
        <w:rPr>
          <w:i/>
          <w:iCs/>
          <w:noProof/>
          <w:sz w:val="20"/>
        </w:rPr>
        <w:t>Accounting, Organ Soc</w:t>
      </w:r>
      <w:r w:rsidRPr="00AB29EE">
        <w:rPr>
          <w:noProof/>
          <w:sz w:val="20"/>
        </w:rPr>
        <w:t xml:space="preserve"> 2001, </w:t>
      </w:r>
      <w:r w:rsidRPr="00AB29EE">
        <w:rPr>
          <w:b/>
          <w:bCs/>
          <w:noProof/>
          <w:sz w:val="20"/>
        </w:rPr>
        <w:t>26</w:t>
      </w:r>
      <w:r w:rsidRPr="00AB29EE">
        <w:rPr>
          <w:noProof/>
          <w:sz w:val="20"/>
        </w:rPr>
        <w:t xml:space="preserve">:161–191. </w:t>
      </w:r>
    </w:p>
    <w:p w:rsidR="00727BCD" w:rsidRPr="00B564E1" w:rsidRDefault="00087A11" w:rsidP="00AB29EE">
      <w:pPr>
        <w:pStyle w:val="NormalWeb"/>
        <w:divId w:val="272252026"/>
        <w:rPr>
          <w:lang w:val="en-US"/>
        </w:rPr>
      </w:pPr>
      <w:r w:rsidRPr="00F56CE8">
        <w:rPr>
          <w:sz w:val="20"/>
          <w:szCs w:val="20"/>
          <w:lang w:val="en-US"/>
        </w:rPr>
        <w:fldChar w:fldCharType="end"/>
      </w:r>
    </w:p>
    <w:sectPr w:rsidR="00727BCD" w:rsidRPr="00B564E1" w:rsidSect="00087A11">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75A" w:rsidRDefault="00F6075A" w:rsidP="002E00C0">
      <w:pPr>
        <w:spacing w:after="0" w:line="240" w:lineRule="auto"/>
      </w:pPr>
      <w:r>
        <w:separator/>
      </w:r>
    </w:p>
  </w:endnote>
  <w:endnote w:type="continuationSeparator" w:id="0">
    <w:p w:rsidR="00F6075A" w:rsidRDefault="00F6075A" w:rsidP="002E00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7346791"/>
      <w:docPartObj>
        <w:docPartGallery w:val="Page Numbers (Bottom of Page)"/>
        <w:docPartUnique/>
      </w:docPartObj>
    </w:sdtPr>
    <w:sdtContent>
      <w:p w:rsidR="00F6075A" w:rsidRDefault="00087A11">
        <w:pPr>
          <w:pStyle w:val="Footer"/>
          <w:jc w:val="right"/>
        </w:pPr>
        <w:r>
          <w:fldChar w:fldCharType="begin"/>
        </w:r>
        <w:r w:rsidR="00F6075A">
          <w:instrText>PAGE   \* MERGEFORMAT</w:instrText>
        </w:r>
        <w:r>
          <w:fldChar w:fldCharType="separate"/>
        </w:r>
        <w:r w:rsidR="00B86A72">
          <w:rPr>
            <w:noProof/>
          </w:rPr>
          <w:t>1</w:t>
        </w:r>
        <w:r>
          <w:fldChar w:fldCharType="end"/>
        </w:r>
      </w:p>
    </w:sdtContent>
  </w:sdt>
  <w:p w:rsidR="00F6075A" w:rsidRDefault="00F607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75A" w:rsidRDefault="00F6075A" w:rsidP="002E00C0">
      <w:pPr>
        <w:spacing w:after="0" w:line="240" w:lineRule="auto"/>
      </w:pPr>
      <w:r>
        <w:separator/>
      </w:r>
    </w:p>
  </w:footnote>
  <w:footnote w:type="continuationSeparator" w:id="0">
    <w:p w:rsidR="00F6075A" w:rsidRDefault="00F6075A" w:rsidP="002E00C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1304"/>
  <w:hyphenationZone w:val="425"/>
  <w:characterSpacingControl w:val="doNotCompress"/>
  <w:footnotePr>
    <w:footnote w:id="-1"/>
    <w:footnote w:id="0"/>
  </w:footnotePr>
  <w:endnotePr>
    <w:endnote w:id="-1"/>
    <w:endnote w:id="0"/>
  </w:endnotePr>
  <w:compat/>
  <w:rsids>
    <w:rsidRoot w:val="00B564E1"/>
    <w:rsid w:val="00087A11"/>
    <w:rsid w:val="001429AC"/>
    <w:rsid w:val="00162F70"/>
    <w:rsid w:val="00267FCE"/>
    <w:rsid w:val="00284174"/>
    <w:rsid w:val="002D63D3"/>
    <w:rsid w:val="002E00C0"/>
    <w:rsid w:val="00387715"/>
    <w:rsid w:val="003B77CA"/>
    <w:rsid w:val="004F52EB"/>
    <w:rsid w:val="00602B9A"/>
    <w:rsid w:val="00727BCD"/>
    <w:rsid w:val="00863858"/>
    <w:rsid w:val="008C5F26"/>
    <w:rsid w:val="009C04EF"/>
    <w:rsid w:val="00A310AC"/>
    <w:rsid w:val="00A44072"/>
    <w:rsid w:val="00AB29EE"/>
    <w:rsid w:val="00B564E1"/>
    <w:rsid w:val="00B868D6"/>
    <w:rsid w:val="00B86A72"/>
    <w:rsid w:val="00CE64F4"/>
    <w:rsid w:val="00E66F33"/>
    <w:rsid w:val="00E91008"/>
    <w:rsid w:val="00F56CE8"/>
    <w:rsid w:val="00F6075A"/>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4E1"/>
    <w:rPr>
      <w:rFonts w:eastAsiaTheme="minorEastAsia"/>
      <w:lang w:eastAsia="sv-SE"/>
    </w:rPr>
  </w:style>
  <w:style w:type="paragraph" w:styleId="Heading1">
    <w:name w:val="heading 1"/>
    <w:basedOn w:val="Normal"/>
    <w:next w:val="Normal"/>
    <w:link w:val="Heading1Char"/>
    <w:uiPriority w:val="9"/>
    <w:qFormat/>
    <w:rsid w:val="00B564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564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4E1"/>
    <w:rPr>
      <w:rFonts w:asciiTheme="majorHAnsi" w:eastAsiaTheme="majorEastAsia" w:hAnsiTheme="majorHAnsi" w:cstheme="majorBidi"/>
      <w:b/>
      <w:bCs/>
      <w:color w:val="365F91" w:themeColor="accent1" w:themeShade="BF"/>
      <w:sz w:val="28"/>
      <w:szCs w:val="28"/>
      <w:lang w:eastAsia="sv-SE"/>
    </w:rPr>
  </w:style>
  <w:style w:type="character" w:customStyle="1" w:styleId="Heading2Char">
    <w:name w:val="Heading 2 Char"/>
    <w:basedOn w:val="DefaultParagraphFont"/>
    <w:link w:val="Heading2"/>
    <w:uiPriority w:val="9"/>
    <w:rsid w:val="00B564E1"/>
    <w:rPr>
      <w:rFonts w:asciiTheme="majorHAnsi" w:eastAsiaTheme="majorEastAsia" w:hAnsiTheme="majorHAnsi" w:cstheme="majorBidi"/>
      <w:b/>
      <w:bCs/>
      <w:color w:val="4F81BD" w:themeColor="accent1"/>
      <w:sz w:val="26"/>
      <w:szCs w:val="26"/>
      <w:lang w:eastAsia="sv-SE"/>
    </w:rPr>
  </w:style>
  <w:style w:type="paragraph" w:styleId="NormalWeb">
    <w:name w:val="Normal (Web)"/>
    <w:basedOn w:val="Normal"/>
    <w:uiPriority w:val="99"/>
    <w:unhideWhenUsed/>
    <w:rsid w:val="009C04EF"/>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2E00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00C0"/>
    <w:rPr>
      <w:rFonts w:eastAsiaTheme="minorEastAsia"/>
      <w:lang w:eastAsia="sv-SE"/>
    </w:rPr>
  </w:style>
  <w:style w:type="paragraph" w:styleId="Footer">
    <w:name w:val="footer"/>
    <w:basedOn w:val="Normal"/>
    <w:link w:val="FooterChar"/>
    <w:uiPriority w:val="99"/>
    <w:unhideWhenUsed/>
    <w:rsid w:val="002E00C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00C0"/>
    <w:rPr>
      <w:rFonts w:eastAsiaTheme="minorEastAsia"/>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4E1"/>
    <w:rPr>
      <w:rFonts w:eastAsiaTheme="minorEastAsia"/>
      <w:lang w:eastAsia="sv-SE"/>
    </w:rPr>
  </w:style>
  <w:style w:type="paragraph" w:styleId="Rubrik1">
    <w:name w:val="heading 1"/>
    <w:basedOn w:val="Normal"/>
    <w:next w:val="Normal"/>
    <w:link w:val="Rubrik1Char"/>
    <w:uiPriority w:val="9"/>
    <w:qFormat/>
    <w:rsid w:val="00B564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B564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564E1"/>
    <w:rPr>
      <w:rFonts w:asciiTheme="majorHAnsi" w:eastAsiaTheme="majorEastAsia" w:hAnsiTheme="majorHAnsi" w:cstheme="majorBidi"/>
      <w:b/>
      <w:bCs/>
      <w:color w:val="365F91" w:themeColor="accent1" w:themeShade="BF"/>
      <w:sz w:val="28"/>
      <w:szCs w:val="28"/>
      <w:lang w:eastAsia="sv-SE"/>
    </w:rPr>
  </w:style>
  <w:style w:type="character" w:customStyle="1" w:styleId="Rubrik2Char">
    <w:name w:val="Rubrik 2 Char"/>
    <w:basedOn w:val="Standardstycketeckensnitt"/>
    <w:link w:val="Rubrik2"/>
    <w:uiPriority w:val="9"/>
    <w:rsid w:val="00B564E1"/>
    <w:rPr>
      <w:rFonts w:asciiTheme="majorHAnsi" w:eastAsiaTheme="majorEastAsia" w:hAnsiTheme="majorHAnsi" w:cstheme="majorBidi"/>
      <w:b/>
      <w:bCs/>
      <w:color w:val="4F81BD" w:themeColor="accent1"/>
      <w:sz w:val="26"/>
      <w:szCs w:val="26"/>
      <w:lang w:eastAsia="sv-SE"/>
    </w:rPr>
  </w:style>
  <w:style w:type="paragraph" w:styleId="Normalwebb">
    <w:name w:val="Normal (Web)"/>
    <w:basedOn w:val="Normal"/>
    <w:uiPriority w:val="99"/>
    <w:unhideWhenUsed/>
    <w:rsid w:val="009C04EF"/>
    <w:pPr>
      <w:spacing w:before="100" w:beforeAutospacing="1" w:after="100" w:afterAutospacing="1" w:line="240" w:lineRule="auto"/>
    </w:pPr>
    <w:rPr>
      <w:rFonts w:ascii="Times New Roman" w:hAnsi="Times New Roman" w:cs="Times New Roman"/>
      <w:sz w:val="24"/>
      <w:szCs w:val="24"/>
    </w:rPr>
  </w:style>
  <w:style w:type="paragraph" w:styleId="Sidhuvud">
    <w:name w:val="header"/>
    <w:basedOn w:val="Normal"/>
    <w:link w:val="SidhuvudChar"/>
    <w:uiPriority w:val="99"/>
    <w:unhideWhenUsed/>
    <w:rsid w:val="002E00C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E00C0"/>
    <w:rPr>
      <w:rFonts w:eastAsiaTheme="minorEastAsia"/>
      <w:lang w:eastAsia="sv-SE"/>
    </w:rPr>
  </w:style>
  <w:style w:type="paragraph" w:styleId="Sidfot">
    <w:name w:val="footer"/>
    <w:basedOn w:val="Normal"/>
    <w:link w:val="SidfotChar"/>
    <w:uiPriority w:val="99"/>
    <w:unhideWhenUsed/>
    <w:rsid w:val="002E00C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E00C0"/>
    <w:rPr>
      <w:rFonts w:eastAsiaTheme="minorEastAsia"/>
      <w:lang w:eastAsia="sv-SE"/>
    </w:rPr>
  </w:style>
</w:styles>
</file>

<file path=word/webSettings.xml><?xml version="1.0" encoding="utf-8"?>
<w:webSettings xmlns:r="http://schemas.openxmlformats.org/officeDocument/2006/relationships" xmlns:w="http://schemas.openxmlformats.org/wordprocessingml/2006/main">
  <w:divs>
    <w:div w:id="294869474">
      <w:bodyDiv w:val="1"/>
      <w:marLeft w:val="0"/>
      <w:marRight w:val="0"/>
      <w:marTop w:val="0"/>
      <w:marBottom w:val="0"/>
      <w:divBdr>
        <w:top w:val="none" w:sz="0" w:space="0" w:color="auto"/>
        <w:left w:val="none" w:sz="0" w:space="0" w:color="auto"/>
        <w:bottom w:val="none" w:sz="0" w:space="0" w:color="auto"/>
        <w:right w:val="none" w:sz="0" w:space="0" w:color="auto"/>
      </w:divBdr>
      <w:divsChild>
        <w:div w:id="2108579970">
          <w:marLeft w:val="0"/>
          <w:marRight w:val="0"/>
          <w:marTop w:val="0"/>
          <w:marBottom w:val="0"/>
          <w:divBdr>
            <w:top w:val="none" w:sz="0" w:space="0" w:color="auto"/>
            <w:left w:val="none" w:sz="0" w:space="0" w:color="auto"/>
            <w:bottom w:val="none" w:sz="0" w:space="0" w:color="auto"/>
            <w:right w:val="none" w:sz="0" w:space="0" w:color="auto"/>
          </w:divBdr>
          <w:divsChild>
            <w:div w:id="1551114267">
              <w:marLeft w:val="0"/>
              <w:marRight w:val="0"/>
              <w:marTop w:val="0"/>
              <w:marBottom w:val="0"/>
              <w:divBdr>
                <w:top w:val="none" w:sz="0" w:space="0" w:color="auto"/>
                <w:left w:val="none" w:sz="0" w:space="0" w:color="auto"/>
                <w:bottom w:val="none" w:sz="0" w:space="0" w:color="auto"/>
                <w:right w:val="none" w:sz="0" w:space="0" w:color="auto"/>
              </w:divBdr>
              <w:divsChild>
                <w:div w:id="272252026">
                  <w:marLeft w:val="0"/>
                  <w:marRight w:val="0"/>
                  <w:marTop w:val="0"/>
                  <w:marBottom w:val="0"/>
                  <w:divBdr>
                    <w:top w:val="none" w:sz="0" w:space="0" w:color="auto"/>
                    <w:left w:val="none" w:sz="0" w:space="0" w:color="auto"/>
                    <w:bottom w:val="none" w:sz="0" w:space="0" w:color="auto"/>
                    <w:right w:val="none" w:sz="0" w:space="0" w:color="auto"/>
                  </w:divBdr>
                  <w:divsChild>
                    <w:div w:id="35469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96556-224B-4B7C-9D12-A4F8A737C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3786</Words>
  <Characters>21581</Characters>
  <Application>Microsoft Office Word</Application>
  <DocSecurity>0</DocSecurity>
  <Lines>179</Lines>
  <Paragraphs>50</Paragraphs>
  <ScaleCrop>false</ScaleCrop>
  <HeadingPairs>
    <vt:vector size="2" baseType="variant">
      <vt:variant>
        <vt:lpstr>Rubrik</vt:lpstr>
      </vt:variant>
      <vt:variant>
        <vt:i4>1</vt:i4>
      </vt:variant>
    </vt:vector>
  </HeadingPairs>
  <TitlesOfParts>
    <vt:vector size="1" baseType="lpstr">
      <vt:lpstr/>
    </vt:vector>
  </TitlesOfParts>
  <Company>Uppsala universitet</Company>
  <LinksUpToDate>false</LinksUpToDate>
  <CharactersWithSpaces>25317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Brantnell</dc:creator>
  <cp:lastModifiedBy>ltachado</cp:lastModifiedBy>
  <cp:revision>8</cp:revision>
  <dcterms:created xsi:type="dcterms:W3CDTF">2015-05-27T13:05:00Z</dcterms:created>
  <dcterms:modified xsi:type="dcterms:W3CDTF">2015-07-09T13:06:00Z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anders.brantnell@pubcare.uu.se@www.mendeley.com</vt:lpwstr>
  </property>
  <property fmtid="{D5CDD505-2E9C-101B-9397-08002B2CF9AE}" pid="4" name="Mendeley Citation Style_1">
    <vt:lpwstr>http://www.zotero.org/styles/bmc-bioinformatics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http://www.zotero.org/styles/bmc-bioinformatics</vt:lpwstr>
  </property>
  <property fmtid="{D5CDD505-2E9C-101B-9397-08002B2CF9AE}" pid="12" name="Mendeley Recent Style Name 3_1">
    <vt:lpwstr>BMC Bioinformatics</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