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991" w:rsidRPr="00C24991" w:rsidRDefault="00C24991" w:rsidP="00C24991">
      <w:pPr>
        <w:spacing w:line="360" w:lineRule="auto"/>
        <w:rPr>
          <w:rFonts w:ascii="Arial" w:hAnsi="Arial" w:cs="Arial"/>
          <w:sz w:val="22"/>
          <w:szCs w:val="22"/>
        </w:rPr>
      </w:pPr>
      <w:r>
        <w:rPr>
          <w:rFonts w:ascii="Arial" w:hAnsi="Arial" w:cs="Arial"/>
          <w:b/>
          <w:sz w:val="22"/>
          <w:szCs w:val="22"/>
        </w:rPr>
        <w:t>Supplementary T</w:t>
      </w:r>
      <w:r w:rsidRPr="00C24991">
        <w:rPr>
          <w:rFonts w:ascii="Arial" w:hAnsi="Arial" w:cs="Arial"/>
          <w:b/>
          <w:sz w:val="22"/>
          <w:szCs w:val="22"/>
        </w:rPr>
        <w:t>able 1:</w:t>
      </w:r>
      <w:r w:rsidRPr="00C24991">
        <w:rPr>
          <w:rFonts w:ascii="Arial" w:hAnsi="Arial" w:cs="Arial"/>
          <w:b/>
          <w:sz w:val="22"/>
          <w:szCs w:val="22"/>
        </w:rPr>
        <w:tab/>
      </w:r>
      <w:r w:rsidRPr="00C24991">
        <w:rPr>
          <w:rFonts w:ascii="Arial" w:hAnsi="Arial" w:cs="Arial"/>
          <w:sz w:val="22"/>
          <w:szCs w:val="22"/>
        </w:rPr>
        <w:t>Summary of characteristics of studies describing concepts, theories and models of scaling up public health action</w:t>
      </w:r>
    </w:p>
    <w:tbl>
      <w:tblPr>
        <w:tblW w:w="14567"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242"/>
        <w:gridCol w:w="1560"/>
        <w:gridCol w:w="1842"/>
        <w:gridCol w:w="3686"/>
        <w:gridCol w:w="1559"/>
        <w:gridCol w:w="4678"/>
      </w:tblGrid>
      <w:tr w:rsidR="00C24991" w:rsidRPr="00C24991" w:rsidTr="00A2579A">
        <w:trPr>
          <w:tblHeader/>
        </w:trPr>
        <w:tc>
          <w:tcPr>
            <w:tcW w:w="1242" w:type="dxa"/>
            <w:shd w:val="clear" w:color="auto" w:fill="EEECE1" w:themeFill="background2"/>
          </w:tcPr>
          <w:p w:rsidR="00C24991" w:rsidRPr="00C24991" w:rsidRDefault="00C24991" w:rsidP="00A2579A">
            <w:pPr>
              <w:rPr>
                <w:rFonts w:ascii="Arial" w:hAnsi="Arial" w:cs="Arial"/>
                <w:b/>
                <w:sz w:val="20"/>
                <w:szCs w:val="20"/>
              </w:rPr>
            </w:pPr>
            <w:r w:rsidRPr="00C24991">
              <w:rPr>
                <w:rFonts w:ascii="Arial" w:hAnsi="Arial" w:cs="Arial"/>
                <w:b/>
                <w:sz w:val="20"/>
                <w:szCs w:val="20"/>
              </w:rPr>
              <w:t>Reference</w:t>
            </w:r>
          </w:p>
        </w:tc>
        <w:tc>
          <w:tcPr>
            <w:tcW w:w="1560" w:type="dxa"/>
            <w:shd w:val="clear" w:color="auto" w:fill="EEECE1" w:themeFill="background2"/>
          </w:tcPr>
          <w:p w:rsidR="00C24991" w:rsidRPr="00C24991" w:rsidRDefault="00C24991" w:rsidP="00A2579A">
            <w:pPr>
              <w:rPr>
                <w:rFonts w:ascii="Arial" w:hAnsi="Arial" w:cs="Arial"/>
                <w:b/>
                <w:sz w:val="20"/>
                <w:szCs w:val="20"/>
              </w:rPr>
            </w:pPr>
            <w:r w:rsidRPr="00C24991">
              <w:rPr>
                <w:rFonts w:ascii="Arial" w:hAnsi="Arial" w:cs="Arial"/>
                <w:b/>
                <w:sz w:val="20"/>
                <w:szCs w:val="20"/>
              </w:rPr>
              <w:t>Study type</w:t>
            </w:r>
          </w:p>
        </w:tc>
        <w:tc>
          <w:tcPr>
            <w:tcW w:w="1842" w:type="dxa"/>
            <w:shd w:val="clear" w:color="auto" w:fill="EEECE1" w:themeFill="background2"/>
          </w:tcPr>
          <w:p w:rsidR="00C24991" w:rsidRPr="00C24991" w:rsidRDefault="00C24991" w:rsidP="00A2579A">
            <w:pPr>
              <w:rPr>
                <w:rFonts w:ascii="Arial" w:hAnsi="Arial" w:cs="Arial"/>
                <w:b/>
                <w:sz w:val="20"/>
                <w:szCs w:val="20"/>
              </w:rPr>
            </w:pPr>
            <w:r w:rsidRPr="00C24991">
              <w:rPr>
                <w:rFonts w:ascii="Arial" w:hAnsi="Arial" w:cs="Arial"/>
                <w:b/>
                <w:sz w:val="20"/>
                <w:szCs w:val="20"/>
              </w:rPr>
              <w:t>Concepts, theories used or proposed</w:t>
            </w:r>
          </w:p>
        </w:tc>
        <w:tc>
          <w:tcPr>
            <w:tcW w:w="3686" w:type="dxa"/>
            <w:shd w:val="clear" w:color="auto" w:fill="EEECE1" w:themeFill="background2"/>
          </w:tcPr>
          <w:p w:rsidR="00C24991" w:rsidRPr="00C24991" w:rsidRDefault="00C24991" w:rsidP="00A2579A">
            <w:pPr>
              <w:rPr>
                <w:rFonts w:ascii="Arial" w:hAnsi="Arial" w:cs="Arial"/>
                <w:b/>
                <w:sz w:val="20"/>
                <w:szCs w:val="20"/>
              </w:rPr>
            </w:pPr>
            <w:r w:rsidRPr="00C24991">
              <w:rPr>
                <w:rFonts w:ascii="Arial" w:hAnsi="Arial" w:cs="Arial"/>
                <w:b/>
                <w:sz w:val="20"/>
                <w:szCs w:val="20"/>
              </w:rPr>
              <w:t xml:space="preserve">Key concepts, elements of the model or framework </w:t>
            </w:r>
          </w:p>
        </w:tc>
        <w:tc>
          <w:tcPr>
            <w:tcW w:w="1559" w:type="dxa"/>
            <w:shd w:val="clear" w:color="auto" w:fill="EEECE1" w:themeFill="background2"/>
          </w:tcPr>
          <w:p w:rsidR="00C24991" w:rsidRPr="00C24991" w:rsidRDefault="00C24991" w:rsidP="00A2579A">
            <w:pPr>
              <w:rPr>
                <w:rFonts w:ascii="Arial" w:hAnsi="Arial" w:cs="Arial"/>
                <w:b/>
                <w:sz w:val="20"/>
                <w:szCs w:val="20"/>
              </w:rPr>
            </w:pPr>
            <w:r w:rsidRPr="00C24991">
              <w:rPr>
                <w:rFonts w:ascii="Arial" w:hAnsi="Arial" w:cs="Arial"/>
                <w:b/>
                <w:sz w:val="20"/>
                <w:szCs w:val="20"/>
              </w:rPr>
              <w:t>Context</w:t>
            </w:r>
          </w:p>
        </w:tc>
        <w:tc>
          <w:tcPr>
            <w:tcW w:w="4678" w:type="dxa"/>
            <w:shd w:val="clear" w:color="auto" w:fill="EEECE1" w:themeFill="background2"/>
          </w:tcPr>
          <w:p w:rsidR="00C24991" w:rsidRPr="00C24991" w:rsidRDefault="00C24991" w:rsidP="00A2579A">
            <w:pPr>
              <w:rPr>
                <w:rFonts w:ascii="Arial" w:hAnsi="Arial" w:cs="Arial"/>
                <w:b/>
                <w:sz w:val="20"/>
                <w:szCs w:val="20"/>
              </w:rPr>
            </w:pPr>
            <w:r w:rsidRPr="00C24991">
              <w:rPr>
                <w:rFonts w:ascii="Arial" w:hAnsi="Arial" w:cs="Arial"/>
                <w:b/>
                <w:sz w:val="20"/>
                <w:szCs w:val="20"/>
              </w:rPr>
              <w:t>Success factors &amp; important findings</w:t>
            </w:r>
          </w:p>
        </w:tc>
      </w:tr>
      <w:tr w:rsidR="00C24991" w:rsidRPr="00C24991" w:rsidTr="00A2579A">
        <w:tc>
          <w:tcPr>
            <w:tcW w:w="1242" w:type="dxa"/>
          </w:tcPr>
          <w:p w:rsidR="00C24991" w:rsidRPr="00C24991" w:rsidRDefault="00C24991" w:rsidP="00A2579A">
            <w:pPr>
              <w:rPr>
                <w:rFonts w:ascii="Arial" w:hAnsi="Arial" w:cs="Arial"/>
                <w:sz w:val="20"/>
                <w:szCs w:val="20"/>
              </w:rPr>
            </w:pPr>
            <w:proofErr w:type="spellStart"/>
            <w:r w:rsidRPr="00C24991">
              <w:rPr>
                <w:rFonts w:ascii="Arial" w:hAnsi="Arial" w:cs="Arial"/>
                <w:bCs/>
                <w:sz w:val="20"/>
                <w:szCs w:val="20"/>
                <w:lang w:eastAsia="en-US"/>
              </w:rPr>
              <w:t>Bhandari</w:t>
            </w:r>
            <w:proofErr w:type="spellEnd"/>
            <w:r w:rsidRPr="00C24991">
              <w:rPr>
                <w:rFonts w:ascii="Arial" w:hAnsi="Arial" w:cs="Arial"/>
                <w:bCs/>
                <w:sz w:val="20"/>
                <w:szCs w:val="20"/>
                <w:lang w:eastAsia="en-US"/>
              </w:rPr>
              <w:t xml:space="preserve"> et al (2008) </w:t>
            </w:r>
            <w:r w:rsidRPr="00C24991">
              <w:rPr>
                <w:rFonts w:ascii="Arial" w:hAnsi="Arial" w:cs="Arial"/>
                <w:bCs/>
                <w:sz w:val="20"/>
                <w:szCs w:val="20"/>
                <w:lang w:eastAsia="en-US"/>
              </w:rPr>
              <w:fldChar w:fldCharType="begin"/>
            </w:r>
            <w:r w:rsidRPr="00C24991">
              <w:rPr>
                <w:rFonts w:ascii="Arial" w:hAnsi="Arial" w:cs="Arial"/>
                <w:bCs/>
                <w:sz w:val="20"/>
                <w:szCs w:val="20"/>
                <w:lang w:eastAsia="en-US"/>
              </w:rPr>
              <w:instrText xml:space="preserve"> ADDIN EN.CITE &lt;EndNote&gt;&lt;Cite&gt;&lt;Author&gt;Bhandari&lt;/Author&gt;&lt;Year&gt;2008&lt;/Year&gt;&lt;RecNum&gt;237&lt;/RecNum&gt;&lt;DisplayText&gt;[12]&lt;/DisplayText&gt;&lt;record&gt;&lt;rec-number&gt;237&lt;/rec-number&gt;&lt;foreign-keys&gt;&lt;key app="EN" db-id="5z5zs2d9q5e0fbe20wrpwfswtw9xwerd9d9r" timestamp="0"&gt;237&lt;/key&gt;&lt;/foreign-keys&gt;&lt;ref-type name="Journal Article"&gt;17&lt;/ref-type&gt;&lt;contributors&gt;&lt;authors&gt;&lt;author&gt;Bhandari N, &lt;/author&gt;&lt;author&gt;Kabir AKM,&lt;/author&gt;&lt;author&gt;Salam MA,&lt;/author&gt;&lt;/authors&gt;&lt;/contributors&gt;&lt;titles&gt;&lt;title&gt;Mainstreaming nutrition into maternal and child health programmes: scaling up of exclusive breastfeeding&lt;/title&gt;&lt;secondary-title&gt;Maternal &amp;amp; Child Nutrition&lt;/secondary-title&gt;&lt;/titles&gt;&lt;pages&gt;5-23&lt;/pages&gt;&lt;volume&gt;4&lt;/volume&gt;&lt;number&gt;s1&lt;/number&gt;&lt;dates&gt;&lt;year&gt;2008&lt;/year&gt;&lt;/dates&gt;&lt;publisher&gt;Wiley Online Library&lt;/publisher&gt;&lt;isbn&gt;1740-8709&lt;/isbn&gt;&lt;urls&gt;&lt;/urls&gt;&lt;/record&gt;&lt;/Cite&gt;&lt;/EndNote&gt;</w:instrText>
            </w:r>
            <w:r w:rsidRPr="00C24991">
              <w:rPr>
                <w:rFonts w:ascii="Arial" w:hAnsi="Arial" w:cs="Arial"/>
                <w:bCs/>
                <w:sz w:val="20"/>
                <w:szCs w:val="20"/>
                <w:lang w:eastAsia="en-US"/>
              </w:rPr>
              <w:fldChar w:fldCharType="separate"/>
            </w:r>
            <w:r w:rsidRPr="00C24991">
              <w:rPr>
                <w:rFonts w:ascii="Arial" w:hAnsi="Arial" w:cs="Arial"/>
                <w:bCs/>
                <w:noProof/>
                <w:sz w:val="20"/>
                <w:szCs w:val="20"/>
                <w:lang w:eastAsia="en-US"/>
              </w:rPr>
              <w:t>[</w:t>
            </w:r>
            <w:hyperlink w:anchor="_ENREF_12" w:tooltip="Bhandari N, 2008 #237" w:history="1">
              <w:r w:rsidRPr="00C24991">
                <w:rPr>
                  <w:rFonts w:ascii="Arial" w:hAnsi="Arial" w:cs="Arial"/>
                  <w:bCs/>
                  <w:noProof/>
                  <w:sz w:val="20"/>
                  <w:szCs w:val="20"/>
                  <w:lang w:eastAsia="en-US"/>
                </w:rPr>
                <w:t>12</w:t>
              </w:r>
            </w:hyperlink>
            <w:r w:rsidRPr="00C24991">
              <w:rPr>
                <w:rFonts w:ascii="Arial" w:hAnsi="Arial" w:cs="Arial"/>
                <w:bCs/>
                <w:noProof/>
                <w:sz w:val="20"/>
                <w:szCs w:val="20"/>
                <w:lang w:eastAsia="en-US"/>
              </w:rPr>
              <w:t>]</w:t>
            </w:r>
            <w:r w:rsidRPr="00C24991">
              <w:rPr>
                <w:rFonts w:ascii="Arial" w:hAnsi="Arial" w:cs="Arial"/>
                <w:bCs/>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Literature review &amp; commentary</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Model for scaling up</w:t>
            </w:r>
          </w:p>
        </w:tc>
        <w:tc>
          <w:tcPr>
            <w:tcW w:w="3686" w:type="dxa"/>
          </w:tcPr>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rPr>
              <w:t>Model involves the following steps:</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assess situation, create a policy environment conducive to action;</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define roles, relationships and responsibilities of all partners;</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establish agreements;</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review technical support;</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define program strategy;</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mobilize resources;</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provide training and technical assistance;</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develop and use monitoring and evaluation systems;</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monitor coverage and quality;</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measure impact and cost; and</w:t>
            </w:r>
          </w:p>
          <w:p w:rsidR="00C24991" w:rsidRPr="00C24991" w:rsidRDefault="00C24991" w:rsidP="00C24991">
            <w:pPr>
              <w:pStyle w:val="ListParagraph"/>
              <w:numPr>
                <w:ilvl w:val="0"/>
                <w:numId w:val="2"/>
              </w:numPr>
              <w:ind w:left="318" w:hanging="284"/>
              <w:rPr>
                <w:rFonts w:ascii="Arial" w:hAnsi="Arial" w:cs="Arial"/>
                <w:sz w:val="20"/>
                <w:szCs w:val="20"/>
              </w:rPr>
            </w:pPr>
            <w:proofErr w:type="gramStart"/>
            <w:r w:rsidRPr="00C24991">
              <w:rPr>
                <w:rFonts w:ascii="Arial" w:hAnsi="Arial" w:cs="Arial"/>
                <w:sz w:val="20"/>
                <w:szCs w:val="20"/>
              </w:rPr>
              <w:t>provide</w:t>
            </w:r>
            <w:proofErr w:type="gramEnd"/>
            <w:r w:rsidRPr="00C24991">
              <w:rPr>
                <w:rFonts w:ascii="Arial" w:hAnsi="Arial" w:cs="Arial"/>
                <w:sz w:val="20"/>
                <w:szCs w:val="20"/>
              </w:rPr>
              <w:t xml:space="preserve"> for testing novel approaches and continuing innovation.</w:t>
            </w:r>
          </w:p>
        </w:tc>
        <w:tc>
          <w:tcPr>
            <w:tcW w:w="1559" w:type="dxa"/>
          </w:tcPr>
          <w:p w:rsidR="00C24991" w:rsidRPr="00C24991" w:rsidRDefault="00C24991" w:rsidP="00A2579A">
            <w:pPr>
              <w:rPr>
                <w:rFonts w:ascii="Arial" w:hAnsi="Arial" w:cs="Arial"/>
                <w:sz w:val="20"/>
                <w:szCs w:val="20"/>
              </w:rPr>
            </w:pPr>
            <w:r w:rsidRPr="00C24991">
              <w:rPr>
                <w:rFonts w:ascii="Arial" w:hAnsi="Arial" w:cs="Arial"/>
                <w:sz w:val="20"/>
                <w:szCs w:val="20"/>
              </w:rPr>
              <w:t>Global Health: breastfeeding</w:t>
            </w:r>
          </w:p>
        </w:tc>
        <w:tc>
          <w:tcPr>
            <w:tcW w:w="4678" w:type="dxa"/>
          </w:tcPr>
          <w:p w:rsidR="00C24991" w:rsidRPr="00C24991" w:rsidRDefault="00C24991" w:rsidP="00C24991">
            <w:pPr>
              <w:pStyle w:val="ListParagraph"/>
              <w:numPr>
                <w:ilvl w:val="0"/>
                <w:numId w:val="3"/>
              </w:numPr>
              <w:autoSpaceDE w:val="0"/>
              <w:autoSpaceDN w:val="0"/>
              <w:adjustRightInd w:val="0"/>
              <w:ind w:left="263" w:hanging="263"/>
              <w:rPr>
                <w:rFonts w:ascii="Arial" w:hAnsi="Arial" w:cs="Arial"/>
                <w:sz w:val="20"/>
                <w:szCs w:val="20"/>
              </w:rPr>
            </w:pPr>
            <w:r w:rsidRPr="00C24991">
              <w:rPr>
                <w:rFonts w:ascii="Arial" w:hAnsi="Arial" w:cs="Arial"/>
                <w:sz w:val="20"/>
                <w:szCs w:val="20"/>
              </w:rPr>
              <w:t>Political will, advocacy, enabling policies.</w:t>
            </w:r>
          </w:p>
          <w:p w:rsidR="00C24991" w:rsidRPr="00C24991" w:rsidRDefault="00C24991" w:rsidP="00C24991">
            <w:pPr>
              <w:pStyle w:val="ListParagraph"/>
              <w:numPr>
                <w:ilvl w:val="0"/>
                <w:numId w:val="3"/>
              </w:numPr>
              <w:autoSpaceDE w:val="0"/>
              <w:autoSpaceDN w:val="0"/>
              <w:adjustRightInd w:val="0"/>
              <w:ind w:left="263" w:hanging="263"/>
              <w:rPr>
                <w:rFonts w:ascii="Arial" w:hAnsi="Arial" w:cs="Arial"/>
                <w:sz w:val="20"/>
                <w:szCs w:val="20"/>
              </w:rPr>
            </w:pPr>
            <w:r w:rsidRPr="00C24991">
              <w:rPr>
                <w:rFonts w:ascii="Arial" w:hAnsi="Arial" w:cs="Arial"/>
                <w:sz w:val="20"/>
                <w:szCs w:val="20"/>
              </w:rPr>
              <w:t>Championship by health ministries at national, state and district level.</w:t>
            </w:r>
          </w:p>
          <w:p w:rsidR="00C24991" w:rsidRPr="00C24991" w:rsidRDefault="00C24991" w:rsidP="00C24991">
            <w:pPr>
              <w:pStyle w:val="ListParagraph"/>
              <w:numPr>
                <w:ilvl w:val="0"/>
                <w:numId w:val="3"/>
              </w:numPr>
              <w:autoSpaceDE w:val="0"/>
              <w:autoSpaceDN w:val="0"/>
              <w:adjustRightInd w:val="0"/>
              <w:ind w:left="263" w:hanging="263"/>
              <w:rPr>
                <w:rFonts w:ascii="Arial" w:hAnsi="Arial" w:cs="Arial"/>
                <w:sz w:val="20"/>
                <w:szCs w:val="20"/>
              </w:rPr>
            </w:pPr>
            <w:r w:rsidRPr="00C24991">
              <w:rPr>
                <w:rFonts w:ascii="Arial" w:hAnsi="Arial" w:cs="Arial"/>
                <w:sz w:val="20"/>
                <w:szCs w:val="20"/>
              </w:rPr>
              <w:t>Partners with defined roles, assessment of their capacity to deliver and plans to cover gaps in capacity.</w:t>
            </w:r>
          </w:p>
          <w:p w:rsidR="00C24991" w:rsidRPr="00C24991" w:rsidRDefault="00C24991" w:rsidP="00C24991">
            <w:pPr>
              <w:pStyle w:val="ListParagraph"/>
              <w:numPr>
                <w:ilvl w:val="0"/>
                <w:numId w:val="3"/>
              </w:numPr>
              <w:autoSpaceDE w:val="0"/>
              <w:autoSpaceDN w:val="0"/>
              <w:adjustRightInd w:val="0"/>
              <w:ind w:left="263" w:hanging="263"/>
              <w:rPr>
                <w:rFonts w:ascii="Arial" w:hAnsi="Arial" w:cs="Arial"/>
                <w:sz w:val="20"/>
                <w:szCs w:val="20"/>
              </w:rPr>
            </w:pPr>
            <w:r w:rsidRPr="00C24991">
              <w:rPr>
                <w:rFonts w:ascii="Arial" w:hAnsi="Arial" w:cs="Arial"/>
                <w:sz w:val="20"/>
                <w:szCs w:val="20"/>
              </w:rPr>
              <w:t>Careful selection of communication channels.</w:t>
            </w:r>
          </w:p>
          <w:p w:rsidR="00C24991" w:rsidRPr="00C24991" w:rsidRDefault="00C24991" w:rsidP="00C24991">
            <w:pPr>
              <w:pStyle w:val="ListParagraph"/>
              <w:numPr>
                <w:ilvl w:val="0"/>
                <w:numId w:val="3"/>
              </w:numPr>
              <w:autoSpaceDE w:val="0"/>
              <w:autoSpaceDN w:val="0"/>
              <w:adjustRightInd w:val="0"/>
              <w:ind w:left="263" w:hanging="263"/>
              <w:rPr>
                <w:rFonts w:ascii="Arial" w:hAnsi="Arial" w:cs="Arial"/>
                <w:sz w:val="20"/>
                <w:szCs w:val="20"/>
              </w:rPr>
            </w:pPr>
            <w:r w:rsidRPr="00C24991">
              <w:rPr>
                <w:rFonts w:ascii="Arial" w:hAnsi="Arial" w:cs="Arial"/>
                <w:sz w:val="20"/>
                <w:szCs w:val="20"/>
              </w:rPr>
              <w:t>Communication strategy aided by formative research, pre-testing &amp; validated messages and tools.</w:t>
            </w:r>
          </w:p>
          <w:p w:rsidR="00C24991" w:rsidRPr="00C24991" w:rsidRDefault="00C24991" w:rsidP="00C24991">
            <w:pPr>
              <w:pStyle w:val="ListParagraph"/>
              <w:numPr>
                <w:ilvl w:val="0"/>
                <w:numId w:val="3"/>
              </w:numPr>
              <w:autoSpaceDE w:val="0"/>
              <w:autoSpaceDN w:val="0"/>
              <w:adjustRightInd w:val="0"/>
              <w:ind w:left="263" w:hanging="263"/>
              <w:rPr>
                <w:rFonts w:ascii="Arial" w:hAnsi="Arial" w:cs="Arial"/>
                <w:sz w:val="20"/>
                <w:szCs w:val="20"/>
              </w:rPr>
            </w:pPr>
            <w:r w:rsidRPr="00C24991">
              <w:rPr>
                <w:rFonts w:ascii="Arial" w:hAnsi="Arial" w:cs="Arial"/>
                <w:sz w:val="20"/>
                <w:szCs w:val="20"/>
              </w:rPr>
              <w:t>Quality trainers and training centres.</w:t>
            </w:r>
          </w:p>
          <w:p w:rsidR="00C24991" w:rsidRPr="00C24991" w:rsidRDefault="00C24991" w:rsidP="00C24991">
            <w:pPr>
              <w:pStyle w:val="ListParagraph"/>
              <w:numPr>
                <w:ilvl w:val="0"/>
                <w:numId w:val="3"/>
              </w:numPr>
              <w:autoSpaceDE w:val="0"/>
              <w:autoSpaceDN w:val="0"/>
              <w:adjustRightInd w:val="0"/>
              <w:ind w:left="263" w:hanging="263"/>
              <w:rPr>
                <w:rFonts w:ascii="Arial" w:hAnsi="Arial" w:cs="Arial"/>
                <w:sz w:val="20"/>
                <w:szCs w:val="20"/>
              </w:rPr>
            </w:pPr>
            <w:r w:rsidRPr="00C24991">
              <w:rPr>
                <w:rFonts w:ascii="Arial" w:hAnsi="Arial" w:cs="Arial"/>
                <w:sz w:val="20"/>
                <w:szCs w:val="20"/>
              </w:rPr>
              <w:t>Appropriate monitoring and evaluation.</w:t>
            </w:r>
          </w:p>
          <w:p w:rsidR="00C24991" w:rsidRPr="00C24991" w:rsidRDefault="00C24991" w:rsidP="00C24991">
            <w:pPr>
              <w:pStyle w:val="ListParagraph"/>
              <w:numPr>
                <w:ilvl w:val="0"/>
                <w:numId w:val="3"/>
              </w:numPr>
              <w:autoSpaceDE w:val="0"/>
              <w:autoSpaceDN w:val="0"/>
              <w:adjustRightInd w:val="0"/>
              <w:ind w:left="263" w:hanging="263"/>
              <w:rPr>
                <w:rFonts w:ascii="Arial" w:hAnsi="Arial" w:cs="Arial"/>
                <w:sz w:val="20"/>
                <w:szCs w:val="20"/>
              </w:rPr>
            </w:pPr>
            <w:r w:rsidRPr="00C24991">
              <w:rPr>
                <w:rFonts w:ascii="Arial" w:hAnsi="Arial" w:cs="Arial"/>
                <w:sz w:val="20"/>
                <w:szCs w:val="20"/>
              </w:rPr>
              <w:t>Program redesign when relevant through research &amp; analysis.</w:t>
            </w:r>
          </w:p>
          <w:p w:rsidR="00C24991" w:rsidRPr="00C24991" w:rsidRDefault="00C24991" w:rsidP="00A2579A">
            <w:pPr>
              <w:pStyle w:val="ListParagraph"/>
              <w:ind w:left="263" w:hanging="263"/>
              <w:rPr>
                <w:rFonts w:ascii="Arial" w:hAnsi="Arial" w:cs="Arial"/>
                <w:sz w:val="20"/>
                <w:szCs w:val="20"/>
              </w:rPr>
            </w:pPr>
          </w:p>
        </w:tc>
      </w:tr>
      <w:tr w:rsidR="00C24991" w:rsidRPr="00C24991" w:rsidTr="00A2579A">
        <w:tc>
          <w:tcPr>
            <w:tcW w:w="1242" w:type="dxa"/>
          </w:tcPr>
          <w:p w:rsidR="00C24991" w:rsidRPr="00C24991" w:rsidRDefault="00C24991" w:rsidP="00A2579A">
            <w:pPr>
              <w:rPr>
                <w:rFonts w:ascii="Arial" w:hAnsi="Arial" w:cs="Arial"/>
                <w:bCs/>
                <w:sz w:val="20"/>
                <w:szCs w:val="20"/>
                <w:lang w:eastAsia="en-US"/>
              </w:rPr>
            </w:pPr>
            <w:proofErr w:type="spellStart"/>
            <w:r w:rsidRPr="00C24991">
              <w:rPr>
                <w:rFonts w:ascii="Arial" w:hAnsi="Arial" w:cs="Arial"/>
                <w:sz w:val="20"/>
                <w:szCs w:val="20"/>
                <w:lang w:eastAsia="en-US"/>
              </w:rPr>
              <w:t>Bishai</w:t>
            </w:r>
            <w:proofErr w:type="spellEnd"/>
            <w:r w:rsidRPr="00C24991">
              <w:rPr>
                <w:rFonts w:ascii="Arial" w:hAnsi="Arial" w:cs="Arial"/>
                <w:sz w:val="20"/>
                <w:szCs w:val="20"/>
                <w:lang w:eastAsia="en-US"/>
              </w:rPr>
              <w:t xml:space="preserve"> et al (2006)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&lt;EndNote&gt;&lt;Cite&gt;&lt;Author&gt;Bishai&lt;/Author&gt;&lt;Year&gt;2006&lt;/Year&gt;&lt;RecNum&gt;239&lt;/RecNum&gt;&lt;DisplayText&gt;[13]&lt;/DisplayText&gt;&lt;record&gt;&lt;rec-number&gt;239&lt;/rec-number&gt;&lt;foreign-keys&gt;&lt;key app="EN" db-id="5z5zs2d9q5e0fbe20wrpwfswtw9xwerd9d9r" timestamp="0"&gt;239&lt;/key&gt;&lt;/foreign-keys&gt;&lt;ref-type name="Journal Article"&gt;17&lt;/ref-type&gt;&lt;contributors&gt;&lt;authors&gt;&lt;author&gt;Bishai D,&lt;/author&gt;&lt;author&gt;McQuestion M,&lt;/author&gt;&lt;author&gt;Chaudhry R,&lt;/author&gt;&lt;author&gt;Wigton A,&lt;/author&gt;&lt;/authors&gt;&lt;/contributors&gt;&lt;titles&gt;&lt;title&gt;The costs of scaling up vaccination in the world’s poorest countries&lt;/title&gt;&lt;secondary-title&gt;Health Affairs&lt;/secondary-title&gt;&lt;/titles&gt;&lt;periodical&gt;&lt;full-title&gt;Health Affairs&lt;/full-title&gt;&lt;/periodical&gt;&lt;pages&gt;348-356&lt;/pages&gt;&lt;volume&gt;25&lt;/volume&gt;&lt;number&gt;2&lt;/number&gt;&lt;dates&gt;&lt;year&gt;2006&lt;/year&gt;&lt;/dates&gt;&lt;publisher&gt;Health Affairs&lt;/publisher&gt;&lt;isbn&gt;0278-2715&lt;/isbn&gt;&lt;urls&gt;&lt;/urls&gt;&lt;/record&gt;&lt;/Cite&gt;&lt;/EndNote&gt;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13" w:tooltip="Bishai D, 2006 #239" w:history="1">
              <w:r w:rsidRPr="00C24991">
                <w:rPr>
                  <w:rFonts w:ascii="Arial" w:hAnsi="Arial" w:cs="Arial"/>
                  <w:noProof/>
                  <w:sz w:val="20"/>
                  <w:szCs w:val="20"/>
                  <w:lang w:eastAsia="en-US"/>
                </w:rPr>
                <w:t>13</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Descriptive: multi-country analysis</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Costing models</w:t>
            </w:r>
          </w:p>
        </w:tc>
        <w:tc>
          <w:tcPr>
            <w:tcW w:w="3686" w:type="dxa"/>
          </w:tcPr>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Arial" w:hAnsi="Arial" w:cs="Arial"/>
                <w:sz w:val="20"/>
                <w:szCs w:val="20"/>
              </w:rPr>
              <w:t xml:space="preserve">Costing modelling of </w:t>
            </w:r>
            <w:r w:rsidRPr="00C24991">
              <w:rPr>
                <w:rFonts w:ascii="FranklinGotITC-Demi" w:hAnsi="FranklinGotITC-Demi" w:cs="FranklinGotITC-Demi"/>
                <w:sz w:val="20"/>
                <w:szCs w:val="20"/>
              </w:rPr>
              <w:t>average cost.</w:t>
            </w:r>
          </w:p>
          <w:p w:rsidR="00C24991" w:rsidRPr="00C24991" w:rsidRDefault="00C24991" w:rsidP="00C24991">
            <w:pPr>
              <w:pStyle w:val="ListParagraph"/>
              <w:numPr>
                <w:ilvl w:val="0"/>
                <w:numId w:val="2"/>
              </w:numPr>
              <w:autoSpaceDE w:val="0"/>
              <w:autoSpaceDN w:val="0"/>
              <w:adjustRightInd w:val="0"/>
              <w:ind w:left="318" w:hanging="284"/>
              <w:rPr>
                <w:rFonts w:ascii="Arial" w:hAnsi="Arial" w:cs="Arial"/>
                <w:sz w:val="20"/>
                <w:szCs w:val="20"/>
              </w:rPr>
            </w:pPr>
            <w:r w:rsidRPr="00C24991">
              <w:rPr>
                <w:rFonts w:ascii="FranklinGotITC-Demi" w:hAnsi="FranklinGotITC-Demi" w:cs="FranklinGotITC-Demi"/>
                <w:sz w:val="20"/>
                <w:szCs w:val="20"/>
              </w:rPr>
              <w:t>Marginal cost curves determine economies and diseconomies of s</w:t>
            </w:r>
            <w:bookmarkStart w:id="0" w:name="_GoBack"/>
            <w:bookmarkEnd w:id="0"/>
            <w:r w:rsidRPr="00C24991">
              <w:rPr>
                <w:rFonts w:ascii="FranklinGotITC-Demi" w:hAnsi="FranklinGotITC-Demi" w:cs="FranklinGotITC-Demi"/>
                <w:sz w:val="20"/>
                <w:szCs w:val="20"/>
              </w:rPr>
              <w:t>cale.</w:t>
            </w:r>
          </w:p>
        </w:tc>
        <w:tc>
          <w:tcPr>
            <w:tcW w:w="1559" w:type="dxa"/>
          </w:tcPr>
          <w:p w:rsidR="00C24991" w:rsidRPr="00C24991" w:rsidRDefault="00C24991" w:rsidP="00A2579A">
            <w:pPr>
              <w:rPr>
                <w:rFonts w:ascii="Arial" w:hAnsi="Arial" w:cs="Arial"/>
                <w:sz w:val="20"/>
                <w:szCs w:val="20"/>
              </w:rPr>
            </w:pPr>
            <w:r w:rsidRPr="00C24991">
              <w:rPr>
                <w:rFonts w:ascii="Arial" w:hAnsi="Arial" w:cs="Arial"/>
                <w:sz w:val="20"/>
                <w:szCs w:val="20"/>
              </w:rPr>
              <w:t>Global health: immunization</w:t>
            </w:r>
          </w:p>
        </w:tc>
        <w:tc>
          <w:tcPr>
            <w:tcW w:w="4678" w:type="dxa"/>
          </w:tcPr>
          <w:p w:rsidR="00C24991" w:rsidRPr="00C24991" w:rsidRDefault="00C24991" w:rsidP="00C24991">
            <w:pPr>
              <w:pStyle w:val="ListParagraph"/>
              <w:numPr>
                <w:ilvl w:val="0"/>
                <w:numId w:val="4"/>
              </w:numPr>
              <w:autoSpaceDE w:val="0"/>
              <w:autoSpaceDN w:val="0"/>
              <w:adjustRightInd w:val="0"/>
              <w:ind w:left="257" w:hanging="257"/>
              <w:rPr>
                <w:rFonts w:ascii="Arial" w:hAnsi="Arial" w:cs="Arial"/>
                <w:sz w:val="20"/>
                <w:szCs w:val="20"/>
              </w:rPr>
            </w:pPr>
            <w:r w:rsidRPr="00C24991">
              <w:rPr>
                <w:rFonts w:ascii="Arial" w:hAnsi="Arial" w:cs="Arial"/>
                <w:sz w:val="20"/>
                <w:szCs w:val="20"/>
              </w:rPr>
              <w:t>Vital to collect costs data for intervention delivery</w:t>
            </w:r>
          </w:p>
          <w:p w:rsidR="00C24991" w:rsidRPr="00C24991" w:rsidRDefault="00C24991" w:rsidP="00C24991">
            <w:pPr>
              <w:pStyle w:val="ListParagraph"/>
              <w:numPr>
                <w:ilvl w:val="0"/>
                <w:numId w:val="4"/>
              </w:numPr>
              <w:autoSpaceDE w:val="0"/>
              <w:autoSpaceDN w:val="0"/>
              <w:adjustRightInd w:val="0"/>
              <w:ind w:left="257" w:hanging="257"/>
              <w:rPr>
                <w:rFonts w:ascii="Arial" w:hAnsi="Arial" w:cs="Arial"/>
                <w:sz w:val="20"/>
                <w:szCs w:val="20"/>
              </w:rPr>
            </w:pPr>
            <w:r w:rsidRPr="00C24991">
              <w:rPr>
                <w:rFonts w:ascii="Arial" w:hAnsi="Arial" w:cs="Arial"/>
                <w:sz w:val="20"/>
                <w:szCs w:val="20"/>
              </w:rPr>
              <w:t>Important to measure long-run average cost increase or decrease as output is increased.</w:t>
            </w:r>
          </w:p>
          <w:p w:rsidR="00C24991" w:rsidRPr="00C24991" w:rsidRDefault="00C24991" w:rsidP="00A2579A">
            <w:pPr>
              <w:autoSpaceDE w:val="0"/>
              <w:autoSpaceDN w:val="0"/>
              <w:adjustRightInd w:val="0"/>
              <w:rPr>
                <w:rFonts w:ascii="Arial" w:hAnsi="Arial" w:cs="Arial"/>
                <w:sz w:val="20"/>
                <w:szCs w:val="20"/>
              </w:rPr>
            </w:pPr>
          </w:p>
          <w:p w:rsidR="00C24991" w:rsidRPr="00C24991" w:rsidRDefault="00C24991" w:rsidP="00A2579A">
            <w:pPr>
              <w:autoSpaceDE w:val="0"/>
              <w:autoSpaceDN w:val="0"/>
              <w:adjustRightInd w:val="0"/>
              <w:rPr>
                <w:rFonts w:ascii="Arial" w:hAnsi="Arial" w:cs="Arial"/>
                <w:sz w:val="20"/>
                <w:szCs w:val="20"/>
              </w:rPr>
            </w:pPr>
          </w:p>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rPr>
              <w:t xml:space="preserve"> </w:t>
            </w:r>
          </w:p>
        </w:tc>
      </w:tr>
      <w:tr w:rsidR="00C24991" w:rsidRPr="00C24991" w:rsidTr="00A2579A">
        <w:tc>
          <w:tcPr>
            <w:tcW w:w="1242" w:type="dxa"/>
          </w:tcPr>
          <w:p w:rsidR="00C24991" w:rsidRPr="00C24991" w:rsidRDefault="00C24991" w:rsidP="00A2579A">
            <w:pPr>
              <w:rPr>
                <w:rFonts w:ascii="Arial" w:hAnsi="Arial" w:cs="Arial"/>
                <w:sz w:val="20"/>
                <w:szCs w:val="20"/>
              </w:rPr>
            </w:pPr>
            <w:proofErr w:type="spellStart"/>
            <w:r w:rsidRPr="00C24991">
              <w:rPr>
                <w:rFonts w:ascii="Arial" w:hAnsi="Arial" w:cs="Arial"/>
                <w:iCs/>
                <w:sz w:val="20"/>
                <w:szCs w:val="20"/>
                <w:lang w:eastAsia="en-US"/>
              </w:rPr>
              <w:t>Edouard</w:t>
            </w:r>
            <w:proofErr w:type="spellEnd"/>
            <w:r w:rsidRPr="00C24991">
              <w:rPr>
                <w:rFonts w:ascii="Arial" w:hAnsi="Arial" w:cs="Arial"/>
                <w:iCs/>
                <w:sz w:val="20"/>
                <w:szCs w:val="20"/>
                <w:lang w:eastAsia="en-US"/>
              </w:rPr>
              <w:t xml:space="preserve">  et al (2012)</w:t>
            </w:r>
            <w:r w:rsidRPr="00C24991">
              <w:rPr>
                <w:rFonts w:ascii="Arial" w:hAnsi="Arial" w:cs="Arial"/>
                <w:iCs/>
                <w:sz w:val="20"/>
                <w:szCs w:val="20"/>
                <w:lang w:eastAsia="en-US"/>
              </w:rPr>
              <w:fldChar w:fldCharType="begin"/>
            </w:r>
            <w:r w:rsidRPr="00C24991">
              <w:rPr>
                <w:rFonts w:ascii="Arial" w:hAnsi="Arial" w:cs="Arial"/>
                <w:iCs/>
                <w:sz w:val="20"/>
                <w:szCs w:val="20"/>
                <w:lang w:eastAsia="en-US"/>
              </w:rPr>
              <w:instrText xml:space="preserve"> ADDIN EN.CITE &lt;EndNote&gt;&lt;Cite&gt;&lt;Author&gt;Edouard&lt;/Author&gt;&lt;Year&gt;2012&lt;/Year&gt;&lt;RecNum&gt;221&lt;/RecNum&gt;&lt;DisplayText&gt;[14]&lt;/DisplayText&gt;&lt;record&gt;&lt;rec-number&gt;221&lt;/rec-number&gt;&lt;foreign-keys&gt;&lt;key app="EN" db-id="5z5zs2d9q5e0fbe20wrpwfswtw9xwerd9d9r" timestamp="0"&gt;221&lt;/key&gt;&lt;/foreign-keys&gt;&lt;ref-type name="Journal Article"&gt;17&lt;/ref-type&gt;&lt;contributors&gt;&lt;authors&gt;&lt;author&gt;Edouard E, &lt;/author&gt;&lt;author&gt;Edouard L, &lt;/author&gt;&lt;/authors&gt;&lt;/contributors&gt;&lt;titles&gt;&lt;title&gt;Application of Information and Communication Technology for Scaling up Youth Sexual and Reproductive Health&lt;/title&gt;&lt;secondary-title&gt;African Journal of Reproductive Health&lt;/secondary-title&gt;&lt;/titles&gt;&lt;pages&gt;197-206&lt;/pages&gt;&lt;volume&gt;16&lt;/volume&gt;&lt;number&gt;2&lt;/number&gt;&lt;dates&gt;&lt;year&gt;2012&lt;/year&gt;&lt;/dates&gt;&lt;isbn&gt;1118-4841&lt;/isbn&gt;&lt;urls&gt;&lt;/urls&gt;&lt;/record&gt;&lt;/Cite&gt;&lt;/EndNote&gt;</w:instrText>
            </w:r>
            <w:r w:rsidRPr="00C24991">
              <w:rPr>
                <w:rFonts w:ascii="Arial" w:hAnsi="Arial" w:cs="Arial"/>
                <w:iCs/>
                <w:sz w:val="20"/>
                <w:szCs w:val="20"/>
                <w:lang w:eastAsia="en-US"/>
              </w:rPr>
              <w:fldChar w:fldCharType="separate"/>
            </w:r>
            <w:r w:rsidRPr="00C24991">
              <w:rPr>
                <w:rFonts w:ascii="Arial" w:hAnsi="Arial" w:cs="Arial"/>
                <w:iCs/>
                <w:noProof/>
                <w:sz w:val="20"/>
                <w:szCs w:val="20"/>
                <w:lang w:eastAsia="en-US"/>
              </w:rPr>
              <w:t>[</w:t>
            </w:r>
            <w:hyperlink w:anchor="_ENREF_14" w:tooltip="Edouard E, 2012 #221" w:history="1">
              <w:r w:rsidRPr="00C24991">
                <w:rPr>
                  <w:rFonts w:ascii="Arial" w:hAnsi="Arial" w:cs="Arial"/>
                  <w:iCs/>
                  <w:noProof/>
                  <w:sz w:val="20"/>
                  <w:szCs w:val="20"/>
                  <w:lang w:eastAsia="en-US"/>
                </w:rPr>
                <w:t>14</w:t>
              </w:r>
            </w:hyperlink>
            <w:r w:rsidRPr="00C24991">
              <w:rPr>
                <w:rFonts w:ascii="Arial" w:hAnsi="Arial" w:cs="Arial"/>
                <w:iCs/>
                <w:noProof/>
                <w:sz w:val="20"/>
                <w:szCs w:val="20"/>
                <w:lang w:eastAsia="en-US"/>
              </w:rPr>
              <w:t>]</w:t>
            </w:r>
            <w:r w:rsidRPr="00C24991">
              <w:rPr>
                <w:rFonts w:ascii="Arial" w:hAnsi="Arial" w:cs="Arial"/>
                <w:iCs/>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Commentary</w:t>
            </w:r>
          </w:p>
        </w:tc>
        <w:tc>
          <w:tcPr>
            <w:tcW w:w="1842" w:type="dxa"/>
          </w:tcPr>
          <w:p w:rsidR="00C24991" w:rsidRPr="00C24991" w:rsidRDefault="00C24991" w:rsidP="00A2579A">
            <w:pPr>
              <w:rPr>
                <w:rFonts w:ascii="Arial" w:hAnsi="Arial" w:cs="Arial"/>
                <w:sz w:val="20"/>
                <w:szCs w:val="20"/>
              </w:rPr>
            </w:pPr>
            <w:r w:rsidRPr="00C24991">
              <w:rPr>
                <w:rFonts w:ascii="Arial" w:hAnsi="Arial" w:cs="Arial"/>
                <w:bCs/>
                <w:sz w:val="20"/>
                <w:szCs w:val="20"/>
                <w:lang w:eastAsia="en-US"/>
              </w:rPr>
              <w:t>Concept: Information and Communication Technology (ICT)</w:t>
            </w:r>
          </w:p>
        </w:tc>
        <w:tc>
          <w:tcPr>
            <w:tcW w:w="3686" w:type="dxa"/>
          </w:tcPr>
          <w:p w:rsidR="00C24991" w:rsidRPr="00C24991" w:rsidRDefault="00C24991" w:rsidP="00C24991">
            <w:pPr>
              <w:pStyle w:val="ListParagraph"/>
              <w:numPr>
                <w:ilvl w:val="0"/>
                <w:numId w:val="5"/>
              </w:numPr>
              <w:autoSpaceDE w:val="0"/>
              <w:autoSpaceDN w:val="0"/>
              <w:adjustRightInd w:val="0"/>
              <w:ind w:left="406" w:hanging="406"/>
              <w:rPr>
                <w:rFonts w:ascii="Arial" w:hAnsi="Arial" w:cs="Arial"/>
                <w:sz w:val="20"/>
                <w:szCs w:val="20"/>
              </w:rPr>
            </w:pPr>
            <w:r w:rsidRPr="00C24991">
              <w:rPr>
                <w:rFonts w:ascii="Arial" w:hAnsi="Arial" w:cs="Arial"/>
                <w:sz w:val="20"/>
                <w:szCs w:val="20"/>
              </w:rPr>
              <w:t>Internet and mobile based health promotion programing.</w:t>
            </w:r>
          </w:p>
          <w:p w:rsidR="00C24991" w:rsidRPr="00C24991" w:rsidRDefault="00C24991" w:rsidP="00A2579A">
            <w:pPr>
              <w:pStyle w:val="ListParagraph"/>
              <w:ind w:left="318"/>
              <w:rPr>
                <w:rFonts w:ascii="Arial" w:hAnsi="Arial" w:cs="Arial"/>
                <w:sz w:val="20"/>
                <w:szCs w:val="20"/>
              </w:rPr>
            </w:pPr>
          </w:p>
        </w:tc>
        <w:tc>
          <w:tcPr>
            <w:tcW w:w="1559" w:type="dxa"/>
          </w:tcPr>
          <w:p w:rsidR="00C24991" w:rsidRPr="00C24991" w:rsidRDefault="00C24991" w:rsidP="00A2579A">
            <w:pPr>
              <w:rPr>
                <w:rFonts w:ascii="Arial" w:hAnsi="Arial" w:cs="Arial"/>
                <w:sz w:val="20"/>
                <w:szCs w:val="20"/>
              </w:rPr>
            </w:pPr>
            <w:r w:rsidRPr="00C24991">
              <w:rPr>
                <w:rFonts w:ascii="Arial" w:hAnsi="Arial" w:cs="Arial"/>
                <w:bCs/>
                <w:sz w:val="20"/>
                <w:szCs w:val="20"/>
                <w:lang w:eastAsia="en-US"/>
              </w:rPr>
              <w:t xml:space="preserve">Global Health: Youth Sexual and Reproductive </w:t>
            </w:r>
            <w:r w:rsidRPr="00C24991">
              <w:rPr>
                <w:rFonts w:ascii="Arial" w:hAnsi="Arial" w:cs="Arial"/>
                <w:bCs/>
                <w:sz w:val="20"/>
                <w:szCs w:val="20"/>
                <w:lang w:eastAsia="en-US"/>
              </w:rPr>
              <w:lastRenderedPageBreak/>
              <w:t>Health</w:t>
            </w:r>
          </w:p>
        </w:tc>
        <w:tc>
          <w:tcPr>
            <w:tcW w:w="4678" w:type="dxa"/>
          </w:tcPr>
          <w:p w:rsidR="00C24991" w:rsidRPr="00C24991" w:rsidRDefault="00C24991" w:rsidP="00C24991">
            <w:pPr>
              <w:pStyle w:val="ListParagraph"/>
              <w:numPr>
                <w:ilvl w:val="0"/>
                <w:numId w:val="6"/>
              </w:numPr>
              <w:autoSpaceDE w:val="0"/>
              <w:autoSpaceDN w:val="0"/>
              <w:adjustRightInd w:val="0"/>
              <w:ind w:left="257" w:hanging="257"/>
              <w:rPr>
                <w:rFonts w:ascii="Arial" w:hAnsi="Arial" w:cs="Arial"/>
                <w:sz w:val="20"/>
                <w:szCs w:val="20"/>
              </w:rPr>
            </w:pPr>
            <w:r w:rsidRPr="00C24991">
              <w:rPr>
                <w:rFonts w:ascii="Arial" w:hAnsi="Arial" w:cs="Arial"/>
                <w:sz w:val="20"/>
                <w:szCs w:val="20"/>
              </w:rPr>
              <w:lastRenderedPageBreak/>
              <w:t>Information and Communication Technology (ICT) platforms are low cost and can increase access to remote populations</w:t>
            </w:r>
          </w:p>
          <w:p w:rsidR="00C24991" w:rsidRPr="00C24991" w:rsidRDefault="00C24991" w:rsidP="00C24991">
            <w:pPr>
              <w:pStyle w:val="ListParagraph"/>
              <w:numPr>
                <w:ilvl w:val="0"/>
                <w:numId w:val="6"/>
              </w:numPr>
              <w:autoSpaceDE w:val="0"/>
              <w:autoSpaceDN w:val="0"/>
              <w:adjustRightInd w:val="0"/>
              <w:ind w:left="257" w:hanging="257"/>
              <w:rPr>
                <w:rFonts w:ascii="Arial" w:hAnsi="Arial" w:cs="Arial"/>
                <w:sz w:val="20"/>
                <w:szCs w:val="20"/>
              </w:rPr>
            </w:pPr>
            <w:r w:rsidRPr="00C24991">
              <w:rPr>
                <w:rFonts w:ascii="Arial" w:hAnsi="Arial" w:cs="Arial"/>
                <w:sz w:val="20"/>
                <w:szCs w:val="20"/>
              </w:rPr>
              <w:lastRenderedPageBreak/>
              <w:t>Successful models should be identified through program evaluation.</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lastRenderedPageBreak/>
              <w:t xml:space="preserve">Johns &amp; </w:t>
            </w:r>
            <w:proofErr w:type="spellStart"/>
            <w:r w:rsidRPr="00C24991">
              <w:rPr>
                <w:rFonts w:ascii="Arial" w:hAnsi="Arial" w:cs="Arial"/>
                <w:sz w:val="20"/>
                <w:szCs w:val="20"/>
                <w:lang w:eastAsia="en-US"/>
              </w:rPr>
              <w:t>Baltussen</w:t>
            </w:r>
            <w:proofErr w:type="spellEnd"/>
            <w:r w:rsidRPr="00C24991">
              <w:rPr>
                <w:rFonts w:ascii="Arial" w:hAnsi="Arial" w:cs="Arial"/>
                <w:sz w:val="20"/>
                <w:szCs w:val="20"/>
                <w:lang w:eastAsia="en-US"/>
              </w:rPr>
              <w:t xml:space="preserve"> (2004)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&lt;EndNote&gt;&lt;Cite&gt;&lt;Author&gt;Johns&lt;/Author&gt;&lt;Year&gt;2004&lt;/Year&gt;&lt;RecNum&gt;240&lt;/RecNum&gt;&lt;DisplayText&gt;[15]&lt;/DisplayText&gt;&lt;record&gt;&lt;rec-number&gt;240&lt;/rec-number&gt;&lt;foreign-keys&gt;&lt;key app="EN" db-id="5z5zs2d9q5e0fbe20wrpwfswtw9xwerd9d9r" timestamp="0"&gt;240&lt;/key&gt;&lt;/foreign-keys&gt;&lt;ref-type name="Journal Article"&gt;17&lt;/ref-type&gt;&lt;contributors&gt;&lt;authors&gt;&lt;author&gt;Johns B, &lt;/author&gt;&lt;author&gt;Baltussen R,&lt;/author&gt;&lt;/authors&gt;&lt;/contributors&gt;&lt;titles&gt;&lt;title&gt;Accounting for the cost of scaling up health interventions&lt;/title&gt;&lt;secondary-title&gt;Health Economics&lt;/secondary-title&gt;&lt;/titles&gt;&lt;pages&gt;1117-1124&lt;/pages&gt;&lt;volume&gt;13&lt;/volume&gt;&lt;number&gt;11&lt;/number&gt;&lt;dates&gt;&lt;year&gt;2004&lt;/year&gt;&lt;/dates&gt;&lt;publisher&gt;Wiley Online Library&lt;/publisher&gt;&lt;isbn&gt;1099-1050&lt;/isbn&gt;&lt;urls&gt;&lt;/urls&gt;&lt;/record&gt;&lt;/Cite&gt;&lt;/EndNote&gt;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15" w:tooltip="Johns B, 2004 #240" w:history="1">
              <w:r w:rsidRPr="00C24991">
                <w:rPr>
                  <w:rFonts w:ascii="Arial" w:hAnsi="Arial" w:cs="Arial"/>
                  <w:noProof/>
                  <w:sz w:val="20"/>
                  <w:szCs w:val="20"/>
                  <w:lang w:eastAsia="en-US"/>
                </w:rPr>
                <w:t>15</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Economic modelling: case studies</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Costs and cost effectiveness</w:t>
            </w:r>
          </w:p>
        </w:tc>
        <w:tc>
          <w:tcPr>
            <w:tcW w:w="3686" w:type="dxa"/>
          </w:tcPr>
          <w:p w:rsidR="00C24991" w:rsidRPr="00C24991" w:rsidRDefault="00C24991" w:rsidP="00C24991">
            <w:pPr>
              <w:pStyle w:val="ListParagraph"/>
              <w:numPr>
                <w:ilvl w:val="0"/>
                <w:numId w:val="10"/>
              </w:numPr>
              <w:autoSpaceDE w:val="0"/>
              <w:autoSpaceDN w:val="0"/>
              <w:adjustRightInd w:val="0"/>
              <w:ind w:left="344" w:hanging="344"/>
              <w:rPr>
                <w:rFonts w:ascii="Arial" w:hAnsi="Arial" w:cs="Arial"/>
                <w:sz w:val="20"/>
                <w:szCs w:val="20"/>
              </w:rPr>
            </w:pPr>
            <w:r w:rsidRPr="00C24991">
              <w:rPr>
                <w:rFonts w:ascii="Arial" w:hAnsi="Arial" w:cs="Arial"/>
                <w:sz w:val="20"/>
                <w:szCs w:val="20"/>
              </w:rPr>
              <w:t>Generalized cost effectiveness analysis.</w:t>
            </w:r>
          </w:p>
          <w:p w:rsidR="00C24991" w:rsidRPr="00C24991" w:rsidRDefault="00C24991" w:rsidP="00C24991">
            <w:pPr>
              <w:pStyle w:val="ListParagraph"/>
              <w:numPr>
                <w:ilvl w:val="0"/>
                <w:numId w:val="10"/>
              </w:numPr>
              <w:autoSpaceDE w:val="0"/>
              <w:autoSpaceDN w:val="0"/>
              <w:adjustRightInd w:val="0"/>
              <w:ind w:left="344" w:hanging="344"/>
              <w:rPr>
                <w:rFonts w:ascii="Arial" w:hAnsi="Arial" w:cs="Arial"/>
                <w:sz w:val="20"/>
                <w:szCs w:val="20"/>
              </w:rPr>
            </w:pPr>
            <w:r w:rsidRPr="00C24991">
              <w:rPr>
                <w:rFonts w:ascii="Arial" w:hAnsi="Arial" w:cs="Arial"/>
                <w:sz w:val="20"/>
                <w:szCs w:val="20"/>
              </w:rPr>
              <w:t>Average cost per capita.</w:t>
            </w:r>
          </w:p>
          <w:p w:rsidR="00C24991" w:rsidRPr="00C24991" w:rsidRDefault="00C24991" w:rsidP="00C24991">
            <w:pPr>
              <w:pStyle w:val="ListParagraph"/>
              <w:numPr>
                <w:ilvl w:val="0"/>
                <w:numId w:val="10"/>
              </w:numPr>
              <w:autoSpaceDE w:val="0"/>
              <w:autoSpaceDN w:val="0"/>
              <w:adjustRightInd w:val="0"/>
              <w:ind w:left="344" w:hanging="344"/>
              <w:rPr>
                <w:rFonts w:ascii="Arial" w:hAnsi="Arial" w:cs="Arial"/>
                <w:bCs/>
                <w:sz w:val="20"/>
                <w:szCs w:val="20"/>
              </w:rPr>
            </w:pPr>
            <w:r w:rsidRPr="00C24991">
              <w:rPr>
                <w:rFonts w:ascii="Arial" w:hAnsi="Arial" w:cs="Arial"/>
                <w:sz w:val="20"/>
                <w:szCs w:val="20"/>
              </w:rPr>
              <w:t>Marginal cost analysis.</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Global health</w:t>
            </w:r>
          </w:p>
        </w:tc>
        <w:tc>
          <w:tcPr>
            <w:tcW w:w="4678" w:type="dxa"/>
          </w:tcPr>
          <w:p w:rsidR="00C24991" w:rsidRPr="00C24991" w:rsidRDefault="00C24991" w:rsidP="00C24991">
            <w:pPr>
              <w:pStyle w:val="ListParagraph"/>
              <w:numPr>
                <w:ilvl w:val="0"/>
                <w:numId w:val="9"/>
              </w:numPr>
              <w:autoSpaceDE w:val="0"/>
              <w:autoSpaceDN w:val="0"/>
              <w:adjustRightInd w:val="0"/>
              <w:ind w:left="257" w:hanging="257"/>
              <w:rPr>
                <w:rFonts w:ascii="Arial" w:hAnsi="Arial" w:cs="Arial"/>
                <w:sz w:val="20"/>
                <w:szCs w:val="20"/>
              </w:rPr>
            </w:pPr>
            <w:r w:rsidRPr="00C24991">
              <w:rPr>
                <w:rFonts w:ascii="Arial" w:hAnsi="Arial" w:cs="Arial"/>
                <w:sz w:val="20"/>
                <w:szCs w:val="20"/>
              </w:rPr>
              <w:t xml:space="preserve">Inclusion of non-linear cost functions for health centres, transportation and supervision costs, as well as the presence of fixed costs of establishing a health infrastructure will advance cost effectiveness modelling. </w:t>
            </w:r>
          </w:p>
          <w:p w:rsidR="00C24991" w:rsidRPr="00C24991" w:rsidRDefault="00C24991" w:rsidP="00C24991">
            <w:pPr>
              <w:pStyle w:val="ListParagraph"/>
              <w:numPr>
                <w:ilvl w:val="0"/>
                <w:numId w:val="1"/>
              </w:numPr>
              <w:ind w:left="265" w:hanging="284"/>
              <w:rPr>
                <w:rFonts w:ascii="Arial" w:hAnsi="Arial" w:cs="Arial"/>
                <w:sz w:val="20"/>
                <w:szCs w:val="20"/>
              </w:rPr>
            </w:pPr>
            <w:r w:rsidRPr="00C24991">
              <w:rPr>
                <w:rFonts w:ascii="Arial" w:hAnsi="Arial" w:cs="Arial"/>
                <w:sz w:val="20"/>
                <w:szCs w:val="20"/>
              </w:rPr>
              <w:t>Results show changing marginal costs as predicted by the proposed economic theory.</w:t>
            </w:r>
          </w:p>
        </w:tc>
      </w:tr>
      <w:tr w:rsidR="00C24991" w:rsidRPr="00C24991" w:rsidTr="00A2579A">
        <w:tc>
          <w:tcPr>
            <w:tcW w:w="1242" w:type="dxa"/>
          </w:tcPr>
          <w:p w:rsidR="00C24991" w:rsidRPr="00C24991" w:rsidRDefault="00C24991" w:rsidP="00A2579A">
            <w:pPr>
              <w:rPr>
                <w:rFonts w:ascii="Arial" w:hAnsi="Arial" w:cs="Arial"/>
                <w:sz w:val="20"/>
                <w:szCs w:val="20"/>
                <w:lang w:eastAsia="en-US"/>
              </w:rPr>
            </w:pPr>
            <w:r w:rsidRPr="00C24991">
              <w:rPr>
                <w:rFonts w:ascii="Arial" w:hAnsi="Arial" w:cs="Arial"/>
                <w:sz w:val="20"/>
                <w:szCs w:val="20"/>
                <w:lang w:eastAsia="en-US"/>
              </w:rPr>
              <w:t xml:space="preserve">Kohl et al (2003)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&lt;EndNote&gt;&lt;Cite&gt;&lt;Author&gt;Kohl&lt;/Author&gt;&lt;Year&gt;2003&lt;/Year&gt;&lt;RecNum&gt;395&lt;/RecNum&gt;&lt;DisplayText&gt;[16]&lt;/DisplayText&gt;&lt;record&gt;&lt;rec-number&gt;395&lt;/rec-number&gt;&lt;foreign-keys&gt;&lt;key app="EN" db-id="5z5zs2d9q5e0fbe20wrpwfswtw9xwerd9d9r" timestamp="1375665715"&gt;395&lt;/key&gt;&lt;/foreign-keys&gt;&lt;ref-type name="Journal Article"&gt;17&lt;/ref-type&gt;&lt;contributors&gt;&lt;authors&gt;&lt;author&gt;Kohl R, &lt;/author&gt;&lt;author&gt;Cooley L, &lt;/author&gt;&lt;/authors&gt;&lt;/contributors&gt;&lt;titles&gt;&lt;title&gt;Scaling Up-a conceptual and operational framework&lt;/title&gt;&lt;secondary-title&gt;Washington, DC: Management Systems International&lt;/secondary-title&gt;&lt;/titles&gt;&lt;periodical&gt;&lt;full-title&gt;Washington, DC: Management Systems International&lt;/full-title&gt;&lt;/periodical&gt;&lt;dates&gt;&lt;year&gt;2003&lt;/year&gt;&lt;/dates&gt;&lt;urls&gt;&lt;/urls&gt;&lt;/record&gt;&lt;/Cite&gt;&lt;/EndNote&gt;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16" w:tooltip="Kohl R, 2003 #395" w:history="1">
              <w:r w:rsidRPr="00C24991">
                <w:rPr>
                  <w:rFonts w:ascii="Arial" w:hAnsi="Arial" w:cs="Arial"/>
                  <w:noProof/>
                  <w:sz w:val="20"/>
                  <w:szCs w:val="20"/>
                  <w:lang w:eastAsia="en-US"/>
                </w:rPr>
                <w:t>16</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 xml:space="preserve">Commentary and literature review </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Definition of scaling up processes</w:t>
            </w:r>
          </w:p>
          <w:p w:rsidR="00C24991" w:rsidRPr="00C24991" w:rsidRDefault="00C24991" w:rsidP="00A2579A">
            <w:pPr>
              <w:autoSpaceDE w:val="0"/>
              <w:autoSpaceDN w:val="0"/>
              <w:adjustRightInd w:val="0"/>
              <w:rPr>
                <w:rFonts w:ascii="Arial" w:hAnsi="Arial" w:cs="Arial"/>
                <w:sz w:val="20"/>
                <w:szCs w:val="20"/>
                <w:lang w:eastAsia="en-US"/>
              </w:rPr>
            </w:pPr>
          </w:p>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Scaling Up Management (SUM)</w:t>
            </w:r>
          </w:p>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lang w:eastAsia="en-US"/>
              </w:rPr>
              <w:t>Framework</w:t>
            </w:r>
            <w:r w:rsidRPr="00C24991">
              <w:rPr>
                <w:rFonts w:ascii="Arial" w:hAnsi="Arial" w:cs="Arial"/>
                <w:sz w:val="20"/>
                <w:szCs w:val="20"/>
              </w:rPr>
              <w:t xml:space="preserve"> </w:t>
            </w:r>
          </w:p>
          <w:p w:rsidR="00C24991" w:rsidRPr="00C24991" w:rsidRDefault="00C24991" w:rsidP="00A2579A">
            <w:pPr>
              <w:autoSpaceDE w:val="0"/>
              <w:autoSpaceDN w:val="0"/>
              <w:adjustRightInd w:val="0"/>
              <w:rPr>
                <w:rFonts w:ascii="Arial" w:hAnsi="Arial" w:cs="Arial"/>
                <w:sz w:val="20"/>
                <w:szCs w:val="20"/>
                <w:lang w:eastAsia="en-US"/>
              </w:rPr>
            </w:pPr>
          </w:p>
        </w:tc>
        <w:tc>
          <w:tcPr>
            <w:tcW w:w="3686"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 xml:space="preserve">SUM framework includes 3 key steps: </w:t>
            </w:r>
          </w:p>
          <w:p w:rsidR="00C24991" w:rsidRPr="00C24991" w:rsidRDefault="00C24991" w:rsidP="00C24991">
            <w:pPr>
              <w:pStyle w:val="ListParagraph"/>
              <w:numPr>
                <w:ilvl w:val="0"/>
                <w:numId w:val="34"/>
              </w:numPr>
              <w:autoSpaceDE w:val="0"/>
              <w:autoSpaceDN w:val="0"/>
              <w:adjustRightInd w:val="0"/>
              <w:ind w:left="686" w:hanging="425"/>
              <w:rPr>
                <w:rFonts w:ascii="Arial" w:hAnsi="Arial" w:cs="Arial"/>
                <w:sz w:val="20"/>
                <w:szCs w:val="20"/>
              </w:rPr>
            </w:pPr>
            <w:r w:rsidRPr="00C24991">
              <w:rPr>
                <w:rFonts w:ascii="Arial" w:hAnsi="Arial" w:cs="Arial"/>
                <w:sz w:val="20"/>
                <w:szCs w:val="20"/>
              </w:rPr>
              <w:t xml:space="preserve">Step 1: developing a scaling up plan; </w:t>
            </w:r>
          </w:p>
          <w:p w:rsidR="00C24991" w:rsidRPr="00C24991" w:rsidRDefault="00C24991" w:rsidP="00C24991">
            <w:pPr>
              <w:pStyle w:val="ListParagraph"/>
              <w:numPr>
                <w:ilvl w:val="0"/>
                <w:numId w:val="34"/>
              </w:numPr>
              <w:autoSpaceDE w:val="0"/>
              <w:autoSpaceDN w:val="0"/>
              <w:adjustRightInd w:val="0"/>
              <w:ind w:left="686" w:hanging="425"/>
              <w:rPr>
                <w:rFonts w:ascii="Arial" w:hAnsi="Arial" w:cs="Arial"/>
                <w:sz w:val="20"/>
                <w:szCs w:val="20"/>
              </w:rPr>
            </w:pPr>
            <w:r w:rsidRPr="00C24991">
              <w:rPr>
                <w:rFonts w:ascii="Arial" w:hAnsi="Arial" w:cs="Arial"/>
                <w:sz w:val="20"/>
                <w:szCs w:val="20"/>
              </w:rPr>
              <w:t>Step 2: establishing the preconditions for scaling up; and</w:t>
            </w:r>
          </w:p>
          <w:p w:rsidR="00C24991" w:rsidRPr="00C24991" w:rsidRDefault="00C24991" w:rsidP="00C24991">
            <w:pPr>
              <w:pStyle w:val="ListParagraph"/>
              <w:numPr>
                <w:ilvl w:val="0"/>
                <w:numId w:val="34"/>
              </w:numPr>
              <w:autoSpaceDE w:val="0"/>
              <w:autoSpaceDN w:val="0"/>
              <w:adjustRightInd w:val="0"/>
              <w:ind w:left="686" w:hanging="425"/>
              <w:rPr>
                <w:rFonts w:ascii="Arial" w:hAnsi="Arial" w:cs="Arial"/>
                <w:sz w:val="20"/>
                <w:szCs w:val="20"/>
              </w:rPr>
            </w:pPr>
            <w:r w:rsidRPr="00C24991">
              <w:rPr>
                <w:rFonts w:ascii="Arial" w:hAnsi="Arial" w:cs="Arial"/>
                <w:sz w:val="20"/>
                <w:szCs w:val="20"/>
              </w:rPr>
              <w:t>Step 3: implementing the scaling up process based on the identification of factors that can promote extension and sustainability.</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Global health: reproductive health</w:t>
            </w:r>
          </w:p>
        </w:tc>
        <w:tc>
          <w:tcPr>
            <w:tcW w:w="4678" w:type="dxa"/>
          </w:tcPr>
          <w:p w:rsidR="00C24991" w:rsidRPr="00C24991" w:rsidRDefault="00C24991" w:rsidP="00C24991">
            <w:pPr>
              <w:pStyle w:val="ListParagraph"/>
              <w:numPr>
                <w:ilvl w:val="0"/>
                <w:numId w:val="33"/>
              </w:numPr>
              <w:autoSpaceDE w:val="0"/>
              <w:autoSpaceDN w:val="0"/>
              <w:adjustRightInd w:val="0"/>
              <w:ind w:left="254" w:hanging="254"/>
              <w:rPr>
                <w:rFonts w:ascii="Arial" w:hAnsi="Arial" w:cs="Arial"/>
                <w:sz w:val="20"/>
                <w:szCs w:val="20"/>
              </w:rPr>
            </w:pPr>
            <w:r w:rsidRPr="00C24991">
              <w:rPr>
                <w:rFonts w:ascii="Arial" w:hAnsi="Arial" w:cs="Arial"/>
                <w:sz w:val="20"/>
                <w:szCs w:val="20"/>
              </w:rPr>
              <w:t>The more process-intensive or context-specific a model is, the more participatory the scaling up process needs to be.</w:t>
            </w:r>
          </w:p>
          <w:p w:rsidR="00C24991" w:rsidRPr="00C24991" w:rsidRDefault="00C24991" w:rsidP="00C24991">
            <w:pPr>
              <w:pStyle w:val="ListParagraph"/>
              <w:numPr>
                <w:ilvl w:val="0"/>
                <w:numId w:val="33"/>
              </w:numPr>
              <w:autoSpaceDE w:val="0"/>
              <w:autoSpaceDN w:val="0"/>
              <w:adjustRightInd w:val="0"/>
              <w:ind w:left="254" w:hanging="254"/>
              <w:rPr>
                <w:rFonts w:ascii="Arial" w:hAnsi="Arial" w:cs="Arial"/>
                <w:sz w:val="20"/>
                <w:szCs w:val="20"/>
              </w:rPr>
            </w:pPr>
            <w:r w:rsidRPr="00C24991">
              <w:rPr>
                <w:rFonts w:ascii="Arial" w:hAnsi="Arial" w:cs="Arial"/>
                <w:sz w:val="20"/>
                <w:szCs w:val="20"/>
              </w:rPr>
              <w:t xml:space="preserve">The more one can simplify a model without losing the basis for its effectiveness, the more feasible it is to scale it up. </w:t>
            </w:r>
          </w:p>
          <w:p w:rsidR="00C24991" w:rsidRPr="00C24991" w:rsidRDefault="00C24991" w:rsidP="00C24991">
            <w:pPr>
              <w:pStyle w:val="ListParagraph"/>
              <w:numPr>
                <w:ilvl w:val="0"/>
                <w:numId w:val="33"/>
              </w:numPr>
              <w:autoSpaceDE w:val="0"/>
              <w:autoSpaceDN w:val="0"/>
              <w:adjustRightInd w:val="0"/>
              <w:ind w:left="254" w:hanging="254"/>
              <w:rPr>
                <w:rFonts w:ascii="Arial" w:hAnsi="Arial" w:cs="Arial"/>
                <w:sz w:val="20"/>
                <w:szCs w:val="20"/>
              </w:rPr>
            </w:pPr>
            <w:r w:rsidRPr="00C24991">
              <w:rPr>
                <w:rFonts w:ascii="Arial" w:hAnsi="Arial" w:cs="Arial"/>
                <w:sz w:val="20"/>
                <w:szCs w:val="20"/>
              </w:rPr>
              <w:t>There appears to be a strong reluctance on the part of most originating organizations to simplify, repackage, or relinquish control over their models for purposes of scaling them up.</w:t>
            </w:r>
          </w:p>
          <w:p w:rsidR="00C24991" w:rsidRPr="00C24991" w:rsidRDefault="00C24991" w:rsidP="00C24991">
            <w:pPr>
              <w:pStyle w:val="ListParagraph"/>
              <w:numPr>
                <w:ilvl w:val="0"/>
                <w:numId w:val="33"/>
              </w:numPr>
              <w:autoSpaceDE w:val="0"/>
              <w:autoSpaceDN w:val="0"/>
              <w:adjustRightInd w:val="0"/>
              <w:ind w:left="254" w:hanging="254"/>
              <w:rPr>
                <w:rFonts w:ascii="Arial" w:hAnsi="Arial" w:cs="Arial"/>
                <w:sz w:val="20"/>
                <w:szCs w:val="20"/>
              </w:rPr>
            </w:pPr>
            <w:r w:rsidRPr="00C24991">
              <w:rPr>
                <w:rFonts w:ascii="Arial" w:hAnsi="Arial" w:cs="Arial"/>
                <w:sz w:val="20"/>
                <w:szCs w:val="20"/>
              </w:rPr>
              <w:t>Management and leadership are major factors limiting the scaling up of successful pilot activities. The leadership and management skills needed to design and operate a successful pilot program are notably different from those needed to take a model to scale or those needed to operate on a large scale.</w:t>
            </w:r>
          </w:p>
          <w:p w:rsidR="00C24991" w:rsidRPr="00C24991" w:rsidRDefault="00C24991" w:rsidP="00C24991">
            <w:pPr>
              <w:pStyle w:val="ListParagraph"/>
              <w:numPr>
                <w:ilvl w:val="0"/>
                <w:numId w:val="33"/>
              </w:numPr>
              <w:autoSpaceDE w:val="0"/>
              <w:autoSpaceDN w:val="0"/>
              <w:adjustRightInd w:val="0"/>
              <w:ind w:left="254" w:hanging="254"/>
              <w:rPr>
                <w:rFonts w:ascii="Arial" w:hAnsi="Arial" w:cs="Arial"/>
                <w:sz w:val="20"/>
                <w:szCs w:val="20"/>
              </w:rPr>
            </w:pPr>
            <w:r w:rsidRPr="00C24991">
              <w:rPr>
                <w:rFonts w:ascii="Arial" w:hAnsi="Arial" w:cs="Arial"/>
                <w:sz w:val="20"/>
                <w:szCs w:val="20"/>
              </w:rPr>
              <w:t xml:space="preserve">Early planning for scaling up can significantly affect the design and implementation of pilot activities, and can materially increase the </w:t>
            </w:r>
            <w:r w:rsidRPr="00C24991">
              <w:rPr>
                <w:rFonts w:ascii="Arial" w:hAnsi="Arial" w:cs="Arial"/>
                <w:sz w:val="20"/>
                <w:szCs w:val="20"/>
              </w:rPr>
              <w:lastRenderedPageBreak/>
              <w:t>prospects for subsequent scaling up.</w:t>
            </w:r>
          </w:p>
          <w:p w:rsidR="00C24991" w:rsidRPr="00C24991" w:rsidRDefault="00C24991" w:rsidP="00C24991">
            <w:pPr>
              <w:pStyle w:val="ListParagraph"/>
              <w:numPr>
                <w:ilvl w:val="0"/>
                <w:numId w:val="33"/>
              </w:numPr>
              <w:autoSpaceDE w:val="0"/>
              <w:autoSpaceDN w:val="0"/>
              <w:adjustRightInd w:val="0"/>
              <w:ind w:left="254" w:hanging="254"/>
              <w:rPr>
                <w:rFonts w:ascii="Arial" w:hAnsi="Arial" w:cs="Arial"/>
                <w:sz w:val="20"/>
                <w:szCs w:val="20"/>
              </w:rPr>
            </w:pPr>
            <w:r w:rsidRPr="00C24991">
              <w:rPr>
                <w:rFonts w:ascii="Arial" w:hAnsi="Arial" w:cs="Arial"/>
                <w:sz w:val="20"/>
                <w:szCs w:val="20"/>
              </w:rPr>
              <w:t>Design of effective procedures for documenting and disseminating processes and results, early involvement of key decision makers, and anticipation of potential adopting organization(s) are important elements in planning.</w:t>
            </w:r>
          </w:p>
        </w:tc>
      </w:tr>
      <w:tr w:rsidR="00C24991" w:rsidRPr="00C24991" w:rsidTr="00A2579A">
        <w:tc>
          <w:tcPr>
            <w:tcW w:w="1242" w:type="dxa"/>
          </w:tcPr>
          <w:p w:rsidR="00C24991" w:rsidRPr="00C24991" w:rsidRDefault="00C24991" w:rsidP="00A2579A">
            <w:pPr>
              <w:rPr>
                <w:rFonts w:ascii="Arial" w:hAnsi="Arial" w:cs="Arial"/>
                <w:sz w:val="20"/>
                <w:szCs w:val="20"/>
              </w:rPr>
            </w:pPr>
            <w:proofErr w:type="spellStart"/>
            <w:r w:rsidRPr="00C24991">
              <w:rPr>
                <w:rFonts w:ascii="Arial" w:hAnsi="Arial" w:cs="Arial"/>
                <w:sz w:val="20"/>
                <w:szCs w:val="20"/>
                <w:lang w:eastAsia="en-US"/>
              </w:rPr>
              <w:lastRenderedPageBreak/>
              <w:t>Kumaranayake</w:t>
            </w:r>
            <w:proofErr w:type="spellEnd"/>
            <w:r w:rsidRPr="00C24991">
              <w:rPr>
                <w:rFonts w:ascii="Arial" w:hAnsi="Arial" w:cs="Arial"/>
                <w:sz w:val="20"/>
                <w:szCs w:val="20"/>
                <w:lang w:eastAsia="en-US"/>
              </w:rPr>
              <w:t xml:space="preserve"> (2008)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&lt;EndNote&gt;&lt;Cite&gt;&lt;Author&gt;Kumaranayake&lt;/Author&gt;&lt;Year&gt;2008&lt;/Year&gt;&lt;RecNum&gt;236&lt;/RecNum&gt;&lt;DisplayText&gt;[17]&lt;/DisplayText&gt;&lt;record&gt;&lt;rec-number&gt;236&lt;/rec-number&gt;&lt;foreign-keys&gt;&lt;key app="EN" db-id="5z5zs2d9q5e0fbe20wrpwfswtw9xwerd9d9r" timestamp="0"&gt;236&lt;/key&gt;&lt;/foreign-keys&gt;&lt;ref-type name="Journal Article"&gt;17&lt;/ref-type&gt;&lt;contributors&gt;&lt;authors&gt;&lt;author&gt;Kumaranayake L, &lt;/author&gt;&lt;/authors&gt;&lt;/contributors&gt;&lt;titles&gt;&lt;title&gt;The economics of scaling up: cost estimation for HIV/AIDS interventions&lt;/title&gt;&lt;secondary-title&gt;Aids&lt;/secondary-title&gt;&lt;/titles&gt;&lt;pages&gt;S23-S33&lt;/pages&gt;&lt;volume&gt;22&lt;/volume&gt;&lt;dates&gt;&lt;year&gt;2008&lt;/year&gt;&lt;/dates&gt;&lt;publisher&gt;LWW&lt;/publisher&gt;&lt;isbn&gt;0269-9370&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17" w:tooltip="Kumaranayake L, 2008 #236" w:history="1">
              <w:r w:rsidRPr="00C24991">
                <w:rPr>
                  <w:rFonts w:ascii="Arial" w:hAnsi="Arial" w:cs="Arial"/>
                  <w:noProof/>
                  <w:sz w:val="20"/>
                  <w:szCs w:val="20"/>
                  <w:lang w:eastAsia="en-US"/>
                </w:rPr>
                <w:t>17</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Commentary: Cost modelling</w:t>
            </w:r>
          </w:p>
        </w:tc>
        <w:tc>
          <w:tcPr>
            <w:tcW w:w="1842"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Costing models and variation</w:t>
            </w:r>
          </w:p>
          <w:p w:rsidR="00C24991" w:rsidRPr="00C24991" w:rsidRDefault="00C24991" w:rsidP="00A2579A">
            <w:pPr>
              <w:rPr>
                <w:rFonts w:ascii="Arial" w:hAnsi="Arial" w:cs="Arial"/>
                <w:sz w:val="20"/>
                <w:szCs w:val="20"/>
              </w:rPr>
            </w:pPr>
            <w:r w:rsidRPr="00C24991">
              <w:rPr>
                <w:rFonts w:ascii="Arial" w:hAnsi="Arial" w:cs="Arial"/>
                <w:sz w:val="20"/>
                <w:szCs w:val="20"/>
                <w:lang w:eastAsia="en-US"/>
              </w:rPr>
              <w:t>by scale</w:t>
            </w:r>
          </w:p>
        </w:tc>
        <w:tc>
          <w:tcPr>
            <w:tcW w:w="3686" w:type="dxa"/>
          </w:tcPr>
          <w:p w:rsidR="00C24991" w:rsidRPr="00C24991" w:rsidRDefault="00C24991" w:rsidP="00C24991">
            <w:pPr>
              <w:pStyle w:val="ListParagraph"/>
              <w:numPr>
                <w:ilvl w:val="0"/>
                <w:numId w:val="12"/>
              </w:numPr>
              <w:autoSpaceDE w:val="0"/>
              <w:autoSpaceDN w:val="0"/>
              <w:adjustRightInd w:val="0"/>
              <w:ind w:left="402" w:hanging="402"/>
              <w:rPr>
                <w:rFonts w:ascii="Arial" w:hAnsi="Arial" w:cs="Arial"/>
                <w:sz w:val="20"/>
                <w:szCs w:val="20"/>
              </w:rPr>
            </w:pPr>
            <w:r w:rsidRPr="00C24991">
              <w:rPr>
                <w:rFonts w:ascii="Arial" w:hAnsi="Arial" w:cs="Arial"/>
                <w:sz w:val="20"/>
                <w:szCs w:val="20"/>
              </w:rPr>
              <w:t>Relationship between average cost, marginal cost and output levels.</w:t>
            </w:r>
          </w:p>
          <w:p w:rsidR="00C24991" w:rsidRPr="00C24991" w:rsidRDefault="00C24991" w:rsidP="00C24991">
            <w:pPr>
              <w:pStyle w:val="ListParagraph"/>
              <w:numPr>
                <w:ilvl w:val="0"/>
                <w:numId w:val="12"/>
              </w:numPr>
              <w:autoSpaceDE w:val="0"/>
              <w:autoSpaceDN w:val="0"/>
              <w:adjustRightInd w:val="0"/>
              <w:ind w:left="402" w:hanging="402"/>
              <w:rPr>
                <w:rFonts w:ascii="Arial" w:hAnsi="Arial" w:cs="Arial"/>
                <w:sz w:val="20"/>
                <w:szCs w:val="20"/>
              </w:rPr>
            </w:pPr>
            <w:r w:rsidRPr="00C24991">
              <w:rPr>
                <w:rFonts w:ascii="Arial" w:hAnsi="Arial" w:cs="Arial"/>
                <w:sz w:val="20"/>
                <w:szCs w:val="20"/>
              </w:rPr>
              <w:t>Marginal cost curves.</w:t>
            </w:r>
          </w:p>
          <w:p w:rsidR="00C24991" w:rsidRPr="00C24991" w:rsidRDefault="00C24991" w:rsidP="00C24991">
            <w:pPr>
              <w:pStyle w:val="ListParagraph"/>
              <w:numPr>
                <w:ilvl w:val="0"/>
                <w:numId w:val="12"/>
              </w:numPr>
              <w:autoSpaceDE w:val="0"/>
              <w:autoSpaceDN w:val="0"/>
              <w:adjustRightInd w:val="0"/>
              <w:ind w:left="402" w:hanging="402"/>
              <w:rPr>
                <w:rFonts w:ascii="Arial" w:hAnsi="Arial" w:cs="Arial"/>
                <w:bCs/>
                <w:sz w:val="20"/>
                <w:szCs w:val="20"/>
              </w:rPr>
            </w:pPr>
            <w:r w:rsidRPr="00C24991">
              <w:rPr>
                <w:rFonts w:ascii="Arial" w:hAnsi="Arial" w:cs="Arial"/>
                <w:sz w:val="20"/>
                <w:szCs w:val="20"/>
              </w:rPr>
              <w:t>Cost-modelling.</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Global health: HIV interventions</w:t>
            </w:r>
          </w:p>
        </w:tc>
        <w:tc>
          <w:tcPr>
            <w:tcW w:w="4678" w:type="dxa"/>
          </w:tcPr>
          <w:p w:rsidR="00C24991" w:rsidRPr="00C24991" w:rsidRDefault="00C24991" w:rsidP="00C24991">
            <w:pPr>
              <w:pStyle w:val="ListParagraph"/>
              <w:numPr>
                <w:ilvl w:val="0"/>
                <w:numId w:val="11"/>
              </w:numPr>
              <w:autoSpaceDE w:val="0"/>
              <w:autoSpaceDN w:val="0"/>
              <w:adjustRightInd w:val="0"/>
              <w:ind w:left="254" w:hanging="254"/>
              <w:rPr>
                <w:rFonts w:ascii="Arial" w:hAnsi="Arial" w:cs="Arial"/>
                <w:sz w:val="20"/>
                <w:szCs w:val="20"/>
              </w:rPr>
            </w:pPr>
            <w:r w:rsidRPr="00C24991">
              <w:rPr>
                <w:rFonts w:ascii="Arial" w:hAnsi="Arial" w:cs="Arial"/>
                <w:sz w:val="20"/>
                <w:szCs w:val="20"/>
              </w:rPr>
              <w:t>Decision-makers encounter significant uncertainties about financing and the need to understand programing costs at different scales of delivery.</w:t>
            </w:r>
          </w:p>
          <w:p w:rsidR="00C24991" w:rsidRPr="00C24991" w:rsidRDefault="00C24991" w:rsidP="00C24991">
            <w:pPr>
              <w:pStyle w:val="ListParagraph"/>
              <w:numPr>
                <w:ilvl w:val="0"/>
                <w:numId w:val="11"/>
              </w:numPr>
              <w:autoSpaceDE w:val="0"/>
              <w:autoSpaceDN w:val="0"/>
              <w:adjustRightInd w:val="0"/>
              <w:ind w:left="254" w:hanging="254"/>
              <w:rPr>
                <w:rFonts w:ascii="Arial" w:hAnsi="Arial" w:cs="Arial"/>
                <w:sz w:val="20"/>
                <w:szCs w:val="20"/>
              </w:rPr>
            </w:pPr>
            <w:r w:rsidRPr="00C24991">
              <w:rPr>
                <w:rFonts w:ascii="Arial" w:hAnsi="Arial" w:cs="Arial"/>
                <w:sz w:val="20"/>
                <w:szCs w:val="20"/>
              </w:rPr>
              <w:t>Average costs may become larger or smaller</w:t>
            </w:r>
          </w:p>
          <w:p w:rsidR="00C24991" w:rsidRPr="00C24991" w:rsidRDefault="00C24991" w:rsidP="00A2579A">
            <w:pPr>
              <w:pStyle w:val="ListParagraph"/>
              <w:autoSpaceDE w:val="0"/>
              <w:autoSpaceDN w:val="0"/>
              <w:adjustRightInd w:val="0"/>
              <w:ind w:left="254"/>
              <w:rPr>
                <w:rFonts w:ascii="Arial" w:hAnsi="Arial" w:cs="Arial"/>
                <w:sz w:val="20"/>
                <w:szCs w:val="20"/>
              </w:rPr>
            </w:pPr>
            <w:proofErr w:type="gramStart"/>
            <w:r w:rsidRPr="00C24991">
              <w:rPr>
                <w:rFonts w:ascii="Arial" w:hAnsi="Arial" w:cs="Arial"/>
                <w:sz w:val="20"/>
                <w:szCs w:val="20"/>
              </w:rPr>
              <w:t>as</w:t>
            </w:r>
            <w:proofErr w:type="gramEnd"/>
            <w:r w:rsidRPr="00C24991">
              <w:rPr>
                <w:rFonts w:ascii="Arial" w:hAnsi="Arial" w:cs="Arial"/>
                <w:sz w:val="20"/>
                <w:szCs w:val="20"/>
              </w:rPr>
              <w:t xml:space="preserve"> the volume of services expand, depending on the level of coverage and type of intervention. </w:t>
            </w:r>
          </w:p>
          <w:p w:rsidR="00C24991" w:rsidRPr="00C24991" w:rsidRDefault="00C24991" w:rsidP="00C24991">
            <w:pPr>
              <w:pStyle w:val="ListParagraph"/>
              <w:numPr>
                <w:ilvl w:val="0"/>
                <w:numId w:val="11"/>
              </w:numPr>
              <w:autoSpaceDE w:val="0"/>
              <w:autoSpaceDN w:val="0"/>
              <w:adjustRightInd w:val="0"/>
              <w:ind w:left="254" w:hanging="254"/>
              <w:rPr>
                <w:rFonts w:ascii="Arial" w:hAnsi="Arial" w:cs="Arial"/>
                <w:sz w:val="20"/>
                <w:szCs w:val="20"/>
              </w:rPr>
            </w:pPr>
            <w:r w:rsidRPr="00C24991">
              <w:rPr>
                <w:rFonts w:ascii="Arial" w:hAnsi="Arial" w:cs="Arial"/>
                <w:sz w:val="20"/>
                <w:szCs w:val="20"/>
              </w:rPr>
              <w:t>Key constraints to scaling up include infrastructure investments and cost results.</w:t>
            </w:r>
          </w:p>
          <w:p w:rsidR="00C24991" w:rsidRPr="00C24991" w:rsidRDefault="00C24991" w:rsidP="00C24991">
            <w:pPr>
              <w:pStyle w:val="ListParagraph"/>
              <w:numPr>
                <w:ilvl w:val="0"/>
                <w:numId w:val="11"/>
              </w:numPr>
              <w:autoSpaceDE w:val="0"/>
              <w:autoSpaceDN w:val="0"/>
              <w:adjustRightInd w:val="0"/>
              <w:ind w:left="254" w:hanging="254"/>
              <w:rPr>
                <w:rFonts w:ascii="Arial" w:hAnsi="Arial" w:cs="Arial"/>
                <w:sz w:val="20"/>
                <w:szCs w:val="20"/>
              </w:rPr>
            </w:pPr>
            <w:r w:rsidRPr="00C24991">
              <w:rPr>
                <w:rFonts w:ascii="Arial" w:hAnsi="Arial" w:cs="Arial"/>
                <w:sz w:val="20"/>
                <w:szCs w:val="20"/>
              </w:rPr>
              <w:t>Evidence suggests that cost efficiencies associated with scale may reflect different ways of delivering services at higher volumes, including lower quality outputs.</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t xml:space="preserve">Larson et al (2012)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&lt;EndNote&gt;&lt;Cite&gt;&lt;Author&gt;Larson&lt;/Author&gt;&lt;Year&gt;2012&lt;/Year&gt;&lt;RecNum&gt;223&lt;/RecNum&gt;&lt;DisplayText&gt;[18]&lt;/DisplayText&gt;&lt;record&gt;&lt;rec-number&gt;223&lt;/rec-number&gt;&lt;foreign-keys&gt;&lt;key app="EN" db-id="5z5zs2d9q5e0fbe20wrpwfswtw9xwerd9d9r" timestamp="0"&gt;223&lt;/key&gt;&lt;/foreign-keys&gt;&lt;ref-type name="Journal Article"&gt;17&lt;/ref-type&gt;&lt;contributors&gt;&lt;authors&gt;&lt;author&gt;Larson CP,&lt;/author&gt;&lt;author&gt;Koehlmoos TP,&lt;/author&gt;&lt;author&gt;Sack DA&lt;/author&gt;&lt;/authors&gt;&lt;/contributors&gt;&lt;titles&gt;&lt;title&gt;Scaling up zinc treatment of childhood diarrhoea in Bangladesh: theoretical and practical considerations guiding the SUZY Project&lt;/title&gt;&lt;secondary-title&gt;Health Policy and Planning&lt;/secondary-title&gt;&lt;/titles&gt;&lt;periodical&gt;&lt;full-title&gt;Health policy and planning&lt;/full-title&gt;&lt;/periodical&gt;&lt;pages&gt;102-114&lt;/pages&gt;&lt;volume&gt;27&lt;/volume&gt;&lt;number&gt;2&lt;/number&gt;&lt;dates&gt;&lt;year&gt;2012&lt;/year&gt;&lt;/dates&gt;&lt;publisher&gt;Oxford Univ Press&lt;/publisher&gt;&lt;isbn&gt;0268-1080&lt;/isbn&gt;&lt;urls&gt;&lt;/urls&gt;&lt;/record&gt;&lt;/Cite&gt;&lt;/EndNote&gt;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18" w:tooltip="Larson CP, 2012 #223" w:history="1">
              <w:r w:rsidRPr="00C24991">
                <w:rPr>
                  <w:rFonts w:ascii="Arial" w:hAnsi="Arial" w:cs="Arial"/>
                  <w:noProof/>
                  <w:sz w:val="20"/>
                  <w:szCs w:val="20"/>
                  <w:lang w:eastAsia="en-US"/>
                </w:rPr>
                <w:t>18</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Descriptive: case study</w:t>
            </w:r>
          </w:p>
        </w:tc>
        <w:tc>
          <w:tcPr>
            <w:tcW w:w="1842" w:type="dxa"/>
          </w:tcPr>
          <w:p w:rsidR="00C24991" w:rsidRPr="00C24991" w:rsidRDefault="00C24991" w:rsidP="00A2579A">
            <w:pPr>
              <w:rPr>
                <w:rFonts w:ascii="Arial" w:hAnsi="Arial" w:cs="Arial"/>
                <w:sz w:val="20"/>
                <w:szCs w:val="20"/>
                <w:lang w:eastAsia="en-US"/>
              </w:rPr>
            </w:pPr>
            <w:r w:rsidRPr="00C24991">
              <w:rPr>
                <w:rFonts w:ascii="Arial" w:hAnsi="Arial" w:cs="Arial"/>
                <w:sz w:val="20"/>
                <w:szCs w:val="20"/>
                <w:lang w:eastAsia="en-US"/>
              </w:rPr>
              <w:t>Social cognitive theory.</w:t>
            </w:r>
          </w:p>
          <w:p w:rsidR="00C24991" w:rsidRPr="00C24991" w:rsidRDefault="00C24991" w:rsidP="00A2579A">
            <w:pPr>
              <w:rPr>
                <w:rFonts w:ascii="Arial" w:hAnsi="Arial" w:cs="Arial"/>
                <w:sz w:val="20"/>
                <w:szCs w:val="20"/>
                <w:lang w:eastAsia="en-US"/>
              </w:rPr>
            </w:pPr>
          </w:p>
          <w:p w:rsidR="00C24991" w:rsidRPr="00C24991" w:rsidRDefault="00C24991" w:rsidP="00A2579A">
            <w:pPr>
              <w:rPr>
                <w:rFonts w:ascii="Arial" w:hAnsi="Arial" w:cs="Arial"/>
                <w:sz w:val="20"/>
                <w:szCs w:val="20"/>
              </w:rPr>
            </w:pPr>
            <w:r w:rsidRPr="00C24991">
              <w:rPr>
                <w:rFonts w:ascii="Arial" w:hAnsi="Arial" w:cs="Arial"/>
                <w:sz w:val="20"/>
                <w:szCs w:val="20"/>
                <w:lang w:eastAsia="en-US"/>
              </w:rPr>
              <w:t>Social marketing frameworks</w:t>
            </w:r>
          </w:p>
        </w:tc>
        <w:tc>
          <w:tcPr>
            <w:tcW w:w="3686" w:type="dxa"/>
          </w:tcPr>
          <w:p w:rsidR="00C24991" w:rsidRPr="00C24991" w:rsidRDefault="00C24991" w:rsidP="00A2579A">
            <w:pPr>
              <w:rPr>
                <w:rFonts w:ascii="Arial" w:hAnsi="Arial" w:cs="Arial"/>
                <w:sz w:val="20"/>
                <w:szCs w:val="20"/>
                <w:lang w:eastAsia="en-US"/>
              </w:rPr>
            </w:pPr>
            <w:r w:rsidRPr="00C24991">
              <w:rPr>
                <w:rFonts w:ascii="Arial" w:hAnsi="Arial" w:cs="Arial"/>
                <w:sz w:val="20"/>
                <w:szCs w:val="20"/>
                <w:lang w:eastAsia="en-US"/>
              </w:rPr>
              <w:t>Project performance framework:</w:t>
            </w:r>
          </w:p>
          <w:p w:rsidR="00C24991" w:rsidRPr="00C24991" w:rsidRDefault="00C24991" w:rsidP="00C24991">
            <w:pPr>
              <w:pStyle w:val="ListParagraph"/>
              <w:numPr>
                <w:ilvl w:val="0"/>
                <w:numId w:val="14"/>
              </w:numPr>
              <w:ind w:left="261" w:hanging="261"/>
              <w:rPr>
                <w:rFonts w:ascii="Arial" w:hAnsi="Arial" w:cs="Arial"/>
                <w:sz w:val="20"/>
                <w:szCs w:val="20"/>
              </w:rPr>
            </w:pPr>
            <w:r w:rsidRPr="00C24991">
              <w:rPr>
                <w:rFonts w:ascii="Arial" w:hAnsi="Arial" w:cs="Arial"/>
                <w:sz w:val="20"/>
                <w:szCs w:val="20"/>
              </w:rPr>
              <w:t>zinc formulation (formulation, regulatory steps, technology transfer, production, distribution);</w:t>
            </w:r>
          </w:p>
          <w:p w:rsidR="00C24991" w:rsidRPr="00C24991" w:rsidRDefault="00C24991" w:rsidP="00C24991">
            <w:pPr>
              <w:pStyle w:val="ListParagraph"/>
              <w:numPr>
                <w:ilvl w:val="0"/>
                <w:numId w:val="14"/>
              </w:numPr>
              <w:ind w:left="261" w:hanging="261"/>
              <w:rPr>
                <w:rFonts w:ascii="Arial" w:hAnsi="Arial" w:cs="Arial"/>
                <w:sz w:val="20"/>
                <w:szCs w:val="20"/>
              </w:rPr>
            </w:pPr>
            <w:r w:rsidRPr="00C24991">
              <w:rPr>
                <w:rFonts w:ascii="Arial" w:hAnsi="Arial" w:cs="Arial"/>
                <w:sz w:val="20"/>
                <w:szCs w:val="20"/>
              </w:rPr>
              <w:t>research in support of zinc scale up (pre-launch, post-launch);</w:t>
            </w:r>
          </w:p>
          <w:p w:rsidR="00C24991" w:rsidRPr="00C24991" w:rsidRDefault="00C24991" w:rsidP="00C24991">
            <w:pPr>
              <w:pStyle w:val="ListParagraph"/>
              <w:numPr>
                <w:ilvl w:val="0"/>
                <w:numId w:val="14"/>
              </w:numPr>
              <w:ind w:left="261" w:hanging="261"/>
              <w:rPr>
                <w:rFonts w:ascii="Arial" w:hAnsi="Arial" w:cs="Arial"/>
                <w:sz w:val="20"/>
                <w:szCs w:val="20"/>
              </w:rPr>
            </w:pPr>
            <w:r w:rsidRPr="00C24991">
              <w:rPr>
                <w:rFonts w:ascii="Arial" w:hAnsi="Arial" w:cs="Arial"/>
                <w:sz w:val="20"/>
                <w:szCs w:val="20"/>
              </w:rPr>
              <w:t>product promotion (providers, caregivers mass media);</w:t>
            </w:r>
          </w:p>
          <w:p w:rsidR="00C24991" w:rsidRPr="00C24991" w:rsidRDefault="00C24991" w:rsidP="00C24991">
            <w:pPr>
              <w:pStyle w:val="ListParagraph"/>
              <w:numPr>
                <w:ilvl w:val="0"/>
                <w:numId w:val="14"/>
              </w:numPr>
              <w:ind w:left="261" w:hanging="261"/>
              <w:rPr>
                <w:rFonts w:ascii="Arial" w:hAnsi="Arial" w:cs="Arial"/>
                <w:sz w:val="20"/>
                <w:szCs w:val="20"/>
              </w:rPr>
            </w:pPr>
            <w:r w:rsidRPr="00C24991">
              <w:rPr>
                <w:rFonts w:ascii="Arial" w:hAnsi="Arial" w:cs="Arial"/>
                <w:sz w:val="20"/>
                <w:szCs w:val="20"/>
              </w:rPr>
              <w:lastRenderedPageBreak/>
              <w:t>health care delivery systems (Key players and partnerships, health policy, manpower, financing); and</w:t>
            </w:r>
          </w:p>
          <w:p w:rsidR="00C24991" w:rsidRPr="00C24991" w:rsidRDefault="00C24991" w:rsidP="00C24991">
            <w:pPr>
              <w:pStyle w:val="ListParagraph"/>
              <w:numPr>
                <w:ilvl w:val="0"/>
                <w:numId w:val="14"/>
              </w:numPr>
              <w:ind w:left="261" w:hanging="261"/>
              <w:rPr>
                <w:rFonts w:ascii="Arial" w:hAnsi="Arial" w:cs="Arial"/>
                <w:sz w:val="20"/>
                <w:szCs w:val="20"/>
              </w:rPr>
            </w:pPr>
            <w:proofErr w:type="gramStart"/>
            <w:r w:rsidRPr="00C24991">
              <w:rPr>
                <w:rFonts w:ascii="Arial" w:hAnsi="Arial" w:cs="Arial"/>
                <w:sz w:val="20"/>
                <w:szCs w:val="20"/>
              </w:rPr>
              <w:t>knowledge</w:t>
            </w:r>
            <w:proofErr w:type="gramEnd"/>
            <w:r w:rsidRPr="00C24991">
              <w:rPr>
                <w:rFonts w:ascii="Arial" w:hAnsi="Arial" w:cs="Arial"/>
                <w:sz w:val="20"/>
                <w:szCs w:val="20"/>
              </w:rPr>
              <w:t xml:space="preserve"> transfer/dissemination (website, newsletter, international conference, publications).</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rPr>
              <w:lastRenderedPageBreak/>
              <w:t xml:space="preserve">Bangladesh: </w:t>
            </w:r>
            <w:r w:rsidRPr="00C24991">
              <w:rPr>
                <w:rFonts w:ascii="Arial" w:hAnsi="Arial" w:cs="Arial"/>
                <w:sz w:val="20"/>
                <w:szCs w:val="20"/>
                <w:lang w:eastAsia="en-US"/>
              </w:rPr>
              <w:t>Zinc treatment of childhood diarrhoea as an adjunct to oral rehydration</w:t>
            </w:r>
          </w:p>
          <w:p w:rsidR="00C24991" w:rsidRPr="00C24991" w:rsidRDefault="00C24991" w:rsidP="00A2579A">
            <w:pPr>
              <w:rPr>
                <w:rFonts w:ascii="Arial" w:hAnsi="Arial" w:cs="Arial"/>
                <w:sz w:val="20"/>
                <w:szCs w:val="20"/>
              </w:rPr>
            </w:pPr>
            <w:r w:rsidRPr="00C24991">
              <w:rPr>
                <w:rFonts w:ascii="Arial" w:hAnsi="Arial" w:cs="Arial"/>
                <w:sz w:val="20"/>
                <w:szCs w:val="20"/>
                <w:lang w:eastAsia="en-US"/>
              </w:rPr>
              <w:t>solution</w:t>
            </w:r>
          </w:p>
        </w:tc>
        <w:tc>
          <w:tcPr>
            <w:tcW w:w="4678" w:type="dxa"/>
          </w:tcPr>
          <w:p w:rsidR="00C24991" w:rsidRPr="00C24991" w:rsidRDefault="00C24991" w:rsidP="00C24991">
            <w:pPr>
              <w:pStyle w:val="ListParagraph"/>
              <w:numPr>
                <w:ilvl w:val="0"/>
                <w:numId w:val="13"/>
              </w:numPr>
              <w:autoSpaceDE w:val="0"/>
              <w:autoSpaceDN w:val="0"/>
              <w:adjustRightInd w:val="0"/>
              <w:ind w:left="254" w:hanging="254"/>
              <w:rPr>
                <w:rFonts w:ascii="Arial" w:hAnsi="Arial" w:cs="Arial"/>
                <w:sz w:val="20"/>
                <w:szCs w:val="20"/>
              </w:rPr>
            </w:pPr>
            <w:r w:rsidRPr="00C24991">
              <w:rPr>
                <w:rFonts w:ascii="Arial" w:hAnsi="Arial" w:cs="Arial"/>
                <w:sz w:val="20"/>
                <w:szCs w:val="20"/>
              </w:rPr>
              <w:t>Critical to the success of a scale-up campaign is the preparation of a project performance framework that clearly identifies the major project components and the activities to be performed under each.</w:t>
            </w:r>
          </w:p>
          <w:p w:rsidR="00C24991" w:rsidRPr="00C24991" w:rsidRDefault="00C24991" w:rsidP="00C24991">
            <w:pPr>
              <w:pStyle w:val="ListParagraph"/>
              <w:numPr>
                <w:ilvl w:val="0"/>
                <w:numId w:val="13"/>
              </w:numPr>
              <w:autoSpaceDE w:val="0"/>
              <w:autoSpaceDN w:val="0"/>
              <w:adjustRightInd w:val="0"/>
              <w:ind w:left="254" w:hanging="254"/>
              <w:rPr>
                <w:rFonts w:ascii="Arial" w:hAnsi="Arial" w:cs="Arial"/>
                <w:sz w:val="20"/>
                <w:szCs w:val="20"/>
              </w:rPr>
            </w:pPr>
            <w:r w:rsidRPr="00C24991">
              <w:rPr>
                <w:rFonts w:ascii="Arial" w:hAnsi="Arial" w:cs="Arial"/>
                <w:sz w:val="20"/>
                <w:szCs w:val="20"/>
              </w:rPr>
              <w:t xml:space="preserve">Scale-up campaigns ideally should be repeatedly monitored for intended and unintended consequences, including rates of </w:t>
            </w:r>
            <w:r w:rsidRPr="00C24991">
              <w:rPr>
                <w:rFonts w:ascii="Arial" w:hAnsi="Arial" w:cs="Arial"/>
                <w:sz w:val="20"/>
                <w:szCs w:val="20"/>
              </w:rPr>
              <w:lastRenderedPageBreak/>
              <w:t>zinc coverage and disparities in coverage.</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lastRenderedPageBreak/>
              <w:t xml:space="preserve">Maher et al (2007)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&lt;EndNote&gt;&lt;Cite&gt;&lt;Author&gt;Maher&lt;/Author&gt;&lt;Year&gt;2007&lt;/Year&gt;&lt;RecNum&gt;238&lt;/RecNum&gt;&lt;DisplayText&gt;[19]&lt;/DisplayText&gt;&lt;record&gt;&lt;rec-number&gt;238&lt;/rec-number&gt;&lt;foreign-keys&gt;&lt;key app="EN" db-id="5z5zs2d9q5e0fbe20wrpwfswtw9xwerd9d9r" timestamp="0"&gt;238&lt;/key&gt;&lt;/foreign-keys&gt;&lt;ref-type name="Journal Article"&gt;17&lt;/ref-type&gt;&lt;contributors&gt;&lt;authors&gt;&lt;author&gt;Maher D,&lt;/author&gt;&lt;author&gt;Dye C,&lt;/author&gt;&lt;author&gt;Floyd K, &lt;/author&gt;&lt;author&gt;Pantoja A, &lt;/author&gt;&lt;author&gt;Lonnroth K, &lt;/author&gt;&lt;author&gt;Reid A, &lt;/author&gt;&lt;author&gt;Nathanson E, &lt;/author&gt;&lt;author&gt;Pennas T, &lt;/author&gt;&lt;author&gt;Fruth U, &lt;/author&gt;&lt;author&gt;Cunningham J, &lt;/author&gt;&lt;/authors&gt;&lt;/contributors&gt;&lt;titles&gt;&lt;title&gt;Planning to improve global health: the next decade of tuberculosis control&lt;/title&gt;&lt;secondary-title&gt;Bulletin of the World Health Organization&lt;/secondary-title&gt;&lt;/titles&gt;&lt;pages&gt;341-347&lt;/pages&gt;&lt;volume&gt;85&lt;/volume&gt;&lt;number&gt;5&lt;/number&gt;&lt;dates&gt;&lt;year&gt;2007&lt;/year&gt;&lt;/dates&gt;&lt;publisher&gt;SciELO Public Health&lt;/publisher&gt;&lt;isbn&gt;0042-9686&lt;/isbn&gt;&lt;urls&gt;&lt;/urls&gt;&lt;/record&gt;&lt;/Cite&gt;&lt;/EndNote&gt;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19" w:tooltip="Maher D, 2007 #238" w:history="1">
              <w:r w:rsidRPr="00C24991">
                <w:rPr>
                  <w:rFonts w:ascii="Arial" w:hAnsi="Arial" w:cs="Arial"/>
                  <w:noProof/>
                  <w:sz w:val="20"/>
                  <w:szCs w:val="20"/>
                  <w:lang w:eastAsia="en-US"/>
                </w:rPr>
                <w:t>19</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Commentary</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 xml:space="preserve">Mathematical modelling of scaling up </w:t>
            </w:r>
          </w:p>
        </w:tc>
        <w:tc>
          <w:tcPr>
            <w:tcW w:w="3686"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Estimates of the potential impact of</w:t>
            </w:r>
          </w:p>
          <w:p w:rsidR="00C24991" w:rsidRPr="00C24991" w:rsidRDefault="00C24991" w:rsidP="00A2579A">
            <w:pPr>
              <w:autoSpaceDE w:val="0"/>
              <w:autoSpaceDN w:val="0"/>
              <w:adjustRightInd w:val="0"/>
              <w:rPr>
                <w:rFonts w:ascii="Arial" w:hAnsi="Arial" w:cs="Arial"/>
                <w:sz w:val="20"/>
                <w:szCs w:val="20"/>
                <w:lang w:eastAsia="en-US"/>
              </w:rPr>
            </w:pPr>
            <w:proofErr w:type="gramStart"/>
            <w:r w:rsidRPr="00C24991">
              <w:rPr>
                <w:rFonts w:ascii="Arial" w:hAnsi="Arial" w:cs="Arial"/>
                <w:sz w:val="20"/>
                <w:szCs w:val="20"/>
                <w:lang w:eastAsia="en-US"/>
              </w:rPr>
              <w:t>scaling</w:t>
            </w:r>
            <w:proofErr w:type="gramEnd"/>
            <w:r w:rsidRPr="00C24991">
              <w:rPr>
                <w:rFonts w:ascii="Arial" w:hAnsi="Arial" w:cs="Arial"/>
                <w:sz w:val="20"/>
                <w:szCs w:val="20"/>
                <w:lang w:eastAsia="en-US"/>
              </w:rPr>
              <w:t xml:space="preserve"> up interventions on </w:t>
            </w:r>
            <w:r w:rsidRPr="00C24991">
              <w:rPr>
                <w:rFonts w:ascii="Arial" w:hAnsi="Arial" w:cs="Arial"/>
                <w:sz w:val="20"/>
                <w:szCs w:val="20"/>
              </w:rPr>
              <w:t xml:space="preserve">prevalence, incidence and death rates by estimating  </w:t>
            </w:r>
            <w:r w:rsidRPr="00C24991">
              <w:rPr>
                <w:rFonts w:ascii="Arial" w:hAnsi="Arial" w:cs="Arial"/>
                <w:sz w:val="20"/>
                <w:szCs w:val="20"/>
                <w:lang w:eastAsia="en-US"/>
              </w:rPr>
              <w:t xml:space="preserve">levels of tuberculosis case detection and treatment </w:t>
            </w:r>
            <w:r w:rsidRPr="00C24991">
              <w:rPr>
                <w:rFonts w:ascii="Arial" w:hAnsi="Arial" w:cs="Arial"/>
                <w:sz w:val="20"/>
                <w:szCs w:val="20"/>
              </w:rPr>
              <w:t>outcomes from studies.</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bCs/>
                <w:sz w:val="20"/>
                <w:szCs w:val="20"/>
                <w:lang w:eastAsia="en-US"/>
              </w:rPr>
              <w:t>Global health: tuberculosis control</w:t>
            </w:r>
          </w:p>
        </w:tc>
        <w:tc>
          <w:tcPr>
            <w:tcW w:w="4678" w:type="dxa"/>
          </w:tcPr>
          <w:p w:rsidR="00C24991" w:rsidRPr="00C24991" w:rsidRDefault="00C24991" w:rsidP="00C24991">
            <w:pPr>
              <w:pStyle w:val="ListParagraph"/>
              <w:numPr>
                <w:ilvl w:val="0"/>
                <w:numId w:val="15"/>
              </w:numPr>
              <w:autoSpaceDE w:val="0"/>
              <w:autoSpaceDN w:val="0"/>
              <w:adjustRightInd w:val="0"/>
              <w:ind w:left="254" w:hanging="254"/>
              <w:rPr>
                <w:rFonts w:ascii="Arial" w:hAnsi="Arial" w:cs="Arial"/>
                <w:sz w:val="20"/>
                <w:szCs w:val="20"/>
              </w:rPr>
            </w:pPr>
            <w:r w:rsidRPr="00C24991">
              <w:rPr>
                <w:rFonts w:ascii="Arial" w:hAnsi="Arial" w:cs="Arial"/>
                <w:sz w:val="20"/>
                <w:szCs w:val="20"/>
              </w:rPr>
              <w:t xml:space="preserve">A consensus plan based on sound epidemiological analysis with robust budget justifications presents a convincing argument for </w:t>
            </w:r>
            <w:proofErr w:type="gramStart"/>
            <w:r w:rsidRPr="00C24991">
              <w:rPr>
                <w:rFonts w:ascii="Arial" w:hAnsi="Arial" w:cs="Arial"/>
                <w:sz w:val="20"/>
                <w:szCs w:val="20"/>
              </w:rPr>
              <w:t>mobilizing  resources</w:t>
            </w:r>
            <w:proofErr w:type="gramEnd"/>
            <w:r w:rsidRPr="00C24991">
              <w:rPr>
                <w:rFonts w:ascii="Arial" w:hAnsi="Arial" w:cs="Arial"/>
                <w:sz w:val="20"/>
                <w:szCs w:val="20"/>
              </w:rPr>
              <w:t xml:space="preserve"> needed for action. </w:t>
            </w:r>
          </w:p>
          <w:p w:rsidR="00C24991" w:rsidRPr="00C24991" w:rsidRDefault="00C24991" w:rsidP="00C24991">
            <w:pPr>
              <w:pStyle w:val="ListParagraph"/>
              <w:numPr>
                <w:ilvl w:val="0"/>
                <w:numId w:val="15"/>
              </w:numPr>
              <w:autoSpaceDE w:val="0"/>
              <w:autoSpaceDN w:val="0"/>
              <w:adjustRightInd w:val="0"/>
              <w:ind w:left="254" w:hanging="254"/>
              <w:rPr>
                <w:rFonts w:ascii="Arial" w:hAnsi="Arial" w:cs="Arial"/>
                <w:sz w:val="20"/>
                <w:szCs w:val="20"/>
              </w:rPr>
            </w:pPr>
            <w:r w:rsidRPr="00C24991">
              <w:rPr>
                <w:rFonts w:ascii="Arial" w:hAnsi="Arial" w:cs="Arial"/>
                <w:sz w:val="20"/>
                <w:szCs w:val="20"/>
              </w:rPr>
              <w:t>The plan provides a means of ensuring accountability, since progress is measured against actual milestones.</w:t>
            </w:r>
          </w:p>
        </w:tc>
      </w:tr>
      <w:tr w:rsidR="00C24991" w:rsidRPr="00C24991" w:rsidTr="00A2579A">
        <w:trPr>
          <w:trHeight w:val="2366"/>
        </w:trPr>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t xml:space="preserve">Mangham &amp; Hanson (2010)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&lt;EndNote&gt;&lt;Cite&gt;&lt;Author&gt;Mangham&lt;/Author&gt;&lt;Year&gt;2010&lt;/Year&gt;&lt;RecNum&gt;216&lt;/RecNum&gt;&lt;DisplayText&gt;[20]&lt;/DisplayText&gt;&lt;record&gt;&lt;rec-number&gt;216&lt;/rec-number&gt;&lt;foreign-keys&gt;&lt;key app="EN" db-id="5z5zs2d9q5e0fbe20wrpwfswtw9xwerd9d9r" timestamp="0"&gt;216&lt;/key&gt;&lt;/foreign-keys&gt;&lt;ref-type name="Journal Article"&gt;17&lt;/ref-type&gt;&lt;contributors&gt;&lt;authors&gt;&lt;author&gt;Mangham LJ, &lt;/author&gt;&lt;author&gt;Hanson K, &lt;/author&gt;&lt;/authors&gt;&lt;/contributors&gt;&lt;titles&gt;&lt;title&gt;Scaling up in international health: what are the key issues?&lt;/title&gt;&lt;secondary-title&gt;Health Policy and Planning&lt;/secondary-title&gt;&lt;/titles&gt;&lt;periodical&gt;&lt;full-title&gt;Health policy and planning&lt;/full-title&gt;&lt;/periodical&gt;&lt;pages&gt;85-96&lt;/pages&gt;&lt;volume&gt;25&lt;/volume&gt;&lt;number&gt;2&lt;/number&gt;&lt;dates&gt;&lt;year&gt;2010&lt;/year&gt;&lt;/dates&gt;&lt;publisher&gt;Oxford Univ Press&lt;/publisher&gt;&lt;isbn&gt;0268-1080&lt;/isbn&gt;&lt;urls&gt;&lt;/urls&gt;&lt;/record&gt;&lt;/Cite&gt;&lt;/EndNote&gt;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20" w:tooltip="Mangham LJ, 2010 #216" w:history="1">
              <w:r w:rsidRPr="00C24991">
                <w:rPr>
                  <w:rFonts w:ascii="Arial" w:hAnsi="Arial" w:cs="Arial"/>
                  <w:noProof/>
                  <w:sz w:val="20"/>
                  <w:szCs w:val="20"/>
                  <w:lang w:eastAsia="en-US"/>
                </w:rPr>
                <w:t>20</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Commentary and literature review</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Scaling up concepts</w:t>
            </w:r>
          </w:p>
          <w:p w:rsidR="00C24991" w:rsidRPr="00C24991" w:rsidRDefault="00C24991" w:rsidP="00A2579A">
            <w:pPr>
              <w:pStyle w:val="ListParagraph"/>
              <w:ind w:left="263"/>
              <w:rPr>
                <w:rFonts w:ascii="Arial" w:hAnsi="Arial" w:cs="Arial"/>
                <w:sz w:val="20"/>
                <w:szCs w:val="20"/>
              </w:rPr>
            </w:pPr>
          </w:p>
          <w:p w:rsidR="00C24991" w:rsidRPr="00C24991" w:rsidRDefault="00C24991" w:rsidP="00A2579A">
            <w:pPr>
              <w:rPr>
                <w:rFonts w:ascii="Arial" w:hAnsi="Arial" w:cs="Arial"/>
                <w:sz w:val="20"/>
                <w:szCs w:val="20"/>
              </w:rPr>
            </w:pPr>
            <w:r w:rsidRPr="00C24991">
              <w:rPr>
                <w:rFonts w:ascii="Arial" w:hAnsi="Arial" w:cs="Arial"/>
                <w:sz w:val="20"/>
                <w:szCs w:val="20"/>
              </w:rPr>
              <w:t>Definition of scaling up processes</w:t>
            </w:r>
          </w:p>
          <w:p w:rsidR="00C24991" w:rsidRPr="00C24991" w:rsidRDefault="00C24991" w:rsidP="00A2579A">
            <w:pPr>
              <w:rPr>
                <w:rFonts w:ascii="Arial" w:hAnsi="Arial" w:cs="Arial"/>
                <w:sz w:val="20"/>
                <w:szCs w:val="20"/>
              </w:rPr>
            </w:pPr>
          </w:p>
        </w:tc>
        <w:tc>
          <w:tcPr>
            <w:tcW w:w="3686" w:type="dxa"/>
          </w:tcPr>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rPr>
              <w:t xml:space="preserve">Key issues in scaling up include: </w:t>
            </w:r>
          </w:p>
          <w:p w:rsidR="00C24991" w:rsidRPr="00C24991" w:rsidRDefault="00C24991" w:rsidP="00C24991">
            <w:pPr>
              <w:pStyle w:val="ListParagraph"/>
              <w:numPr>
                <w:ilvl w:val="0"/>
                <w:numId w:val="16"/>
              </w:numPr>
              <w:autoSpaceDE w:val="0"/>
              <w:autoSpaceDN w:val="0"/>
              <w:adjustRightInd w:val="0"/>
              <w:ind w:left="261" w:hanging="261"/>
              <w:rPr>
                <w:rFonts w:ascii="Arial" w:hAnsi="Arial" w:cs="Arial"/>
                <w:sz w:val="20"/>
                <w:szCs w:val="20"/>
              </w:rPr>
            </w:pPr>
            <w:r w:rsidRPr="00C24991">
              <w:rPr>
                <w:rFonts w:ascii="Arial" w:hAnsi="Arial" w:cs="Arial"/>
                <w:sz w:val="20"/>
                <w:szCs w:val="20"/>
              </w:rPr>
              <w:t xml:space="preserve">costs of scaling up coverage; </w:t>
            </w:r>
          </w:p>
          <w:p w:rsidR="00C24991" w:rsidRPr="00C24991" w:rsidRDefault="00C24991" w:rsidP="00C24991">
            <w:pPr>
              <w:pStyle w:val="ListParagraph"/>
              <w:numPr>
                <w:ilvl w:val="0"/>
                <w:numId w:val="16"/>
              </w:numPr>
              <w:autoSpaceDE w:val="0"/>
              <w:autoSpaceDN w:val="0"/>
              <w:adjustRightInd w:val="0"/>
              <w:ind w:left="261" w:hanging="261"/>
              <w:rPr>
                <w:rFonts w:ascii="Arial" w:hAnsi="Arial" w:cs="Arial"/>
                <w:sz w:val="20"/>
                <w:szCs w:val="20"/>
              </w:rPr>
            </w:pPr>
            <w:r w:rsidRPr="00C24991">
              <w:rPr>
                <w:rFonts w:ascii="Arial" w:hAnsi="Arial" w:cs="Arial"/>
                <w:sz w:val="20"/>
                <w:szCs w:val="20"/>
              </w:rPr>
              <w:t>constraints to scaling up;</w:t>
            </w:r>
          </w:p>
          <w:p w:rsidR="00C24991" w:rsidRPr="00C24991" w:rsidRDefault="00C24991" w:rsidP="00C24991">
            <w:pPr>
              <w:pStyle w:val="ListParagraph"/>
              <w:numPr>
                <w:ilvl w:val="0"/>
                <w:numId w:val="16"/>
              </w:numPr>
              <w:autoSpaceDE w:val="0"/>
              <w:autoSpaceDN w:val="0"/>
              <w:adjustRightInd w:val="0"/>
              <w:ind w:left="261" w:hanging="261"/>
              <w:rPr>
                <w:rFonts w:ascii="Arial" w:hAnsi="Arial" w:cs="Arial"/>
                <w:sz w:val="20"/>
                <w:szCs w:val="20"/>
              </w:rPr>
            </w:pPr>
            <w:r w:rsidRPr="00C24991">
              <w:rPr>
                <w:rFonts w:ascii="Arial" w:hAnsi="Arial" w:cs="Arial"/>
                <w:sz w:val="20"/>
                <w:szCs w:val="20"/>
              </w:rPr>
              <w:t xml:space="preserve">equity and quality concerns; and </w:t>
            </w:r>
          </w:p>
          <w:p w:rsidR="00C24991" w:rsidRPr="00C24991" w:rsidRDefault="00C24991" w:rsidP="00C24991">
            <w:pPr>
              <w:pStyle w:val="ListParagraph"/>
              <w:numPr>
                <w:ilvl w:val="0"/>
                <w:numId w:val="16"/>
              </w:numPr>
              <w:autoSpaceDE w:val="0"/>
              <w:autoSpaceDN w:val="0"/>
              <w:adjustRightInd w:val="0"/>
              <w:ind w:left="261" w:hanging="261"/>
              <w:rPr>
                <w:rFonts w:ascii="Arial" w:hAnsi="Arial" w:cs="Arial"/>
                <w:sz w:val="20"/>
                <w:szCs w:val="20"/>
              </w:rPr>
            </w:pPr>
            <w:proofErr w:type="gramStart"/>
            <w:r w:rsidRPr="00C24991">
              <w:rPr>
                <w:rFonts w:ascii="Arial" w:hAnsi="Arial" w:cs="Arial"/>
                <w:sz w:val="20"/>
                <w:szCs w:val="20"/>
              </w:rPr>
              <w:t>key</w:t>
            </w:r>
            <w:proofErr w:type="gramEnd"/>
            <w:r w:rsidRPr="00C24991">
              <w:rPr>
                <w:rFonts w:ascii="Arial" w:hAnsi="Arial" w:cs="Arial"/>
                <w:sz w:val="20"/>
                <w:szCs w:val="20"/>
              </w:rPr>
              <w:t xml:space="preserve"> service delivery issues when scaling up.</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Global health</w:t>
            </w:r>
          </w:p>
        </w:tc>
        <w:tc>
          <w:tcPr>
            <w:tcW w:w="4678" w:type="dxa"/>
          </w:tcPr>
          <w:p w:rsidR="00C24991" w:rsidRPr="00C24991" w:rsidRDefault="00C24991" w:rsidP="00C24991">
            <w:pPr>
              <w:pStyle w:val="ListParagraph"/>
              <w:numPr>
                <w:ilvl w:val="0"/>
                <w:numId w:val="17"/>
              </w:numPr>
              <w:autoSpaceDE w:val="0"/>
              <w:autoSpaceDN w:val="0"/>
              <w:adjustRightInd w:val="0"/>
              <w:ind w:left="254" w:hanging="254"/>
              <w:rPr>
                <w:rFonts w:ascii="Arial" w:hAnsi="Arial" w:cs="Arial"/>
                <w:sz w:val="20"/>
                <w:szCs w:val="20"/>
              </w:rPr>
            </w:pPr>
            <w:r w:rsidRPr="00C24991">
              <w:rPr>
                <w:rFonts w:ascii="Arial" w:hAnsi="Arial" w:cs="Arial"/>
                <w:sz w:val="20"/>
                <w:szCs w:val="20"/>
              </w:rPr>
              <w:t>‘Scaling up’ is used primarily to describe the ambition or process of expanding the coverage of health interventions, but can also refer to increasing the financial, human and capital resources required to expand coverage.</w:t>
            </w:r>
          </w:p>
          <w:p w:rsidR="00C24991" w:rsidRPr="00C24991" w:rsidRDefault="00C24991" w:rsidP="00C24991">
            <w:pPr>
              <w:pStyle w:val="ListParagraph"/>
              <w:numPr>
                <w:ilvl w:val="0"/>
                <w:numId w:val="17"/>
              </w:numPr>
              <w:autoSpaceDE w:val="0"/>
              <w:autoSpaceDN w:val="0"/>
              <w:adjustRightInd w:val="0"/>
              <w:ind w:left="254" w:hanging="254"/>
              <w:rPr>
                <w:rFonts w:ascii="Arial" w:hAnsi="Arial" w:cs="Arial"/>
                <w:sz w:val="20"/>
                <w:szCs w:val="20"/>
              </w:rPr>
            </w:pPr>
            <w:r w:rsidRPr="00C24991">
              <w:rPr>
                <w:rFonts w:ascii="Arial" w:hAnsi="Arial" w:cs="Arial"/>
                <w:sz w:val="20"/>
                <w:szCs w:val="20"/>
              </w:rPr>
              <w:t>It is important to obtain a better understanding of how to deliver priority health interventions at scale.</w:t>
            </w:r>
          </w:p>
        </w:tc>
      </w:tr>
      <w:tr w:rsidR="00C24991" w:rsidRPr="00C24991" w:rsidTr="00A2579A">
        <w:tc>
          <w:tcPr>
            <w:tcW w:w="1242" w:type="dxa"/>
          </w:tcPr>
          <w:p w:rsidR="00C24991" w:rsidRPr="00C24991" w:rsidRDefault="00C24991" w:rsidP="00A2579A">
            <w:pPr>
              <w:rPr>
                <w:rFonts w:ascii="Arial" w:hAnsi="Arial" w:cs="Arial"/>
                <w:sz w:val="20"/>
                <w:szCs w:val="20"/>
                <w:lang w:eastAsia="en-US"/>
              </w:rPr>
            </w:pPr>
            <w:r w:rsidRPr="00C24991">
              <w:rPr>
                <w:rFonts w:ascii="Arial" w:hAnsi="Arial" w:cs="Arial"/>
                <w:sz w:val="20"/>
                <w:szCs w:val="20"/>
                <w:lang w:eastAsia="en-US"/>
              </w:rPr>
              <w:t>Milat et al (2013)</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&lt;EndNote&gt;&lt;Cite&gt;&lt;Author&gt;Milat AJ&lt;/Author&gt;&lt;Year&gt;2012&lt;/Year&gt;&lt;RecNum&gt;4&lt;/RecNum&gt;&lt;DisplayText&gt;[21]&lt;/DisplayText&gt;&lt;record&gt;&lt;rec-number&gt;4&lt;/rec-number&gt;&lt;foreign-keys&gt;&lt;key app="EN" db-id="5z5zs2d9q5e0fbe20wrpwfswtw9xwerd9d9r" timestamp="0"&gt;4&lt;/key&gt;&lt;/foreign-keys&gt;&lt;ref-type name="Journal Article"&gt;17&lt;/ref-type&gt;&lt;contributors&gt;&lt;authors&gt;&lt;author&gt;Milat AJ, &lt;/author&gt;&lt;author&gt;King L, &lt;/author&gt;&lt;author&gt;Bauman A, &lt;/author&gt;&lt;author&gt;Redman S, &lt;/author&gt;&lt;/authors&gt;&lt;/contributors&gt;&lt;titles&gt;&lt;title&gt;The concept of scalability: increasing the scale and potential adoption of health promotion interventions into policy and practice&lt;/title&gt;&lt;secondary-title&gt;Health Promotion International&lt;/secondary-title&gt;&lt;/titles&gt;&lt;periodical&gt;&lt;full-title&gt;Health Promotion International&lt;/full-title&gt;&lt;/periodical&gt;&lt;pages&gt;doi:10.1093/heapro/dar097&lt;/pages&gt;&lt;dates&gt;&lt;year&gt;2012&lt;/year&gt;&lt;/dates&gt;&lt;urls&gt;&lt;/urls&gt;&lt;electronic-resource-num&gt;doi:10.1093/heapro/dar097&lt;/electronic-resource-num&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21" w:tooltip="Milat AJ, 2012 #4" w:history="1">
              <w:r w:rsidRPr="00C24991">
                <w:rPr>
                  <w:rFonts w:ascii="Arial" w:hAnsi="Arial" w:cs="Arial"/>
                  <w:noProof/>
                  <w:sz w:val="20"/>
                  <w:szCs w:val="20"/>
                  <w:lang w:eastAsia="en-US"/>
                </w:rPr>
                <w:t>21</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r w:rsidRPr="00C24991">
              <w:rPr>
                <w:rFonts w:ascii="Arial" w:hAnsi="Arial" w:cs="Arial"/>
                <w:sz w:val="20"/>
                <w:szCs w:val="20"/>
                <w:lang w:eastAsia="en-US"/>
              </w:rPr>
              <w:t xml:space="preserve"> </w:t>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Literature review and Delphi study</w:t>
            </w:r>
          </w:p>
        </w:tc>
        <w:tc>
          <w:tcPr>
            <w:tcW w:w="1842" w:type="dxa"/>
          </w:tcPr>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rPr>
              <w:t>Scaling up considerations</w:t>
            </w:r>
          </w:p>
          <w:p w:rsidR="00C24991" w:rsidRPr="00C24991" w:rsidRDefault="00C24991" w:rsidP="00A2579A">
            <w:pPr>
              <w:autoSpaceDE w:val="0"/>
              <w:autoSpaceDN w:val="0"/>
              <w:adjustRightInd w:val="0"/>
              <w:rPr>
                <w:rFonts w:ascii="Arial" w:hAnsi="Arial" w:cs="Arial"/>
                <w:sz w:val="20"/>
                <w:szCs w:val="20"/>
              </w:rPr>
            </w:pPr>
          </w:p>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rPr>
              <w:t>Defining scalability</w:t>
            </w:r>
          </w:p>
        </w:tc>
        <w:tc>
          <w:tcPr>
            <w:tcW w:w="3686" w:type="dxa"/>
          </w:tcPr>
          <w:p w:rsidR="00C24991" w:rsidRPr="00C24991" w:rsidRDefault="00C24991" w:rsidP="00A2579A">
            <w:pPr>
              <w:autoSpaceDE w:val="0"/>
              <w:autoSpaceDN w:val="0"/>
              <w:adjustRightInd w:val="0"/>
              <w:rPr>
                <w:rFonts w:ascii="Arial" w:eastAsiaTheme="minorHAnsi" w:hAnsi="Arial" w:cs="Arial"/>
                <w:color w:val="231F20"/>
                <w:sz w:val="20"/>
                <w:szCs w:val="20"/>
                <w:lang w:eastAsia="en-US"/>
              </w:rPr>
            </w:pPr>
            <w:r w:rsidRPr="00C24991">
              <w:rPr>
                <w:rFonts w:ascii="Arial" w:eastAsiaTheme="minorHAnsi" w:hAnsi="Arial" w:cs="Arial"/>
                <w:color w:val="231F20"/>
                <w:sz w:val="20"/>
                <w:szCs w:val="20"/>
                <w:lang w:eastAsia="en-US"/>
              </w:rPr>
              <w:t xml:space="preserve">Scalability considerations include: </w:t>
            </w:r>
          </w:p>
          <w:p w:rsidR="00C24991" w:rsidRPr="00C24991" w:rsidRDefault="00C24991" w:rsidP="00C24991">
            <w:pPr>
              <w:pStyle w:val="ListParagraph"/>
              <w:numPr>
                <w:ilvl w:val="0"/>
                <w:numId w:val="48"/>
              </w:numPr>
              <w:autoSpaceDE w:val="0"/>
              <w:autoSpaceDN w:val="0"/>
              <w:adjustRightInd w:val="0"/>
              <w:ind w:left="318" w:hanging="284"/>
              <w:rPr>
                <w:rFonts w:ascii="Arial" w:eastAsiaTheme="minorHAnsi" w:hAnsi="Arial" w:cs="Arial"/>
                <w:color w:val="231F20"/>
                <w:sz w:val="20"/>
                <w:szCs w:val="20"/>
              </w:rPr>
            </w:pPr>
            <w:r w:rsidRPr="00C24991">
              <w:rPr>
                <w:rFonts w:ascii="Arial" w:eastAsiaTheme="minorHAnsi" w:hAnsi="Arial" w:cs="Arial"/>
                <w:color w:val="231F20"/>
                <w:sz w:val="20"/>
                <w:szCs w:val="20"/>
              </w:rPr>
              <w:t>Effectiveness;</w:t>
            </w:r>
          </w:p>
          <w:p w:rsidR="00C24991" w:rsidRPr="00C24991" w:rsidRDefault="00C24991" w:rsidP="00C24991">
            <w:pPr>
              <w:pStyle w:val="ListParagraph"/>
              <w:numPr>
                <w:ilvl w:val="0"/>
                <w:numId w:val="48"/>
              </w:numPr>
              <w:autoSpaceDE w:val="0"/>
              <w:autoSpaceDN w:val="0"/>
              <w:adjustRightInd w:val="0"/>
              <w:ind w:left="318" w:hanging="284"/>
              <w:rPr>
                <w:rFonts w:ascii="Arial" w:eastAsiaTheme="minorHAnsi" w:hAnsi="Arial" w:cs="Arial"/>
                <w:color w:val="231F20"/>
                <w:sz w:val="20"/>
                <w:szCs w:val="20"/>
              </w:rPr>
            </w:pPr>
            <w:r w:rsidRPr="00C24991">
              <w:rPr>
                <w:rFonts w:ascii="Arial" w:eastAsiaTheme="minorHAnsi" w:hAnsi="Arial" w:cs="Arial"/>
                <w:color w:val="231F20"/>
                <w:sz w:val="20"/>
                <w:szCs w:val="20"/>
              </w:rPr>
              <w:t xml:space="preserve">Reach and adoption; </w:t>
            </w:r>
          </w:p>
          <w:p w:rsidR="00C24991" w:rsidRPr="00C24991" w:rsidRDefault="00C24991" w:rsidP="00C24991">
            <w:pPr>
              <w:pStyle w:val="ListParagraph"/>
              <w:numPr>
                <w:ilvl w:val="0"/>
                <w:numId w:val="48"/>
              </w:numPr>
              <w:autoSpaceDE w:val="0"/>
              <w:autoSpaceDN w:val="0"/>
              <w:adjustRightInd w:val="0"/>
              <w:ind w:left="318" w:hanging="284"/>
              <w:rPr>
                <w:rFonts w:ascii="Arial" w:eastAsiaTheme="minorHAnsi" w:hAnsi="Arial" w:cs="Arial"/>
                <w:color w:val="231F20"/>
                <w:sz w:val="20"/>
                <w:szCs w:val="20"/>
              </w:rPr>
            </w:pPr>
            <w:r w:rsidRPr="00C24991">
              <w:rPr>
                <w:rFonts w:ascii="Arial" w:eastAsiaTheme="minorHAnsi" w:hAnsi="Arial" w:cs="Arial"/>
                <w:color w:val="231F20"/>
                <w:sz w:val="20"/>
                <w:szCs w:val="20"/>
              </w:rPr>
              <w:t>human, technical and organizational</w:t>
            </w:r>
          </w:p>
          <w:p w:rsidR="00C24991" w:rsidRPr="00C24991" w:rsidRDefault="00C24991" w:rsidP="00C24991">
            <w:pPr>
              <w:pStyle w:val="ListParagraph"/>
              <w:numPr>
                <w:ilvl w:val="0"/>
                <w:numId w:val="48"/>
              </w:numPr>
              <w:autoSpaceDE w:val="0"/>
              <w:autoSpaceDN w:val="0"/>
              <w:adjustRightInd w:val="0"/>
              <w:ind w:left="318" w:hanging="284"/>
              <w:rPr>
                <w:rFonts w:ascii="Arial" w:eastAsiaTheme="minorHAnsi" w:hAnsi="Arial" w:cs="Arial"/>
                <w:color w:val="231F20"/>
                <w:sz w:val="20"/>
                <w:szCs w:val="20"/>
              </w:rPr>
            </w:pPr>
            <w:r w:rsidRPr="00C24991">
              <w:rPr>
                <w:rFonts w:ascii="Arial" w:eastAsiaTheme="minorHAnsi" w:hAnsi="Arial" w:cs="Arial"/>
                <w:color w:val="231F20"/>
                <w:sz w:val="20"/>
                <w:szCs w:val="20"/>
              </w:rPr>
              <w:t xml:space="preserve">resources; </w:t>
            </w:r>
          </w:p>
          <w:p w:rsidR="00C24991" w:rsidRPr="00C24991" w:rsidRDefault="00C24991" w:rsidP="00C24991">
            <w:pPr>
              <w:pStyle w:val="ListParagraph"/>
              <w:numPr>
                <w:ilvl w:val="0"/>
                <w:numId w:val="48"/>
              </w:numPr>
              <w:autoSpaceDE w:val="0"/>
              <w:autoSpaceDN w:val="0"/>
              <w:adjustRightInd w:val="0"/>
              <w:ind w:left="318" w:hanging="284"/>
              <w:rPr>
                <w:rFonts w:ascii="Arial" w:eastAsiaTheme="minorHAnsi" w:hAnsi="Arial" w:cs="Arial"/>
                <w:color w:val="231F20"/>
                <w:sz w:val="20"/>
                <w:szCs w:val="20"/>
              </w:rPr>
            </w:pPr>
            <w:r w:rsidRPr="00C24991">
              <w:rPr>
                <w:rFonts w:ascii="Arial" w:eastAsiaTheme="minorHAnsi" w:hAnsi="Arial" w:cs="Arial"/>
                <w:color w:val="231F20"/>
                <w:sz w:val="20"/>
                <w:szCs w:val="20"/>
              </w:rPr>
              <w:t xml:space="preserve">costs; </w:t>
            </w:r>
          </w:p>
          <w:p w:rsidR="00C24991" w:rsidRPr="00C24991" w:rsidRDefault="00C24991" w:rsidP="00C24991">
            <w:pPr>
              <w:pStyle w:val="ListParagraph"/>
              <w:numPr>
                <w:ilvl w:val="0"/>
                <w:numId w:val="48"/>
              </w:numPr>
              <w:autoSpaceDE w:val="0"/>
              <w:autoSpaceDN w:val="0"/>
              <w:adjustRightInd w:val="0"/>
              <w:ind w:left="318" w:hanging="284"/>
              <w:rPr>
                <w:rFonts w:ascii="Arial" w:eastAsiaTheme="minorHAnsi" w:hAnsi="Arial" w:cs="Arial"/>
                <w:color w:val="231F20"/>
                <w:sz w:val="20"/>
                <w:szCs w:val="20"/>
              </w:rPr>
            </w:pPr>
            <w:r w:rsidRPr="00C24991">
              <w:rPr>
                <w:rFonts w:ascii="Arial" w:eastAsiaTheme="minorHAnsi" w:hAnsi="Arial" w:cs="Arial"/>
                <w:color w:val="231F20"/>
                <w:sz w:val="20"/>
                <w:szCs w:val="20"/>
              </w:rPr>
              <w:lastRenderedPageBreak/>
              <w:t xml:space="preserve">intervention delivery; </w:t>
            </w:r>
          </w:p>
          <w:p w:rsidR="00C24991" w:rsidRPr="00C24991" w:rsidRDefault="00C24991" w:rsidP="00C24991">
            <w:pPr>
              <w:pStyle w:val="ListParagraph"/>
              <w:numPr>
                <w:ilvl w:val="0"/>
                <w:numId w:val="48"/>
              </w:numPr>
              <w:autoSpaceDE w:val="0"/>
              <w:autoSpaceDN w:val="0"/>
              <w:adjustRightInd w:val="0"/>
              <w:ind w:left="318" w:hanging="284"/>
              <w:rPr>
                <w:rFonts w:ascii="Arial" w:eastAsiaTheme="minorHAnsi" w:hAnsi="Arial" w:cs="Arial"/>
                <w:color w:val="231F20"/>
                <w:sz w:val="20"/>
                <w:szCs w:val="20"/>
              </w:rPr>
            </w:pPr>
            <w:r w:rsidRPr="00C24991">
              <w:rPr>
                <w:rFonts w:ascii="Arial" w:eastAsiaTheme="minorHAnsi" w:hAnsi="Arial" w:cs="Arial"/>
                <w:color w:val="231F20"/>
                <w:sz w:val="20"/>
                <w:szCs w:val="20"/>
              </w:rPr>
              <w:t xml:space="preserve">contextual factors, and </w:t>
            </w:r>
          </w:p>
          <w:p w:rsidR="00C24991" w:rsidRPr="00C24991" w:rsidRDefault="00C24991" w:rsidP="00C24991">
            <w:pPr>
              <w:pStyle w:val="ListParagraph"/>
              <w:numPr>
                <w:ilvl w:val="0"/>
                <w:numId w:val="19"/>
              </w:numPr>
              <w:autoSpaceDE w:val="0"/>
              <w:autoSpaceDN w:val="0"/>
              <w:adjustRightInd w:val="0"/>
              <w:ind w:left="261" w:hanging="261"/>
              <w:rPr>
                <w:rFonts w:ascii="Arial" w:hAnsi="Arial" w:cs="Arial"/>
                <w:sz w:val="20"/>
                <w:szCs w:val="20"/>
              </w:rPr>
            </w:pPr>
            <w:proofErr w:type="gramStart"/>
            <w:r w:rsidRPr="00C24991">
              <w:rPr>
                <w:rFonts w:ascii="Arial" w:eastAsiaTheme="minorHAnsi" w:hAnsi="Arial" w:cs="Arial"/>
                <w:color w:val="231F20"/>
                <w:sz w:val="20"/>
                <w:szCs w:val="20"/>
              </w:rPr>
              <w:t>appropriate</w:t>
            </w:r>
            <w:proofErr w:type="gramEnd"/>
            <w:r w:rsidRPr="00C24991">
              <w:rPr>
                <w:rFonts w:ascii="Arial" w:eastAsiaTheme="minorHAnsi" w:hAnsi="Arial" w:cs="Arial"/>
                <w:color w:val="231F20"/>
                <w:sz w:val="20"/>
                <w:szCs w:val="20"/>
              </w:rPr>
              <w:t xml:space="preserve"> evaluation approaches.</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lastRenderedPageBreak/>
              <w:t>Scale of public health interventions in high income countries</w:t>
            </w:r>
          </w:p>
        </w:tc>
        <w:tc>
          <w:tcPr>
            <w:tcW w:w="4678" w:type="dxa"/>
          </w:tcPr>
          <w:p w:rsidR="00C24991" w:rsidRPr="00C24991" w:rsidRDefault="00C24991" w:rsidP="00C24991">
            <w:pPr>
              <w:pStyle w:val="ListParagraph"/>
              <w:numPr>
                <w:ilvl w:val="0"/>
                <w:numId w:val="18"/>
              </w:numPr>
              <w:autoSpaceDE w:val="0"/>
              <w:autoSpaceDN w:val="0"/>
              <w:adjustRightInd w:val="0"/>
              <w:ind w:left="254" w:hanging="284"/>
              <w:rPr>
                <w:rFonts w:ascii="Arial" w:hAnsi="Arial" w:cs="Arial"/>
                <w:sz w:val="20"/>
                <w:szCs w:val="20"/>
              </w:rPr>
            </w:pPr>
            <w:r w:rsidRPr="00C24991">
              <w:rPr>
                <w:rFonts w:ascii="Arial" w:eastAsiaTheme="minorHAnsi" w:hAnsi="Arial" w:cs="Arial"/>
                <w:color w:val="231F20"/>
                <w:sz w:val="20"/>
                <w:szCs w:val="20"/>
              </w:rPr>
              <w:t xml:space="preserve">If scalability considerations are addressed </w:t>
            </w:r>
            <w:proofErr w:type="gramStart"/>
            <w:r w:rsidRPr="00C24991">
              <w:rPr>
                <w:rFonts w:ascii="Arial" w:eastAsiaTheme="minorHAnsi" w:hAnsi="Arial" w:cs="Arial"/>
                <w:color w:val="231F20"/>
                <w:sz w:val="20"/>
                <w:szCs w:val="20"/>
              </w:rPr>
              <w:t>in  funding</w:t>
            </w:r>
            <w:proofErr w:type="gramEnd"/>
            <w:r w:rsidRPr="00C24991">
              <w:rPr>
                <w:rFonts w:ascii="Arial" w:eastAsiaTheme="minorHAnsi" w:hAnsi="Arial" w:cs="Arial"/>
                <w:color w:val="231F20"/>
                <w:sz w:val="20"/>
                <w:szCs w:val="20"/>
              </w:rPr>
              <w:t>, design and reporting of intervention research will advance the quality and usability of research for policy-makers..</w:t>
            </w:r>
          </w:p>
        </w:tc>
      </w:tr>
      <w:tr w:rsidR="00C24991" w:rsidRPr="00C24991" w:rsidTr="00A2579A">
        <w:tc>
          <w:tcPr>
            <w:tcW w:w="1242" w:type="dxa"/>
          </w:tcPr>
          <w:p w:rsidR="00C24991" w:rsidRPr="00C24991" w:rsidRDefault="00C24991" w:rsidP="00A2579A">
            <w:pPr>
              <w:rPr>
                <w:rFonts w:ascii="Arial" w:hAnsi="Arial" w:cs="Arial"/>
                <w:sz w:val="20"/>
                <w:szCs w:val="20"/>
                <w:lang w:eastAsia="en-US"/>
              </w:rPr>
            </w:pPr>
            <w:r w:rsidRPr="00C24991">
              <w:rPr>
                <w:rFonts w:ascii="Arial" w:hAnsi="Arial" w:cs="Arial"/>
                <w:sz w:val="20"/>
                <w:szCs w:val="20"/>
                <w:lang w:eastAsia="en-US"/>
              </w:rPr>
              <w:lastRenderedPageBreak/>
              <w:t xml:space="preserve">Milat et al (2014)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&lt;EndNote&gt;&lt;Cite&gt;&lt;Author&gt;Milat AJ&lt;/Author&gt;&lt;Year&gt;2014&lt;/Year&gt;&lt;RecNum&gt;407&lt;/RecNum&gt;&lt;DisplayText&gt;[22]&lt;/DisplayText&gt;&lt;record&gt;&lt;rec-number&gt;407&lt;/rec-number&gt;&lt;foreign-keys&gt;&lt;key app="EN" db-id="5z5zs2d9q5e0fbe20wrpwfswtw9xwerd9d9r" timestamp="1377589880"&gt;407&lt;/key&gt;&lt;/foreign-keys&gt;&lt;ref-type name="Government Document"&gt;46&lt;/ref-type&gt;&lt;contributors&gt;&lt;authors&gt;&lt;author&gt;Milat AJ,&lt;/author&gt;&lt;author&gt;Newson R,&lt;/author&gt;&lt;author&gt;King L,&lt;/author&gt;&lt;/authors&gt;&lt;/contributors&gt;&lt;titles&gt;&lt;title&gt;Increasing the scale of population health interventions: A Guide&lt;/title&gt;&lt;/titles&gt;&lt;dates&gt;&lt;year&gt;2014&lt;/year&gt;&lt;/dates&gt;&lt;pub-location&gt;North Sydney&lt;/pub-location&gt;&lt;publisher&gt;NSW Ministry of Health&lt;/publisher&gt;&lt;urls&gt;&lt;/urls&gt;&lt;/record&gt;&lt;/Cite&gt;&lt;/EndNote&gt;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22" w:tooltip="Milat AJ, 2014 #407" w:history="1">
              <w:r w:rsidRPr="00C24991">
                <w:rPr>
                  <w:rFonts w:ascii="Arial" w:hAnsi="Arial" w:cs="Arial"/>
                  <w:noProof/>
                  <w:sz w:val="20"/>
                  <w:szCs w:val="20"/>
                  <w:lang w:eastAsia="en-US"/>
                </w:rPr>
                <w:t>22</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Framework</w:t>
            </w:r>
          </w:p>
        </w:tc>
        <w:tc>
          <w:tcPr>
            <w:tcW w:w="1842" w:type="dxa"/>
          </w:tcPr>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rPr>
              <w:t>Framework for scaling up population health action</w:t>
            </w:r>
          </w:p>
        </w:tc>
        <w:tc>
          <w:tcPr>
            <w:tcW w:w="3686" w:type="dxa"/>
          </w:tcPr>
          <w:p w:rsidR="00C24991" w:rsidRPr="00C24991" w:rsidRDefault="00F65B36" w:rsidP="00A2579A">
            <w:pPr>
              <w:autoSpaceDE w:val="0"/>
              <w:autoSpaceDN w:val="0"/>
              <w:adjustRightInd w:val="0"/>
              <w:rPr>
                <w:rStyle w:val="A1"/>
                <w:rFonts w:ascii="Arial" w:hAnsi="Arial" w:cs="Arial"/>
                <w:sz w:val="20"/>
                <w:szCs w:val="20"/>
              </w:rPr>
            </w:pPr>
            <w:r>
              <w:rPr>
                <w:rStyle w:val="A1"/>
                <w:rFonts w:ascii="Arial" w:hAnsi="Arial" w:cs="Arial"/>
                <w:sz w:val="20"/>
                <w:szCs w:val="20"/>
              </w:rPr>
              <w:t xml:space="preserve"> </w:t>
            </w:r>
            <w:r w:rsidR="00C24991" w:rsidRPr="00C24991">
              <w:rPr>
                <w:rStyle w:val="A1"/>
                <w:rFonts w:ascii="Arial" w:hAnsi="Arial" w:cs="Arial"/>
                <w:sz w:val="20"/>
                <w:szCs w:val="20"/>
              </w:rPr>
              <w:t xml:space="preserve">Four step process for scaling up interventions: </w:t>
            </w:r>
          </w:p>
          <w:p w:rsidR="00C24991" w:rsidRPr="00C24991" w:rsidRDefault="00C24991" w:rsidP="00C24991">
            <w:pPr>
              <w:pStyle w:val="ListParagraph"/>
              <w:numPr>
                <w:ilvl w:val="0"/>
                <w:numId w:val="49"/>
              </w:numPr>
              <w:autoSpaceDE w:val="0"/>
              <w:autoSpaceDN w:val="0"/>
              <w:adjustRightInd w:val="0"/>
              <w:ind w:left="318" w:hanging="284"/>
              <w:rPr>
                <w:rStyle w:val="A1"/>
                <w:rFonts w:ascii="Arial" w:hAnsi="Arial" w:cs="Arial"/>
                <w:sz w:val="20"/>
                <w:szCs w:val="20"/>
              </w:rPr>
            </w:pPr>
            <w:r w:rsidRPr="00C24991">
              <w:rPr>
                <w:rStyle w:val="A1"/>
                <w:rFonts w:ascii="Arial" w:hAnsi="Arial" w:cs="Arial"/>
                <w:sz w:val="20"/>
                <w:szCs w:val="20"/>
              </w:rPr>
              <w:t xml:space="preserve">Step 1.Scalability assessment </w:t>
            </w:r>
            <w:proofErr w:type="gramStart"/>
            <w:r w:rsidRPr="00C24991">
              <w:rPr>
                <w:rStyle w:val="A1"/>
                <w:rFonts w:ascii="Arial" w:hAnsi="Arial" w:cs="Arial"/>
                <w:sz w:val="20"/>
                <w:szCs w:val="20"/>
              </w:rPr>
              <w:t>-  assess</w:t>
            </w:r>
            <w:proofErr w:type="gramEnd"/>
            <w:r w:rsidRPr="00C24991">
              <w:rPr>
                <w:rStyle w:val="A1"/>
                <w:rFonts w:ascii="Arial" w:hAnsi="Arial" w:cs="Arial"/>
                <w:sz w:val="20"/>
                <w:szCs w:val="20"/>
              </w:rPr>
              <w:t xml:space="preserve"> the suitability of the intervention or interventions for scaling up. The outcome of this assessment will determine whether the remaining steps in the guide should be followed. </w:t>
            </w:r>
          </w:p>
          <w:p w:rsidR="00C24991" w:rsidRPr="00C24991" w:rsidRDefault="00C24991" w:rsidP="00C24991">
            <w:pPr>
              <w:pStyle w:val="ListParagraph"/>
              <w:numPr>
                <w:ilvl w:val="0"/>
                <w:numId w:val="49"/>
              </w:numPr>
              <w:autoSpaceDE w:val="0"/>
              <w:autoSpaceDN w:val="0"/>
              <w:adjustRightInd w:val="0"/>
              <w:ind w:left="318" w:hanging="284"/>
              <w:rPr>
                <w:rStyle w:val="A1"/>
                <w:rFonts w:ascii="Arial" w:hAnsi="Arial" w:cs="Arial"/>
                <w:sz w:val="20"/>
                <w:szCs w:val="20"/>
              </w:rPr>
            </w:pPr>
            <w:r w:rsidRPr="00C24991">
              <w:rPr>
                <w:rStyle w:val="A1"/>
                <w:rFonts w:ascii="Arial" w:hAnsi="Arial" w:cs="Arial"/>
                <w:sz w:val="20"/>
                <w:szCs w:val="20"/>
              </w:rPr>
              <w:t xml:space="preserve">Step 2. Develop a scaling up plan </w:t>
            </w:r>
            <w:proofErr w:type="gramStart"/>
            <w:r w:rsidRPr="00C24991">
              <w:rPr>
                <w:rStyle w:val="A1"/>
                <w:rFonts w:ascii="Arial" w:hAnsi="Arial" w:cs="Arial"/>
                <w:sz w:val="20"/>
                <w:szCs w:val="20"/>
              </w:rPr>
              <w:t>-  create</w:t>
            </w:r>
            <w:proofErr w:type="gramEnd"/>
            <w:r w:rsidRPr="00C24991">
              <w:rPr>
                <w:rStyle w:val="A1"/>
                <w:rFonts w:ascii="Arial" w:hAnsi="Arial" w:cs="Arial"/>
                <w:sz w:val="20"/>
                <w:szCs w:val="20"/>
              </w:rPr>
              <w:t xml:space="preserve"> a vision of what scaling up will look like and a compelling case for action. </w:t>
            </w:r>
          </w:p>
          <w:p w:rsidR="00C24991" w:rsidRPr="00C24991" w:rsidRDefault="00C24991" w:rsidP="00C24991">
            <w:pPr>
              <w:pStyle w:val="ListParagraph"/>
              <w:numPr>
                <w:ilvl w:val="0"/>
                <w:numId w:val="49"/>
              </w:numPr>
              <w:autoSpaceDE w:val="0"/>
              <w:autoSpaceDN w:val="0"/>
              <w:adjustRightInd w:val="0"/>
              <w:ind w:left="318" w:hanging="284"/>
              <w:rPr>
                <w:rStyle w:val="A1"/>
                <w:rFonts w:ascii="Arial" w:eastAsiaTheme="minorHAnsi" w:hAnsi="Arial" w:cs="Arial"/>
                <w:color w:val="231F20"/>
                <w:sz w:val="20"/>
                <w:szCs w:val="20"/>
              </w:rPr>
            </w:pPr>
            <w:r w:rsidRPr="00C24991">
              <w:rPr>
                <w:rStyle w:val="A1"/>
                <w:rFonts w:ascii="Arial" w:hAnsi="Arial" w:cs="Arial"/>
                <w:sz w:val="20"/>
                <w:szCs w:val="20"/>
              </w:rPr>
              <w:t>Step 3. Prepare for scaling up - securing resources and building a foundation of legitimacy and support for the scaling up plan.</w:t>
            </w:r>
          </w:p>
          <w:p w:rsidR="00C24991" w:rsidRPr="00C24991" w:rsidRDefault="00C24991" w:rsidP="00C24991">
            <w:pPr>
              <w:pStyle w:val="ListParagraph"/>
              <w:numPr>
                <w:ilvl w:val="0"/>
                <w:numId w:val="49"/>
              </w:numPr>
              <w:autoSpaceDE w:val="0"/>
              <w:autoSpaceDN w:val="0"/>
              <w:adjustRightInd w:val="0"/>
              <w:ind w:left="318" w:hanging="284"/>
              <w:rPr>
                <w:rFonts w:ascii="Arial" w:eastAsiaTheme="minorHAnsi" w:hAnsi="Arial" w:cs="Arial"/>
                <w:color w:val="231F20"/>
                <w:sz w:val="20"/>
                <w:szCs w:val="20"/>
              </w:rPr>
            </w:pPr>
            <w:r w:rsidRPr="00C24991">
              <w:rPr>
                <w:rStyle w:val="A1"/>
                <w:rFonts w:ascii="Arial" w:hAnsi="Arial" w:cs="Arial"/>
                <w:sz w:val="20"/>
                <w:szCs w:val="20"/>
              </w:rPr>
              <w:t>Step 4. Scale up - main tasks that should be addressed during scaling up.</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Scale of public health interventions in high income countries</w:t>
            </w:r>
          </w:p>
        </w:tc>
        <w:tc>
          <w:tcPr>
            <w:tcW w:w="4678" w:type="dxa"/>
          </w:tcPr>
          <w:p w:rsidR="00C24991" w:rsidRPr="00C24991" w:rsidRDefault="00C24991" w:rsidP="00C24991">
            <w:pPr>
              <w:pStyle w:val="ListParagraph"/>
              <w:numPr>
                <w:ilvl w:val="0"/>
                <w:numId w:val="50"/>
              </w:numPr>
              <w:autoSpaceDE w:val="0"/>
              <w:autoSpaceDN w:val="0"/>
              <w:adjustRightInd w:val="0"/>
              <w:ind w:left="317" w:hanging="317"/>
              <w:rPr>
                <w:rFonts w:ascii="Arial" w:eastAsiaTheme="minorHAnsi" w:hAnsi="Arial" w:cs="Arial"/>
                <w:color w:val="000000"/>
                <w:sz w:val="20"/>
                <w:szCs w:val="20"/>
              </w:rPr>
            </w:pPr>
            <w:r w:rsidRPr="00C24991">
              <w:rPr>
                <w:rFonts w:ascii="Arial" w:eastAsiaTheme="minorHAnsi" w:hAnsi="Arial" w:cs="Arial"/>
                <w:color w:val="000000"/>
                <w:sz w:val="20"/>
                <w:szCs w:val="20"/>
              </w:rPr>
              <w:t xml:space="preserve">Scaling up is a learning process, and changing the scaling up plan as learning proceeds is constructive and necessary. </w:t>
            </w:r>
          </w:p>
          <w:p w:rsidR="00C24991" w:rsidRPr="00C24991" w:rsidRDefault="00C24991" w:rsidP="00C24991">
            <w:pPr>
              <w:pStyle w:val="ListParagraph"/>
              <w:numPr>
                <w:ilvl w:val="0"/>
                <w:numId w:val="50"/>
              </w:numPr>
              <w:autoSpaceDE w:val="0"/>
              <w:autoSpaceDN w:val="0"/>
              <w:adjustRightInd w:val="0"/>
              <w:ind w:left="317" w:hanging="317"/>
              <w:rPr>
                <w:rFonts w:ascii="Arial" w:eastAsiaTheme="minorHAnsi" w:hAnsi="Arial" w:cs="Arial"/>
                <w:color w:val="000000"/>
                <w:sz w:val="20"/>
                <w:szCs w:val="20"/>
              </w:rPr>
            </w:pPr>
            <w:r w:rsidRPr="00C24991">
              <w:rPr>
                <w:rFonts w:ascii="Arial" w:eastAsiaTheme="minorHAnsi" w:hAnsi="Arial" w:cs="Arial"/>
                <w:color w:val="000000"/>
                <w:sz w:val="20"/>
                <w:szCs w:val="20"/>
              </w:rPr>
              <w:t xml:space="preserve">Despite the unpredictability of scaling up processes, a good plan can </w:t>
            </w:r>
            <w:proofErr w:type="gramStart"/>
            <w:r w:rsidRPr="00C24991">
              <w:rPr>
                <w:rFonts w:ascii="Arial" w:eastAsiaTheme="minorHAnsi" w:hAnsi="Arial" w:cs="Arial"/>
                <w:color w:val="000000"/>
                <w:sz w:val="20"/>
                <w:szCs w:val="20"/>
              </w:rPr>
              <w:t>guide  scaling</w:t>
            </w:r>
            <w:proofErr w:type="gramEnd"/>
            <w:r w:rsidRPr="00C24991">
              <w:rPr>
                <w:rFonts w:ascii="Arial" w:eastAsiaTheme="minorHAnsi" w:hAnsi="Arial" w:cs="Arial"/>
                <w:color w:val="000000"/>
                <w:sz w:val="20"/>
                <w:szCs w:val="20"/>
              </w:rPr>
              <w:t xml:space="preserve"> up processes in the right direction and make success more likely. </w:t>
            </w:r>
          </w:p>
          <w:p w:rsidR="00C24991" w:rsidRPr="00C24991" w:rsidRDefault="00C24991" w:rsidP="00C24991">
            <w:pPr>
              <w:pStyle w:val="ListParagraph"/>
              <w:numPr>
                <w:ilvl w:val="0"/>
                <w:numId w:val="50"/>
              </w:numPr>
              <w:autoSpaceDE w:val="0"/>
              <w:autoSpaceDN w:val="0"/>
              <w:adjustRightInd w:val="0"/>
              <w:ind w:left="317" w:hanging="317"/>
              <w:rPr>
                <w:rFonts w:ascii="Arial" w:eastAsiaTheme="minorHAnsi" w:hAnsi="Arial" w:cs="Arial"/>
                <w:color w:val="231F20"/>
                <w:sz w:val="20"/>
                <w:szCs w:val="20"/>
              </w:rPr>
            </w:pPr>
            <w:r w:rsidRPr="00C24991">
              <w:rPr>
                <w:rFonts w:ascii="Arial" w:eastAsiaTheme="minorHAnsi" w:hAnsi="Arial" w:cs="Arial"/>
                <w:color w:val="000000"/>
                <w:sz w:val="20"/>
                <w:szCs w:val="20"/>
              </w:rPr>
              <w:t xml:space="preserve">Effective scale up requires systematic use of evidence and it is essential that data from monitoring is linked to decision-making throughout the scaling up process. </w:t>
            </w:r>
          </w:p>
          <w:p w:rsidR="00C24991" w:rsidRPr="00C24991" w:rsidRDefault="00C24991" w:rsidP="00C24991">
            <w:pPr>
              <w:pStyle w:val="ListParagraph"/>
              <w:numPr>
                <w:ilvl w:val="0"/>
                <w:numId w:val="50"/>
              </w:numPr>
              <w:autoSpaceDE w:val="0"/>
              <w:autoSpaceDN w:val="0"/>
              <w:adjustRightInd w:val="0"/>
              <w:ind w:left="317" w:hanging="317"/>
              <w:rPr>
                <w:rFonts w:ascii="Arial" w:eastAsiaTheme="minorHAnsi" w:hAnsi="Arial" w:cs="Arial"/>
                <w:color w:val="231F20"/>
                <w:sz w:val="20"/>
                <w:szCs w:val="20"/>
              </w:rPr>
            </w:pPr>
            <w:r w:rsidRPr="00C24991">
              <w:rPr>
                <w:rFonts w:ascii="Arial" w:eastAsiaTheme="minorHAnsi" w:hAnsi="Arial" w:cs="Arial"/>
                <w:color w:val="000000"/>
                <w:sz w:val="20"/>
                <w:szCs w:val="20"/>
              </w:rPr>
              <w:t xml:space="preserve">Plans for scaling up need to consider a broad range of contextual factors and balance what is desirable with what is feasible. </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t xml:space="preserve">Morel et al (2005)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&lt;EndNote&gt;&lt;Cite&gt;&lt;Author&gt;Morel&lt;/Author&gt;&lt;Year&gt;2005&lt;/Year&gt;&lt;RecNum&gt;248&lt;/RecNum&gt;&lt;DisplayText&gt;[23]&lt;/DisplayText&gt;&lt;record&gt;&lt;rec-number&gt;248&lt;/rec-number&gt;&lt;foreign-keys&gt;&lt;key app="EN" db-id="5z5zs2d9q5e0fbe20wrpwfswtw9xwerd9d9r" timestamp="0"&gt;248&lt;/key&gt;&lt;/foreign-keys&gt;&lt;ref-type name="Journal Article"&gt;17&lt;/ref-type&gt;&lt;contributors&gt;&lt;authors&gt;&lt;author&gt;Morel CM, &lt;/author&gt;&lt;author&gt;Lauer JA, &lt;/author&gt;&lt;author&gt;Evans DB, &lt;/author&gt;&lt;/authors&gt;&lt;/contributors&gt;&lt;titles&gt;&lt;title&gt;Cost effectiveness analysis of strategies to combat malaria in developing countries&lt;/title&gt;&lt;secondary-title&gt;Bmj&lt;/secondary-title&gt;&lt;/titles&gt;&lt;periodical&gt;&lt;full-title&gt;Bmj&lt;/full-title&gt;&lt;/periodical&gt;&lt;pages&gt;1299&lt;/pages&gt;&lt;volume&gt;331&lt;/volume&gt;&lt;number&gt;7528&lt;/number&gt;&lt;dates&gt;&lt;year&gt;2005&lt;/year&gt;&lt;/dates&gt;&lt;isbn&gt;0959-8138&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23" w:tooltip="Morel CM, 2005 #248" w:history="1">
              <w:r w:rsidRPr="00C24991">
                <w:rPr>
                  <w:rFonts w:ascii="Arial" w:hAnsi="Arial" w:cs="Arial"/>
                  <w:noProof/>
                  <w:sz w:val="20"/>
                  <w:szCs w:val="20"/>
                  <w:lang w:eastAsia="en-US"/>
                </w:rPr>
                <w:t>23</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Economic modelling: case studies</w:t>
            </w:r>
          </w:p>
        </w:tc>
        <w:tc>
          <w:tcPr>
            <w:tcW w:w="1842" w:type="dxa"/>
          </w:tcPr>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rPr>
              <w:t>Generalized cost effectiveness analysis</w:t>
            </w:r>
          </w:p>
          <w:p w:rsidR="00C24991" w:rsidRPr="00C24991" w:rsidRDefault="00C24991" w:rsidP="00A2579A">
            <w:pPr>
              <w:rPr>
                <w:rFonts w:ascii="Arial" w:hAnsi="Arial" w:cs="Arial"/>
                <w:sz w:val="20"/>
                <w:szCs w:val="20"/>
              </w:rPr>
            </w:pPr>
          </w:p>
        </w:tc>
        <w:tc>
          <w:tcPr>
            <w:tcW w:w="3686" w:type="dxa"/>
          </w:tcPr>
          <w:p w:rsidR="00C24991" w:rsidRPr="00C24991" w:rsidRDefault="00C24991" w:rsidP="00C24991">
            <w:pPr>
              <w:pStyle w:val="ListParagraph"/>
              <w:numPr>
                <w:ilvl w:val="0"/>
                <w:numId w:val="19"/>
              </w:numPr>
              <w:autoSpaceDE w:val="0"/>
              <w:autoSpaceDN w:val="0"/>
              <w:adjustRightInd w:val="0"/>
              <w:ind w:left="261" w:hanging="261"/>
              <w:rPr>
                <w:rFonts w:ascii="Arial" w:hAnsi="Arial" w:cs="Arial"/>
                <w:sz w:val="20"/>
                <w:szCs w:val="20"/>
              </w:rPr>
            </w:pPr>
            <w:r w:rsidRPr="00C24991">
              <w:rPr>
                <w:rFonts w:ascii="Arial" w:hAnsi="Arial" w:cs="Arial"/>
                <w:sz w:val="20"/>
                <w:szCs w:val="20"/>
              </w:rPr>
              <w:t>Costs, effectiveness, and cost effectiveness of 5 malaria interventions at varying scales of implementation.</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 xml:space="preserve">Global health: </w:t>
            </w:r>
            <w:r w:rsidRPr="00C24991">
              <w:rPr>
                <w:rFonts w:ascii="Arial" w:hAnsi="Arial" w:cs="Arial"/>
                <w:bCs/>
                <w:sz w:val="20"/>
                <w:szCs w:val="20"/>
                <w:lang w:eastAsia="en-US"/>
              </w:rPr>
              <w:t>strategies to combat malaria</w:t>
            </w:r>
          </w:p>
        </w:tc>
        <w:tc>
          <w:tcPr>
            <w:tcW w:w="4678" w:type="dxa"/>
          </w:tcPr>
          <w:p w:rsidR="00C24991" w:rsidRPr="00C24991" w:rsidRDefault="00C24991" w:rsidP="00C24991">
            <w:pPr>
              <w:pStyle w:val="ListParagraph"/>
              <w:numPr>
                <w:ilvl w:val="0"/>
                <w:numId w:val="18"/>
              </w:numPr>
              <w:autoSpaceDE w:val="0"/>
              <w:autoSpaceDN w:val="0"/>
              <w:adjustRightInd w:val="0"/>
              <w:ind w:left="254" w:hanging="284"/>
              <w:rPr>
                <w:rFonts w:ascii="Arial" w:hAnsi="Arial" w:cs="Arial"/>
                <w:sz w:val="20"/>
                <w:szCs w:val="20"/>
              </w:rPr>
            </w:pPr>
            <w:r w:rsidRPr="00C24991">
              <w:rPr>
                <w:rFonts w:ascii="Arial" w:hAnsi="Arial" w:cs="Arial"/>
                <w:sz w:val="20"/>
                <w:szCs w:val="20"/>
              </w:rPr>
              <w:t>Achieving malaria specific millennium development goals requires a massive scaling up of interventions in sub-Saharan Africa.</w:t>
            </w:r>
          </w:p>
          <w:p w:rsidR="00C24991" w:rsidRPr="00C24991" w:rsidRDefault="00C24991" w:rsidP="00C24991">
            <w:pPr>
              <w:pStyle w:val="ListParagraph"/>
              <w:numPr>
                <w:ilvl w:val="0"/>
                <w:numId w:val="18"/>
              </w:numPr>
              <w:autoSpaceDE w:val="0"/>
              <w:autoSpaceDN w:val="0"/>
              <w:adjustRightInd w:val="0"/>
              <w:ind w:left="254" w:hanging="284"/>
              <w:rPr>
                <w:rFonts w:ascii="Arial" w:hAnsi="Arial" w:cs="Arial"/>
                <w:sz w:val="20"/>
                <w:szCs w:val="20"/>
              </w:rPr>
            </w:pPr>
            <w:r w:rsidRPr="00C24991">
              <w:rPr>
                <w:rFonts w:ascii="Arial" w:hAnsi="Arial" w:cs="Arial"/>
                <w:sz w:val="20"/>
                <w:szCs w:val="20"/>
              </w:rPr>
              <w:t xml:space="preserve">Economic modelling shows advantages of shifting resources towards </w:t>
            </w:r>
            <w:proofErr w:type="spellStart"/>
            <w:r w:rsidRPr="00C24991">
              <w:rPr>
                <w:rFonts w:ascii="Arial" w:hAnsi="Arial" w:cs="Arial"/>
                <w:sz w:val="20"/>
                <w:szCs w:val="20"/>
              </w:rPr>
              <w:t>artemisinin</w:t>
            </w:r>
            <w:proofErr w:type="spellEnd"/>
            <w:r w:rsidRPr="00C24991">
              <w:rPr>
                <w:rFonts w:ascii="Arial" w:hAnsi="Arial" w:cs="Arial"/>
                <w:sz w:val="20"/>
                <w:szCs w:val="20"/>
              </w:rPr>
              <w:t xml:space="preserve"> based combination treatment, as well as of using preventive and curative interventions in </w:t>
            </w:r>
            <w:r w:rsidRPr="00C24991">
              <w:rPr>
                <w:rFonts w:ascii="Arial" w:hAnsi="Arial" w:cs="Arial"/>
                <w:sz w:val="20"/>
                <w:szCs w:val="20"/>
              </w:rPr>
              <w:lastRenderedPageBreak/>
              <w:t>combination.</w:t>
            </w:r>
          </w:p>
          <w:p w:rsidR="00C24991" w:rsidRPr="00C24991" w:rsidRDefault="00C24991" w:rsidP="00C24991">
            <w:pPr>
              <w:pStyle w:val="ListParagraph"/>
              <w:numPr>
                <w:ilvl w:val="0"/>
                <w:numId w:val="18"/>
              </w:numPr>
              <w:autoSpaceDE w:val="0"/>
              <w:autoSpaceDN w:val="0"/>
              <w:adjustRightInd w:val="0"/>
              <w:ind w:left="254" w:hanging="284"/>
              <w:rPr>
                <w:rFonts w:ascii="Arial" w:hAnsi="Arial" w:cs="Arial"/>
                <w:sz w:val="20"/>
                <w:szCs w:val="20"/>
              </w:rPr>
            </w:pPr>
            <w:r w:rsidRPr="00C24991">
              <w:rPr>
                <w:rFonts w:ascii="Arial" w:hAnsi="Arial" w:cs="Arial"/>
                <w:sz w:val="20"/>
                <w:szCs w:val="20"/>
              </w:rPr>
              <w:t xml:space="preserve">A much larger infusion of resources than those currently available, and more attention to health system strengthening </w:t>
            </w:r>
            <w:proofErr w:type="gramStart"/>
            <w:r w:rsidRPr="00C24991">
              <w:rPr>
                <w:rFonts w:ascii="Arial" w:hAnsi="Arial" w:cs="Arial"/>
                <w:sz w:val="20"/>
                <w:szCs w:val="20"/>
              </w:rPr>
              <w:t>is</w:t>
            </w:r>
            <w:proofErr w:type="gramEnd"/>
            <w:r w:rsidRPr="00C24991">
              <w:rPr>
                <w:rFonts w:ascii="Arial" w:hAnsi="Arial" w:cs="Arial"/>
                <w:sz w:val="20"/>
                <w:szCs w:val="20"/>
              </w:rPr>
              <w:t xml:space="preserve"> needed to make headway in the fight to roll back malaria.</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rPr>
              <w:lastRenderedPageBreak/>
              <w:t xml:space="preserve">Norton &amp; </w:t>
            </w:r>
            <w:proofErr w:type="spellStart"/>
            <w:r w:rsidRPr="00C24991">
              <w:rPr>
                <w:rFonts w:ascii="Arial" w:hAnsi="Arial" w:cs="Arial"/>
                <w:sz w:val="20"/>
                <w:szCs w:val="20"/>
              </w:rPr>
              <w:t>Mittman</w:t>
            </w:r>
            <w:proofErr w:type="spellEnd"/>
            <w:r w:rsidRPr="00C24991">
              <w:rPr>
                <w:rFonts w:ascii="Arial" w:hAnsi="Arial" w:cs="Arial"/>
                <w:sz w:val="20"/>
                <w:szCs w:val="20"/>
              </w:rPr>
              <w:t xml:space="preserve"> (2010) </w:t>
            </w:r>
            <w:r w:rsidRPr="00C24991">
              <w:rPr>
                <w:rFonts w:ascii="Arial" w:hAnsi="Arial" w:cs="Arial"/>
                <w:sz w:val="20"/>
                <w:szCs w:val="20"/>
              </w:rPr>
              <w:fldChar w:fldCharType="begin"/>
            </w:r>
            <w:r w:rsidRPr="00C24991">
              <w:rPr>
                <w:rFonts w:ascii="Arial" w:hAnsi="Arial" w:cs="Arial"/>
                <w:sz w:val="20"/>
                <w:szCs w:val="20"/>
              </w:rPr>
              <w:instrText xml:space="preserve"> ADDIN EN.CITE &lt;EndNote&gt;&lt;Cite&gt;&lt;Author&gt;Norton&lt;/Author&gt;&lt;Year&gt;2010&lt;/Year&gt;&lt;RecNum&gt;217&lt;/RecNum&gt;&lt;DisplayText&gt;[24]&lt;/DisplayText&gt;&lt;record&gt;&lt;rec-number&gt;217&lt;/rec-number&gt;&lt;foreign-keys&gt;&lt;key app="EN" db-id="5z5zs2d9q5e0fbe20wrpwfswtw9xwerd9d9r" timestamp="0"&gt;217&lt;/key&gt;&lt;/foreign-keys&gt;&lt;ref-type name="Journal Article"&gt;17&lt;/ref-type&gt;&lt;contributors&gt;&lt;authors&gt;&lt;author&gt;Norton W,&lt;/author&gt;&lt;author&gt;Mittman B,&lt;/author&gt;&lt;/authors&gt;&lt;/contributors&gt;&lt;titles&gt;&lt;title&gt;Scaling-up health promotion/disease prevention programs in community settings: barriers, facilitators, and initial recommendations&lt;/title&gt;&lt;secondary-title&gt;Report Submitted to Patrick and Catherine Weldon Donaghue Medical Research Foundation&lt;/secondary-title&gt;&lt;/titles&gt;&lt;dates&gt;&lt;year&gt;2010&lt;/year&gt;&lt;/dates&gt;&lt;urls&gt;&lt;/urls&gt;&lt;/record&gt;&lt;/Cite&gt;&lt;/EndNote&gt;</w:instrText>
            </w:r>
            <w:r w:rsidRPr="00C24991">
              <w:rPr>
                <w:rFonts w:ascii="Arial" w:hAnsi="Arial" w:cs="Arial"/>
                <w:sz w:val="20"/>
                <w:szCs w:val="20"/>
              </w:rPr>
              <w:fldChar w:fldCharType="separate"/>
            </w:r>
            <w:r w:rsidRPr="00C24991">
              <w:rPr>
                <w:rFonts w:ascii="Arial" w:hAnsi="Arial" w:cs="Arial"/>
                <w:noProof/>
                <w:sz w:val="20"/>
                <w:szCs w:val="20"/>
              </w:rPr>
              <w:t>[</w:t>
            </w:r>
            <w:hyperlink w:anchor="_ENREF_24" w:tooltip="Norton W, 2010 #217" w:history="1">
              <w:r w:rsidRPr="00C24991">
                <w:rPr>
                  <w:rFonts w:ascii="Arial" w:hAnsi="Arial" w:cs="Arial"/>
                  <w:noProof/>
                  <w:sz w:val="20"/>
                  <w:szCs w:val="20"/>
                </w:rPr>
                <w:t>24</w:t>
              </w:r>
            </w:hyperlink>
            <w:r w:rsidRPr="00C24991">
              <w:rPr>
                <w:rFonts w:ascii="Arial" w:hAnsi="Arial" w:cs="Arial"/>
                <w:noProof/>
                <w:sz w:val="20"/>
                <w:szCs w:val="20"/>
              </w:rPr>
              <w:t>]</w:t>
            </w:r>
            <w:r w:rsidRPr="00C24991">
              <w:rPr>
                <w:rFonts w:ascii="Arial" w:hAnsi="Arial" w:cs="Arial"/>
                <w:sz w:val="20"/>
                <w:szCs w:val="20"/>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Descriptive: interviews</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Scaling up concepts</w:t>
            </w:r>
          </w:p>
          <w:p w:rsidR="00C24991" w:rsidRPr="00C24991" w:rsidRDefault="00C24991" w:rsidP="00A2579A">
            <w:pPr>
              <w:autoSpaceDE w:val="0"/>
              <w:autoSpaceDN w:val="0"/>
              <w:adjustRightInd w:val="0"/>
              <w:rPr>
                <w:rFonts w:ascii="Arial" w:hAnsi="Arial" w:cs="Arial"/>
                <w:sz w:val="20"/>
                <w:szCs w:val="20"/>
              </w:rPr>
            </w:pPr>
          </w:p>
        </w:tc>
        <w:tc>
          <w:tcPr>
            <w:tcW w:w="3686"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Key barriers and facilitators to</w:t>
            </w:r>
          </w:p>
          <w:p w:rsidR="00C24991" w:rsidRPr="00C24991" w:rsidRDefault="00C24991" w:rsidP="00A2579A">
            <w:pPr>
              <w:autoSpaceDE w:val="0"/>
              <w:autoSpaceDN w:val="0"/>
              <w:adjustRightInd w:val="0"/>
              <w:rPr>
                <w:rFonts w:ascii="Arial" w:hAnsi="Arial" w:cs="Arial"/>
                <w:sz w:val="20"/>
                <w:szCs w:val="20"/>
                <w:lang w:eastAsia="en-US"/>
              </w:rPr>
            </w:pPr>
            <w:proofErr w:type="gramStart"/>
            <w:r w:rsidRPr="00C24991">
              <w:rPr>
                <w:rFonts w:ascii="Arial" w:hAnsi="Arial" w:cs="Arial"/>
                <w:sz w:val="20"/>
                <w:szCs w:val="20"/>
                <w:lang w:eastAsia="en-US"/>
              </w:rPr>
              <w:t>scale-up</w:t>
            </w:r>
            <w:proofErr w:type="gramEnd"/>
            <w:r w:rsidRPr="00C24991">
              <w:rPr>
                <w:rFonts w:ascii="Arial" w:hAnsi="Arial" w:cs="Arial"/>
                <w:sz w:val="20"/>
                <w:szCs w:val="20"/>
                <w:lang w:eastAsia="en-US"/>
              </w:rPr>
              <w:t xml:space="preserve"> of health promotion and prevention  programs.</w:t>
            </w:r>
          </w:p>
          <w:p w:rsidR="00C24991" w:rsidRPr="00C24991" w:rsidRDefault="00C24991" w:rsidP="00A2579A">
            <w:pPr>
              <w:autoSpaceDE w:val="0"/>
              <w:autoSpaceDN w:val="0"/>
              <w:adjustRightInd w:val="0"/>
              <w:rPr>
                <w:rFonts w:ascii="Arial" w:hAnsi="Arial" w:cs="Arial"/>
                <w:bCs/>
                <w:sz w:val="20"/>
                <w:szCs w:val="20"/>
              </w:rPr>
            </w:pP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High income countries: Health Promotion &amp; Disease</w:t>
            </w:r>
          </w:p>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Prevention</w:t>
            </w:r>
          </w:p>
        </w:tc>
        <w:tc>
          <w:tcPr>
            <w:tcW w:w="4678" w:type="dxa"/>
          </w:tcPr>
          <w:p w:rsidR="00C24991" w:rsidRPr="00C24991" w:rsidRDefault="00C24991" w:rsidP="00C24991">
            <w:pPr>
              <w:pStyle w:val="ListParagraph"/>
              <w:numPr>
                <w:ilvl w:val="0"/>
                <w:numId w:val="20"/>
              </w:numPr>
              <w:autoSpaceDE w:val="0"/>
              <w:autoSpaceDN w:val="0"/>
              <w:adjustRightInd w:val="0"/>
              <w:ind w:left="254" w:hanging="284"/>
              <w:rPr>
                <w:rFonts w:ascii="Arial" w:hAnsi="Arial" w:cs="Arial"/>
                <w:sz w:val="20"/>
                <w:szCs w:val="20"/>
              </w:rPr>
            </w:pPr>
            <w:r w:rsidRPr="00C24991">
              <w:rPr>
                <w:rFonts w:ascii="Arial" w:hAnsi="Arial" w:cs="Arial"/>
                <w:sz w:val="20"/>
                <w:szCs w:val="20"/>
              </w:rPr>
              <w:t>Programs that are flexible and easily adapted to different target populations, implementation settings, and contexts are more likely to be widely adopted than those that are very rigid and require strict adherence to program content and components.</w:t>
            </w:r>
          </w:p>
          <w:p w:rsidR="00C24991" w:rsidRPr="00C24991" w:rsidRDefault="00C24991" w:rsidP="00C24991">
            <w:pPr>
              <w:pStyle w:val="ListParagraph"/>
              <w:numPr>
                <w:ilvl w:val="0"/>
                <w:numId w:val="20"/>
              </w:numPr>
              <w:autoSpaceDE w:val="0"/>
              <w:autoSpaceDN w:val="0"/>
              <w:adjustRightInd w:val="0"/>
              <w:ind w:left="254" w:hanging="284"/>
              <w:rPr>
                <w:rFonts w:ascii="Arial" w:hAnsi="Arial" w:cs="Arial"/>
                <w:sz w:val="20"/>
                <w:szCs w:val="20"/>
              </w:rPr>
            </w:pPr>
            <w:r w:rsidRPr="00C24991">
              <w:rPr>
                <w:rFonts w:ascii="Arial" w:hAnsi="Arial" w:cs="Arial"/>
                <w:sz w:val="20"/>
                <w:szCs w:val="20"/>
              </w:rPr>
              <w:t>Programs should be flexible and amenable to rapid changes in response to: (a) participants’ feedback and (b) outcome monitoring and evaluation data.</w:t>
            </w:r>
          </w:p>
          <w:p w:rsidR="00C24991" w:rsidRPr="00C24991" w:rsidRDefault="00C24991" w:rsidP="00C24991">
            <w:pPr>
              <w:pStyle w:val="ListParagraph"/>
              <w:numPr>
                <w:ilvl w:val="0"/>
                <w:numId w:val="20"/>
              </w:numPr>
              <w:autoSpaceDE w:val="0"/>
              <w:autoSpaceDN w:val="0"/>
              <w:adjustRightInd w:val="0"/>
              <w:ind w:left="254" w:hanging="284"/>
              <w:rPr>
                <w:rFonts w:ascii="Arial" w:hAnsi="Arial" w:cs="Arial"/>
                <w:sz w:val="20"/>
                <w:szCs w:val="20"/>
              </w:rPr>
            </w:pPr>
            <w:r w:rsidRPr="00C24991">
              <w:rPr>
                <w:rFonts w:ascii="Arial" w:hAnsi="Arial" w:cs="Arial"/>
                <w:sz w:val="20"/>
                <w:szCs w:val="20"/>
              </w:rPr>
              <w:t>Program materials should be available online and easily accessible.</w:t>
            </w:r>
          </w:p>
          <w:p w:rsidR="00C24991" w:rsidRPr="00C24991" w:rsidRDefault="00C24991" w:rsidP="00C24991">
            <w:pPr>
              <w:pStyle w:val="ListParagraph"/>
              <w:numPr>
                <w:ilvl w:val="0"/>
                <w:numId w:val="20"/>
              </w:numPr>
              <w:autoSpaceDE w:val="0"/>
              <w:autoSpaceDN w:val="0"/>
              <w:adjustRightInd w:val="0"/>
              <w:ind w:left="254" w:hanging="284"/>
              <w:rPr>
                <w:rFonts w:ascii="Arial" w:hAnsi="Arial" w:cs="Arial"/>
                <w:sz w:val="20"/>
                <w:szCs w:val="20"/>
              </w:rPr>
            </w:pPr>
            <w:r w:rsidRPr="00C24991">
              <w:rPr>
                <w:rFonts w:ascii="Arial" w:hAnsi="Arial" w:cs="Arial"/>
                <w:sz w:val="20"/>
                <w:szCs w:val="20"/>
              </w:rPr>
              <w:t>Programs should be branded and marketed so that they are visible to potential participants and end-users.</w:t>
            </w:r>
          </w:p>
          <w:p w:rsidR="00C24991" w:rsidRPr="00C24991" w:rsidRDefault="00C24991" w:rsidP="00C24991">
            <w:pPr>
              <w:pStyle w:val="ListParagraph"/>
              <w:numPr>
                <w:ilvl w:val="0"/>
                <w:numId w:val="20"/>
              </w:numPr>
              <w:autoSpaceDE w:val="0"/>
              <w:autoSpaceDN w:val="0"/>
              <w:adjustRightInd w:val="0"/>
              <w:ind w:left="254" w:hanging="284"/>
              <w:rPr>
                <w:rFonts w:ascii="Arial" w:hAnsi="Arial" w:cs="Arial"/>
                <w:sz w:val="20"/>
                <w:szCs w:val="20"/>
              </w:rPr>
            </w:pPr>
            <w:r w:rsidRPr="00C24991">
              <w:rPr>
                <w:rFonts w:ascii="Arial" w:hAnsi="Arial" w:cs="Arial"/>
                <w:sz w:val="20"/>
                <w:szCs w:val="20"/>
              </w:rPr>
              <w:t>Commitment by multiple organizations and stakeholder groups provides support and legitimacy for implementing a program.</w:t>
            </w:r>
          </w:p>
          <w:p w:rsidR="00C24991" w:rsidRPr="00C24991" w:rsidRDefault="00C24991" w:rsidP="00C24991">
            <w:pPr>
              <w:pStyle w:val="ListParagraph"/>
              <w:numPr>
                <w:ilvl w:val="0"/>
                <w:numId w:val="20"/>
              </w:numPr>
              <w:autoSpaceDE w:val="0"/>
              <w:autoSpaceDN w:val="0"/>
              <w:adjustRightInd w:val="0"/>
              <w:ind w:left="254" w:hanging="284"/>
              <w:rPr>
                <w:rFonts w:ascii="Arial" w:hAnsi="Arial" w:cs="Arial"/>
                <w:sz w:val="20"/>
                <w:szCs w:val="20"/>
              </w:rPr>
            </w:pPr>
            <w:r w:rsidRPr="00C24991">
              <w:rPr>
                <w:rFonts w:ascii="Arial" w:hAnsi="Arial" w:cs="Arial"/>
                <w:sz w:val="20"/>
                <w:szCs w:val="20"/>
              </w:rPr>
              <w:t>In addition to highlighting program efficacy, it is important to a) identify and b) explicitly state the benefits of the program to potential implementers and target organizations.</w:t>
            </w:r>
          </w:p>
          <w:p w:rsidR="00C24991" w:rsidRPr="00C24991" w:rsidRDefault="00C24991" w:rsidP="00C24991">
            <w:pPr>
              <w:pStyle w:val="ListParagraph"/>
              <w:numPr>
                <w:ilvl w:val="0"/>
                <w:numId w:val="20"/>
              </w:numPr>
              <w:autoSpaceDE w:val="0"/>
              <w:autoSpaceDN w:val="0"/>
              <w:adjustRightInd w:val="0"/>
              <w:ind w:left="254" w:hanging="284"/>
              <w:rPr>
                <w:rFonts w:ascii="Arial" w:hAnsi="Arial" w:cs="Arial"/>
                <w:sz w:val="20"/>
                <w:szCs w:val="20"/>
              </w:rPr>
            </w:pPr>
            <w:r w:rsidRPr="00C24991">
              <w:rPr>
                <w:rFonts w:ascii="Arial" w:hAnsi="Arial" w:cs="Arial"/>
                <w:sz w:val="20"/>
                <w:szCs w:val="20"/>
              </w:rPr>
              <w:t xml:space="preserve">Importance of partnering with an agency that has local implementation support and access to the community, in addition to having </w:t>
            </w:r>
            <w:r w:rsidRPr="00C24991">
              <w:rPr>
                <w:rFonts w:ascii="Arial" w:hAnsi="Arial" w:cs="Arial"/>
                <w:sz w:val="20"/>
                <w:szCs w:val="20"/>
              </w:rPr>
              <w:lastRenderedPageBreak/>
              <w:t>regional- or national-level infrastructure.</w:t>
            </w:r>
          </w:p>
          <w:p w:rsidR="00C24991" w:rsidRPr="00C24991" w:rsidRDefault="00C24991" w:rsidP="00C24991">
            <w:pPr>
              <w:pStyle w:val="ListParagraph"/>
              <w:numPr>
                <w:ilvl w:val="0"/>
                <w:numId w:val="20"/>
              </w:numPr>
              <w:autoSpaceDE w:val="0"/>
              <w:autoSpaceDN w:val="0"/>
              <w:adjustRightInd w:val="0"/>
              <w:ind w:left="254" w:hanging="284"/>
              <w:rPr>
                <w:rFonts w:ascii="Arial" w:hAnsi="Arial" w:cs="Arial"/>
                <w:sz w:val="20"/>
                <w:szCs w:val="20"/>
              </w:rPr>
            </w:pPr>
            <w:r w:rsidRPr="00C24991">
              <w:rPr>
                <w:rFonts w:ascii="Arial" w:hAnsi="Arial" w:cs="Arial"/>
                <w:sz w:val="20"/>
                <w:szCs w:val="20"/>
              </w:rPr>
              <w:t>Funding agencies should consider adapting the grant review process to dissemination and implementation research, and expediting the grant application process for follow-up studies needed to facilitate scale-up.</w:t>
            </w:r>
          </w:p>
          <w:p w:rsidR="00C24991" w:rsidRPr="00C24991" w:rsidRDefault="00C24991" w:rsidP="00A2579A">
            <w:pPr>
              <w:autoSpaceDE w:val="0"/>
              <w:autoSpaceDN w:val="0"/>
              <w:adjustRightInd w:val="0"/>
              <w:rPr>
                <w:rFonts w:ascii="Arial" w:hAnsi="Arial" w:cs="Arial"/>
                <w:sz w:val="20"/>
                <w:szCs w:val="20"/>
              </w:rPr>
            </w:pPr>
          </w:p>
          <w:p w:rsidR="00C24991" w:rsidRPr="00C24991" w:rsidRDefault="00C24991" w:rsidP="00A2579A">
            <w:pPr>
              <w:autoSpaceDE w:val="0"/>
              <w:autoSpaceDN w:val="0"/>
              <w:adjustRightInd w:val="0"/>
              <w:rPr>
                <w:rFonts w:ascii="Arial" w:hAnsi="Arial" w:cs="Arial"/>
                <w:sz w:val="20"/>
                <w:szCs w:val="20"/>
              </w:rPr>
            </w:pPr>
          </w:p>
          <w:p w:rsidR="00C24991" w:rsidRPr="00C24991" w:rsidRDefault="00C24991" w:rsidP="00A2579A">
            <w:pPr>
              <w:autoSpaceDE w:val="0"/>
              <w:autoSpaceDN w:val="0"/>
              <w:adjustRightInd w:val="0"/>
              <w:rPr>
                <w:rFonts w:ascii="Arial" w:hAnsi="Arial" w:cs="Arial"/>
                <w:sz w:val="20"/>
                <w:szCs w:val="20"/>
              </w:rPr>
            </w:pP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lastRenderedPageBreak/>
              <w:t xml:space="preserve">Pearson &amp; </w:t>
            </w:r>
            <w:proofErr w:type="spellStart"/>
            <w:r w:rsidRPr="00C24991">
              <w:rPr>
                <w:rFonts w:ascii="Arial" w:hAnsi="Arial" w:cs="Arial"/>
                <w:sz w:val="20"/>
                <w:szCs w:val="20"/>
                <w:lang w:eastAsia="en-US"/>
              </w:rPr>
              <w:t>Ljungqvist</w:t>
            </w:r>
            <w:proofErr w:type="spellEnd"/>
            <w:r w:rsidRPr="00C24991">
              <w:rPr>
                <w:rFonts w:ascii="Arial" w:hAnsi="Arial" w:cs="Arial"/>
                <w:sz w:val="20"/>
                <w:szCs w:val="20"/>
                <w:lang w:eastAsia="en-US"/>
              </w:rPr>
              <w:t xml:space="preserve"> (2011)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&lt;EndNote&gt;&lt;Cite&gt;&lt;Author&gt;Pearson&lt;/Author&gt;&lt;Year&gt;2011&lt;/Year&gt;&lt;RecNum&gt;226&lt;/RecNum&gt;&lt;DisplayText&gt;[25]&lt;/DisplayText&gt;&lt;record&gt;&lt;rec-number&gt;226&lt;/rec-number&gt;&lt;foreign-keys&gt;&lt;key app="EN" db-id="5z5zs2d9q5e0fbe20wrpwfswtw9xwerd9d9r" timestamp="0"&gt;226&lt;/key&gt;&lt;/foreign-keys&gt;&lt;ref-type name="Journal Article"&gt;17&lt;/ref-type&gt;&lt;contributors&gt;&lt;authors&gt;&lt;author&gt;Pearson BL,&lt;/author&gt;&lt;author&gt;Ljungqvist B,&lt;/author&gt;&lt;/authors&gt;&lt;/contributors&gt;&lt;titles&gt;&lt;title&gt;REACH: An effective catalyst for scaling up priority nutrition interventions at the country level&lt;/title&gt;&lt;secondary-title&gt;Food &amp;amp; Nutrition Bulletin&lt;/secondary-title&gt;&lt;/titles&gt;&lt;pages&gt;115S-127S&lt;/pages&gt;&lt;volume&gt;32&lt;/volume&gt;&lt;number&gt;Supplement 2&lt;/number&gt;&lt;dates&gt;&lt;year&gt;2011&lt;/year&gt;&lt;/dates&gt;&lt;publisher&gt;Nevin Scrimshaw International Nutrition Foundation&lt;/publisher&gt;&lt;isbn&gt;0379-5721&lt;/isbn&gt;&lt;urls&gt;&lt;/urls&gt;&lt;/record&gt;&lt;/Cite&gt;&lt;/EndNote&gt;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25" w:tooltip="Pearson BL, 2011 #226" w:history="1">
              <w:r w:rsidRPr="00C24991">
                <w:rPr>
                  <w:rFonts w:ascii="Arial" w:hAnsi="Arial" w:cs="Arial"/>
                  <w:noProof/>
                  <w:sz w:val="20"/>
                  <w:szCs w:val="20"/>
                  <w:lang w:eastAsia="en-US"/>
                </w:rPr>
                <w:t>25</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Descriptive: case study</w:t>
            </w:r>
          </w:p>
        </w:tc>
        <w:tc>
          <w:tcPr>
            <w:tcW w:w="1842" w:type="dxa"/>
          </w:tcPr>
          <w:p w:rsidR="00C24991" w:rsidRPr="00C24991" w:rsidRDefault="00C24991" w:rsidP="00A2579A">
            <w:pPr>
              <w:rPr>
                <w:rFonts w:ascii="Arial" w:hAnsi="Arial" w:cs="Arial"/>
                <w:sz w:val="20"/>
                <w:szCs w:val="20"/>
              </w:rPr>
            </w:pPr>
            <w:r w:rsidRPr="00C24991">
              <w:rPr>
                <w:rFonts w:ascii="Arial" w:hAnsi="Arial" w:cs="Arial"/>
                <w:iCs/>
                <w:sz w:val="20"/>
                <w:szCs w:val="20"/>
                <w:lang w:eastAsia="en-US"/>
              </w:rPr>
              <w:t>Renewed Efforts Against Child Hunger (</w:t>
            </w:r>
            <w:r w:rsidRPr="00C24991">
              <w:rPr>
                <w:rFonts w:ascii="Arial" w:hAnsi="Arial" w:cs="Arial"/>
                <w:bCs/>
                <w:sz w:val="20"/>
                <w:szCs w:val="20"/>
                <w:lang w:eastAsia="en-US"/>
              </w:rPr>
              <w:t>REACH) implementation framework</w:t>
            </w:r>
          </w:p>
        </w:tc>
        <w:tc>
          <w:tcPr>
            <w:tcW w:w="3686" w:type="dxa"/>
          </w:tcPr>
          <w:p w:rsidR="00C24991" w:rsidRPr="00C24991" w:rsidRDefault="00C24991" w:rsidP="00C24991">
            <w:pPr>
              <w:pStyle w:val="ListParagraph"/>
              <w:numPr>
                <w:ilvl w:val="0"/>
                <w:numId w:val="24"/>
              </w:numPr>
              <w:autoSpaceDE w:val="0"/>
              <w:autoSpaceDN w:val="0"/>
              <w:adjustRightInd w:val="0"/>
              <w:ind w:left="261" w:hanging="261"/>
              <w:rPr>
                <w:rFonts w:ascii="Arial" w:hAnsi="Arial" w:cs="Arial"/>
                <w:sz w:val="20"/>
                <w:szCs w:val="20"/>
              </w:rPr>
            </w:pPr>
            <w:r w:rsidRPr="00C24991">
              <w:rPr>
                <w:rFonts w:ascii="Arial" w:hAnsi="Arial" w:cs="Arial"/>
                <w:sz w:val="20"/>
                <w:szCs w:val="20"/>
              </w:rPr>
              <w:t xml:space="preserve">REACH assists governments and development partners </w:t>
            </w:r>
            <w:proofErr w:type="spellStart"/>
            <w:r w:rsidRPr="00C24991">
              <w:rPr>
                <w:rFonts w:ascii="Arial" w:hAnsi="Arial" w:cs="Arial"/>
                <w:sz w:val="20"/>
                <w:szCs w:val="20"/>
              </w:rPr>
              <w:t>analyze</w:t>
            </w:r>
            <w:proofErr w:type="spellEnd"/>
            <w:r w:rsidRPr="00C24991">
              <w:rPr>
                <w:rFonts w:ascii="Arial" w:hAnsi="Arial" w:cs="Arial"/>
                <w:sz w:val="20"/>
                <w:szCs w:val="20"/>
              </w:rPr>
              <w:t xml:space="preserve"> the current coverage of critical interventions, prioritize nutrition actions, develop a national plan of action, and establish the required multi-sectoral governance and management mechanisms for scaling up.</w:t>
            </w:r>
          </w:p>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rPr>
              <w:t xml:space="preserve">REACH program is underpinned by a series of implementation and evaluation  indicators including:  </w:t>
            </w:r>
          </w:p>
          <w:p w:rsidR="00C24991" w:rsidRPr="00C24991" w:rsidRDefault="00C24991" w:rsidP="00C24991">
            <w:pPr>
              <w:pStyle w:val="ListParagraph"/>
              <w:numPr>
                <w:ilvl w:val="0"/>
                <w:numId w:val="23"/>
              </w:numPr>
              <w:autoSpaceDE w:val="0"/>
              <w:autoSpaceDN w:val="0"/>
              <w:adjustRightInd w:val="0"/>
              <w:ind w:left="459" w:hanging="284"/>
              <w:rPr>
                <w:rFonts w:ascii="Arial" w:hAnsi="Arial" w:cs="Arial"/>
                <w:sz w:val="20"/>
                <w:szCs w:val="20"/>
              </w:rPr>
            </w:pPr>
            <w:r w:rsidRPr="00C24991">
              <w:rPr>
                <w:rFonts w:ascii="Arial" w:hAnsi="Arial" w:cs="Arial"/>
                <w:sz w:val="20"/>
                <w:szCs w:val="20"/>
              </w:rPr>
              <w:t>key program inputs and outputs;</w:t>
            </w:r>
          </w:p>
          <w:p w:rsidR="00C24991" w:rsidRPr="00C24991" w:rsidRDefault="00C24991" w:rsidP="00C24991">
            <w:pPr>
              <w:pStyle w:val="ListParagraph"/>
              <w:numPr>
                <w:ilvl w:val="0"/>
                <w:numId w:val="22"/>
              </w:numPr>
              <w:autoSpaceDE w:val="0"/>
              <w:autoSpaceDN w:val="0"/>
              <w:adjustRightInd w:val="0"/>
              <w:ind w:left="459" w:hanging="284"/>
              <w:rPr>
                <w:rFonts w:ascii="Arial" w:hAnsi="Arial" w:cs="Arial"/>
                <w:sz w:val="20"/>
                <w:szCs w:val="20"/>
              </w:rPr>
            </w:pPr>
            <w:r w:rsidRPr="00C24991">
              <w:rPr>
                <w:rFonts w:ascii="Arial" w:hAnsi="Arial" w:cs="Arial"/>
                <w:sz w:val="20"/>
                <w:szCs w:val="20"/>
              </w:rPr>
              <w:t>steps/activities for intervention delivery;</w:t>
            </w:r>
          </w:p>
          <w:p w:rsidR="00C24991" w:rsidRPr="00C24991" w:rsidRDefault="00C24991" w:rsidP="00C24991">
            <w:pPr>
              <w:pStyle w:val="ListParagraph"/>
              <w:numPr>
                <w:ilvl w:val="0"/>
                <w:numId w:val="22"/>
              </w:numPr>
              <w:autoSpaceDE w:val="0"/>
              <w:autoSpaceDN w:val="0"/>
              <w:adjustRightInd w:val="0"/>
              <w:ind w:left="459" w:hanging="284"/>
              <w:rPr>
                <w:rFonts w:ascii="Arial" w:hAnsi="Arial" w:cs="Arial"/>
                <w:sz w:val="20"/>
                <w:szCs w:val="20"/>
              </w:rPr>
            </w:pPr>
            <w:r w:rsidRPr="00C24991">
              <w:rPr>
                <w:rFonts w:ascii="Arial" w:hAnsi="Arial" w:cs="Arial"/>
                <w:sz w:val="20"/>
                <w:szCs w:val="20"/>
              </w:rPr>
              <w:t>monitoring of  coverage of the target population (Reach); and</w:t>
            </w:r>
          </w:p>
          <w:p w:rsidR="00C24991" w:rsidRPr="00C24991" w:rsidRDefault="00C24991" w:rsidP="00C24991">
            <w:pPr>
              <w:pStyle w:val="ListParagraph"/>
              <w:numPr>
                <w:ilvl w:val="0"/>
                <w:numId w:val="24"/>
              </w:numPr>
              <w:autoSpaceDE w:val="0"/>
              <w:autoSpaceDN w:val="0"/>
              <w:adjustRightInd w:val="0"/>
              <w:ind w:left="459" w:hanging="261"/>
              <w:rPr>
                <w:rFonts w:ascii="Arial" w:hAnsi="Arial" w:cs="Arial"/>
                <w:sz w:val="20"/>
                <w:szCs w:val="20"/>
              </w:rPr>
            </w:pPr>
            <w:proofErr w:type="gramStart"/>
            <w:r w:rsidRPr="00C24991">
              <w:rPr>
                <w:rFonts w:ascii="Arial" w:hAnsi="Arial" w:cs="Arial"/>
                <w:sz w:val="20"/>
                <w:szCs w:val="20"/>
              </w:rPr>
              <w:t>indicators</w:t>
            </w:r>
            <w:proofErr w:type="gramEnd"/>
            <w:r w:rsidRPr="00C24991">
              <w:rPr>
                <w:rFonts w:ascii="Arial" w:hAnsi="Arial" w:cs="Arial"/>
                <w:sz w:val="20"/>
                <w:szCs w:val="20"/>
              </w:rPr>
              <w:t xml:space="preserve"> to measure depth and/or quality of intervention.</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Global health: priority nutrition interventions</w:t>
            </w:r>
          </w:p>
        </w:tc>
        <w:tc>
          <w:tcPr>
            <w:tcW w:w="4678"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REACH framework facilitates  multi-stakeholder coordination and accountability at the country level by:</w:t>
            </w:r>
          </w:p>
          <w:p w:rsidR="00C24991" w:rsidRPr="00C24991" w:rsidRDefault="00C24991" w:rsidP="00C24991">
            <w:pPr>
              <w:pStyle w:val="ListParagraph"/>
              <w:numPr>
                <w:ilvl w:val="0"/>
                <w:numId w:val="21"/>
              </w:numPr>
              <w:autoSpaceDE w:val="0"/>
              <w:autoSpaceDN w:val="0"/>
              <w:adjustRightInd w:val="0"/>
              <w:ind w:left="261" w:hanging="261"/>
              <w:rPr>
                <w:rFonts w:ascii="Arial" w:hAnsi="Arial" w:cs="Arial"/>
                <w:sz w:val="20"/>
                <w:szCs w:val="20"/>
              </w:rPr>
            </w:pPr>
            <w:r w:rsidRPr="00C24991">
              <w:rPr>
                <w:rFonts w:ascii="Arial" w:hAnsi="Arial" w:cs="Arial"/>
                <w:sz w:val="20"/>
                <w:szCs w:val="20"/>
              </w:rPr>
              <w:t xml:space="preserve">using monitoring and evaluation to help establish </w:t>
            </w:r>
            <w:r w:rsidRPr="00C24991">
              <w:rPr>
                <w:rFonts w:ascii="Arial" w:hAnsi="Arial" w:cs="Arial"/>
                <w:iCs/>
                <w:sz w:val="20"/>
                <w:szCs w:val="20"/>
              </w:rPr>
              <w:t xml:space="preserve">consensus </w:t>
            </w:r>
            <w:r w:rsidRPr="00C24991">
              <w:rPr>
                <w:rFonts w:ascii="Arial" w:hAnsi="Arial" w:cs="Arial"/>
                <w:sz w:val="20"/>
                <w:szCs w:val="20"/>
              </w:rPr>
              <w:t>on priorities, goals, and action among relevant stakeholders;</w:t>
            </w:r>
          </w:p>
          <w:p w:rsidR="00C24991" w:rsidRPr="00C24991" w:rsidRDefault="00C24991" w:rsidP="00C24991">
            <w:pPr>
              <w:pStyle w:val="ListParagraph"/>
              <w:numPr>
                <w:ilvl w:val="0"/>
                <w:numId w:val="21"/>
              </w:numPr>
              <w:autoSpaceDE w:val="0"/>
              <w:autoSpaceDN w:val="0"/>
              <w:adjustRightInd w:val="0"/>
              <w:ind w:left="261" w:hanging="261"/>
              <w:rPr>
                <w:rFonts w:ascii="Arial" w:hAnsi="Arial" w:cs="Arial"/>
                <w:iCs/>
                <w:sz w:val="20"/>
                <w:szCs w:val="20"/>
              </w:rPr>
            </w:pPr>
            <w:r w:rsidRPr="00C24991">
              <w:rPr>
                <w:rFonts w:ascii="Arial" w:hAnsi="Arial" w:cs="Arial"/>
                <w:sz w:val="20"/>
                <w:szCs w:val="20"/>
              </w:rPr>
              <w:t xml:space="preserve">developing robust inputs and evidence base for </w:t>
            </w:r>
            <w:r w:rsidRPr="00C24991">
              <w:rPr>
                <w:rFonts w:ascii="Arial" w:hAnsi="Arial" w:cs="Arial"/>
                <w:iCs/>
                <w:sz w:val="20"/>
                <w:szCs w:val="20"/>
              </w:rPr>
              <w:t xml:space="preserve">decision-making, advocacy, </w:t>
            </w:r>
            <w:r w:rsidRPr="00C24991">
              <w:rPr>
                <w:rFonts w:ascii="Arial" w:hAnsi="Arial" w:cs="Arial"/>
                <w:sz w:val="20"/>
                <w:szCs w:val="20"/>
              </w:rPr>
              <w:t xml:space="preserve">and </w:t>
            </w:r>
            <w:r w:rsidRPr="00C24991">
              <w:rPr>
                <w:rFonts w:ascii="Arial" w:hAnsi="Arial" w:cs="Arial"/>
                <w:iCs/>
                <w:sz w:val="20"/>
                <w:szCs w:val="20"/>
              </w:rPr>
              <w:t>resource mobilization</w:t>
            </w:r>
            <w:r w:rsidRPr="00C24991">
              <w:rPr>
                <w:rFonts w:ascii="Arial" w:hAnsi="Arial" w:cs="Arial"/>
                <w:sz w:val="20"/>
                <w:szCs w:val="20"/>
              </w:rPr>
              <w:t>; and</w:t>
            </w:r>
          </w:p>
          <w:p w:rsidR="00C24991" w:rsidRPr="00C24991" w:rsidRDefault="00C24991" w:rsidP="00C24991">
            <w:pPr>
              <w:pStyle w:val="ListParagraph"/>
              <w:numPr>
                <w:ilvl w:val="0"/>
                <w:numId w:val="21"/>
              </w:numPr>
              <w:autoSpaceDE w:val="0"/>
              <w:autoSpaceDN w:val="0"/>
              <w:adjustRightInd w:val="0"/>
              <w:ind w:left="261" w:hanging="261"/>
              <w:rPr>
                <w:rFonts w:ascii="Arial" w:hAnsi="Arial" w:cs="Arial"/>
                <w:iCs/>
                <w:sz w:val="20"/>
                <w:szCs w:val="20"/>
              </w:rPr>
            </w:pPr>
            <w:proofErr w:type="gramStart"/>
            <w:r w:rsidRPr="00C24991">
              <w:rPr>
                <w:rFonts w:ascii="Arial" w:hAnsi="Arial" w:cs="Arial"/>
                <w:sz w:val="20"/>
                <w:szCs w:val="20"/>
              </w:rPr>
              <w:t>d</w:t>
            </w:r>
            <w:r w:rsidRPr="00C24991">
              <w:rPr>
                <w:rFonts w:ascii="Arial" w:hAnsi="Arial" w:cs="Arial"/>
                <w:iCs/>
                <w:sz w:val="20"/>
                <w:szCs w:val="20"/>
              </w:rPr>
              <w:t>iagnosing</w:t>
            </w:r>
            <w:proofErr w:type="gramEnd"/>
            <w:r w:rsidRPr="00C24991">
              <w:rPr>
                <w:rFonts w:ascii="Arial" w:hAnsi="Arial" w:cs="Arial"/>
                <w:iCs/>
                <w:sz w:val="20"/>
                <w:szCs w:val="20"/>
              </w:rPr>
              <w:t xml:space="preserve"> critical success factors and areas for improvement </w:t>
            </w:r>
            <w:r w:rsidRPr="00C24991">
              <w:rPr>
                <w:rFonts w:ascii="Arial" w:hAnsi="Arial" w:cs="Arial"/>
                <w:sz w:val="20"/>
                <w:szCs w:val="20"/>
              </w:rPr>
              <w:t>to facilitate responsive action and a</w:t>
            </w:r>
            <w:r w:rsidRPr="00C24991">
              <w:rPr>
                <w:rFonts w:ascii="Arial" w:hAnsi="Arial" w:cs="Arial"/>
                <w:iCs/>
                <w:sz w:val="20"/>
                <w:szCs w:val="20"/>
              </w:rPr>
              <w:t xml:space="preserve"> </w:t>
            </w:r>
            <w:r w:rsidRPr="00C24991">
              <w:rPr>
                <w:rFonts w:ascii="Arial" w:hAnsi="Arial" w:cs="Arial"/>
                <w:sz w:val="20"/>
                <w:szCs w:val="20"/>
              </w:rPr>
              <w:t xml:space="preserve">continuous </w:t>
            </w:r>
            <w:r w:rsidRPr="00C24991">
              <w:rPr>
                <w:rFonts w:ascii="Arial" w:hAnsi="Arial" w:cs="Arial"/>
                <w:iCs/>
                <w:sz w:val="20"/>
                <w:szCs w:val="20"/>
              </w:rPr>
              <w:t>improvement.</w:t>
            </w:r>
          </w:p>
          <w:p w:rsidR="00C24991" w:rsidRPr="00C24991" w:rsidRDefault="00C24991" w:rsidP="00A2579A">
            <w:pPr>
              <w:pStyle w:val="ListParagraph"/>
              <w:autoSpaceDE w:val="0"/>
              <w:autoSpaceDN w:val="0"/>
              <w:adjustRightInd w:val="0"/>
              <w:ind w:left="396"/>
              <w:rPr>
                <w:rFonts w:ascii="Arial" w:hAnsi="Arial" w:cs="Arial"/>
                <w:sz w:val="20"/>
                <w:szCs w:val="20"/>
              </w:rPr>
            </w:pP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t xml:space="preserve">Pérez-Escamilla </w:t>
            </w:r>
            <w:r w:rsidRPr="00C24991">
              <w:rPr>
                <w:rFonts w:ascii="Arial" w:hAnsi="Arial" w:cs="Arial"/>
                <w:sz w:val="20"/>
                <w:szCs w:val="20"/>
                <w:lang w:eastAsia="en-US"/>
              </w:rPr>
              <w:lastRenderedPageBreak/>
              <w:t xml:space="preserve">et al (2012)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&lt;EndNote&gt;&lt;Cite&gt;&lt;Author&gt;Pérez-Escamilla&lt;/Author&gt;&lt;Year&gt;2012&lt;/Year&gt;&lt;RecNum&gt;219&lt;/RecNum&gt;&lt;DisplayText&gt;[26]&lt;/DisplayText&gt;&lt;record&gt;&lt;rec-number&gt;219&lt;/rec-number&gt;&lt;foreign-keys&gt;&lt;key app="EN" db-id="5z5zs2d9q5e0fbe20wrpwfswtw9xwerd9d9r" timestamp="0"&gt;219&lt;/key&gt;&lt;/foreign-keys&gt;&lt;ref-type name="Journal Article"&gt;17&lt;/ref-type&gt;&lt;contributors&gt;&lt;authors&gt;&lt;author&gt;Pérez-Escamilla R,&lt;/author&gt;&lt;author&gt;Curry L, &lt;/author&gt;&lt;author&gt;Minhas D, &lt;/author&gt;&lt;author&gt;Taylor L, &lt;/author&gt;&lt;author&gt;Bradley E, &lt;/author&gt;&lt;/authors&gt;&lt;/contributors&gt;&lt;titles&gt;&lt;title&gt;Scaling up of breastfeeding promotion programs in low-and middle-income countries: the “breastfeeding gear” model&lt;/title&gt;&lt;secondary-title&gt;Advances in Nutrition: An International Review Journal&lt;/secondary-title&gt;&lt;/titles&gt;&lt;pages&gt;790-800&lt;/pages&gt;&lt;volume&gt;3&lt;/volume&gt;&lt;number&gt;6&lt;/number&gt;&lt;dates&gt;&lt;year&gt;2012&lt;/year&gt;&lt;/dates&gt;&lt;publisher&gt;Am Soc Nutrition&lt;/publisher&gt;&lt;isbn&gt;2156-5376&lt;/isbn&gt;&lt;urls&gt;&lt;/urls&gt;&lt;/record&gt;&lt;/Cite&gt;&lt;/EndNote&gt;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26" w:tooltip="Pérez-Escamilla R, 2012 #219" w:history="1">
              <w:r w:rsidRPr="00C24991">
                <w:rPr>
                  <w:rFonts w:ascii="Arial" w:hAnsi="Arial" w:cs="Arial"/>
                  <w:noProof/>
                  <w:sz w:val="20"/>
                  <w:szCs w:val="20"/>
                  <w:lang w:eastAsia="en-US"/>
                </w:rPr>
                <w:t>26</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lastRenderedPageBreak/>
              <w:t xml:space="preserve">Commentary: literature </w:t>
            </w:r>
            <w:r w:rsidRPr="00C24991">
              <w:rPr>
                <w:rFonts w:ascii="Arial" w:hAnsi="Arial" w:cs="Arial"/>
                <w:sz w:val="20"/>
                <w:szCs w:val="20"/>
              </w:rPr>
              <w:lastRenderedPageBreak/>
              <w:t>review</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lastRenderedPageBreak/>
              <w:t xml:space="preserve">Scaling up concepts </w:t>
            </w:r>
            <w:r w:rsidRPr="00C24991">
              <w:rPr>
                <w:rFonts w:ascii="Arial" w:hAnsi="Arial" w:cs="Arial"/>
                <w:sz w:val="20"/>
                <w:szCs w:val="20"/>
                <w:lang w:eastAsia="en-US"/>
              </w:rPr>
              <w:lastRenderedPageBreak/>
              <w:t xml:space="preserve">Breastfeeding gear model </w:t>
            </w:r>
          </w:p>
        </w:tc>
        <w:tc>
          <w:tcPr>
            <w:tcW w:w="3686"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lastRenderedPageBreak/>
              <w:t xml:space="preserve">Breastfeeding gear model has 8 interrelated elements: </w:t>
            </w:r>
          </w:p>
          <w:p w:rsidR="00C24991" w:rsidRPr="00C24991" w:rsidRDefault="00C24991" w:rsidP="00C24991">
            <w:pPr>
              <w:pStyle w:val="ListParagraph"/>
              <w:numPr>
                <w:ilvl w:val="0"/>
                <w:numId w:val="26"/>
              </w:numPr>
              <w:ind w:left="261" w:hanging="261"/>
              <w:rPr>
                <w:rFonts w:ascii="Arial" w:hAnsi="Arial" w:cs="Arial"/>
                <w:sz w:val="20"/>
                <w:szCs w:val="20"/>
              </w:rPr>
            </w:pPr>
            <w:r w:rsidRPr="00C24991">
              <w:rPr>
                <w:rFonts w:ascii="Arial" w:hAnsi="Arial" w:cs="Arial"/>
                <w:sz w:val="20"/>
                <w:szCs w:val="20"/>
              </w:rPr>
              <w:lastRenderedPageBreak/>
              <w:t>advocacy;</w:t>
            </w:r>
          </w:p>
          <w:p w:rsidR="00C24991" w:rsidRPr="00C24991" w:rsidRDefault="00C24991" w:rsidP="00C24991">
            <w:pPr>
              <w:pStyle w:val="ListParagraph"/>
              <w:numPr>
                <w:ilvl w:val="0"/>
                <w:numId w:val="26"/>
              </w:numPr>
              <w:ind w:left="261" w:hanging="261"/>
              <w:rPr>
                <w:rFonts w:ascii="Arial" w:hAnsi="Arial" w:cs="Arial"/>
                <w:sz w:val="20"/>
                <w:szCs w:val="20"/>
              </w:rPr>
            </w:pPr>
            <w:r w:rsidRPr="00C24991">
              <w:rPr>
                <w:rFonts w:ascii="Arial" w:hAnsi="Arial" w:cs="Arial"/>
                <w:sz w:val="20"/>
                <w:szCs w:val="20"/>
              </w:rPr>
              <w:t>political will;</w:t>
            </w:r>
          </w:p>
          <w:p w:rsidR="00C24991" w:rsidRPr="00C24991" w:rsidRDefault="00C24991" w:rsidP="00C24991">
            <w:pPr>
              <w:pStyle w:val="ListParagraph"/>
              <w:numPr>
                <w:ilvl w:val="0"/>
                <w:numId w:val="26"/>
              </w:numPr>
              <w:ind w:left="261" w:hanging="261"/>
              <w:rPr>
                <w:rFonts w:ascii="Arial" w:hAnsi="Arial" w:cs="Arial"/>
                <w:sz w:val="20"/>
                <w:szCs w:val="20"/>
              </w:rPr>
            </w:pPr>
            <w:r w:rsidRPr="00C24991">
              <w:rPr>
                <w:rFonts w:ascii="Arial" w:hAnsi="Arial" w:cs="Arial"/>
                <w:sz w:val="20"/>
                <w:szCs w:val="20"/>
              </w:rPr>
              <w:t>legislation &amp; policies;</w:t>
            </w:r>
          </w:p>
          <w:p w:rsidR="00C24991" w:rsidRPr="00C24991" w:rsidRDefault="00C24991" w:rsidP="00C24991">
            <w:pPr>
              <w:pStyle w:val="ListParagraph"/>
              <w:numPr>
                <w:ilvl w:val="0"/>
                <w:numId w:val="26"/>
              </w:numPr>
              <w:ind w:left="261" w:hanging="261"/>
              <w:rPr>
                <w:rFonts w:ascii="Arial" w:hAnsi="Arial" w:cs="Arial"/>
                <w:sz w:val="20"/>
                <w:szCs w:val="20"/>
              </w:rPr>
            </w:pPr>
            <w:r w:rsidRPr="00C24991">
              <w:rPr>
                <w:rFonts w:ascii="Arial" w:hAnsi="Arial" w:cs="Arial"/>
                <w:sz w:val="20"/>
                <w:szCs w:val="20"/>
              </w:rPr>
              <w:t>funding and resources;</w:t>
            </w:r>
          </w:p>
          <w:p w:rsidR="00C24991" w:rsidRPr="00C24991" w:rsidRDefault="00C24991" w:rsidP="00C24991">
            <w:pPr>
              <w:pStyle w:val="ListParagraph"/>
              <w:numPr>
                <w:ilvl w:val="0"/>
                <w:numId w:val="26"/>
              </w:numPr>
              <w:ind w:left="261" w:hanging="261"/>
              <w:rPr>
                <w:rFonts w:ascii="Arial" w:hAnsi="Arial" w:cs="Arial"/>
                <w:sz w:val="20"/>
                <w:szCs w:val="20"/>
              </w:rPr>
            </w:pPr>
            <w:r w:rsidRPr="00C24991">
              <w:rPr>
                <w:rFonts w:ascii="Arial" w:hAnsi="Arial" w:cs="Arial"/>
                <w:sz w:val="20"/>
                <w:szCs w:val="20"/>
              </w:rPr>
              <w:t>training &amp;delivery;</w:t>
            </w:r>
          </w:p>
          <w:p w:rsidR="00C24991" w:rsidRPr="00C24991" w:rsidRDefault="00C24991" w:rsidP="00C24991">
            <w:pPr>
              <w:pStyle w:val="ListParagraph"/>
              <w:numPr>
                <w:ilvl w:val="0"/>
                <w:numId w:val="26"/>
              </w:numPr>
              <w:ind w:left="261" w:hanging="261"/>
              <w:rPr>
                <w:rFonts w:ascii="Arial" w:hAnsi="Arial" w:cs="Arial"/>
                <w:sz w:val="20"/>
                <w:szCs w:val="20"/>
              </w:rPr>
            </w:pPr>
            <w:r w:rsidRPr="00C24991">
              <w:rPr>
                <w:rFonts w:ascii="Arial" w:hAnsi="Arial" w:cs="Arial"/>
                <w:sz w:val="20"/>
                <w:szCs w:val="20"/>
              </w:rPr>
              <w:t>promotion;</w:t>
            </w:r>
          </w:p>
          <w:p w:rsidR="00C24991" w:rsidRPr="00C24991" w:rsidRDefault="00C24991" w:rsidP="00C24991">
            <w:pPr>
              <w:pStyle w:val="ListParagraph"/>
              <w:numPr>
                <w:ilvl w:val="0"/>
                <w:numId w:val="26"/>
              </w:numPr>
              <w:ind w:left="261" w:hanging="261"/>
              <w:rPr>
                <w:rFonts w:ascii="Arial" w:hAnsi="Arial" w:cs="Arial"/>
                <w:sz w:val="20"/>
                <w:szCs w:val="20"/>
              </w:rPr>
            </w:pPr>
            <w:r w:rsidRPr="00C24991">
              <w:rPr>
                <w:rFonts w:ascii="Arial" w:hAnsi="Arial" w:cs="Arial"/>
                <w:sz w:val="20"/>
                <w:szCs w:val="20"/>
              </w:rPr>
              <w:t>research &amp; evaluation; and</w:t>
            </w:r>
          </w:p>
          <w:p w:rsidR="00C24991" w:rsidRPr="00C24991" w:rsidRDefault="00C24991" w:rsidP="00C24991">
            <w:pPr>
              <w:pStyle w:val="ListParagraph"/>
              <w:numPr>
                <w:ilvl w:val="0"/>
                <w:numId w:val="26"/>
              </w:numPr>
              <w:ind w:left="261" w:hanging="261"/>
              <w:rPr>
                <w:rFonts w:ascii="Arial" w:hAnsi="Arial" w:cs="Arial"/>
                <w:sz w:val="20"/>
                <w:szCs w:val="20"/>
              </w:rPr>
            </w:pPr>
            <w:proofErr w:type="gramStart"/>
            <w:r w:rsidRPr="00C24991">
              <w:rPr>
                <w:rFonts w:ascii="Arial" w:hAnsi="Arial" w:cs="Arial"/>
                <w:sz w:val="20"/>
                <w:szCs w:val="20"/>
              </w:rPr>
              <w:t>co-ordination</w:t>
            </w:r>
            <w:proofErr w:type="gramEnd"/>
            <w:r w:rsidRPr="00C24991">
              <w:rPr>
                <w:rFonts w:ascii="Arial" w:hAnsi="Arial" w:cs="Arial"/>
                <w:sz w:val="20"/>
                <w:szCs w:val="20"/>
              </w:rPr>
              <w:t xml:space="preserve"> and goals monitoring.</w:t>
            </w:r>
          </w:p>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Framework suggests successful multiple feedback loops and several potential paths are required to achieve intended innovation.</w:t>
            </w:r>
          </w:p>
          <w:p w:rsidR="00C24991" w:rsidRPr="00C24991" w:rsidRDefault="00C24991" w:rsidP="00A2579A">
            <w:pPr>
              <w:rPr>
                <w:rFonts w:ascii="Arial" w:hAnsi="Arial" w:cs="Arial"/>
                <w:sz w:val="20"/>
                <w:szCs w:val="20"/>
              </w:rPr>
            </w:pPr>
          </w:p>
          <w:p w:rsidR="00C24991" w:rsidRPr="00C24991" w:rsidRDefault="00C24991" w:rsidP="00A2579A">
            <w:pPr>
              <w:rPr>
                <w:rFonts w:ascii="Arial" w:hAnsi="Arial" w:cs="Arial"/>
                <w:sz w:val="20"/>
                <w:szCs w:val="20"/>
              </w:rPr>
            </w:pPr>
          </w:p>
        </w:tc>
        <w:tc>
          <w:tcPr>
            <w:tcW w:w="1559" w:type="dxa"/>
          </w:tcPr>
          <w:p w:rsidR="00C24991" w:rsidRPr="00C24991" w:rsidRDefault="00C24991" w:rsidP="00A2579A">
            <w:pPr>
              <w:rPr>
                <w:rFonts w:ascii="Arial" w:hAnsi="Arial" w:cs="Arial"/>
                <w:sz w:val="20"/>
                <w:szCs w:val="20"/>
              </w:rPr>
            </w:pPr>
            <w:r w:rsidRPr="00C24991">
              <w:rPr>
                <w:rFonts w:ascii="Arial" w:hAnsi="Arial" w:cs="Arial"/>
                <w:sz w:val="20"/>
                <w:szCs w:val="20"/>
              </w:rPr>
              <w:lastRenderedPageBreak/>
              <w:t>Global health: breast feeding</w:t>
            </w:r>
          </w:p>
        </w:tc>
        <w:tc>
          <w:tcPr>
            <w:tcW w:w="4678" w:type="dxa"/>
          </w:tcPr>
          <w:p w:rsidR="00C24991" w:rsidRPr="00C24991" w:rsidRDefault="00C24991" w:rsidP="00C24991">
            <w:pPr>
              <w:pStyle w:val="ListParagraph"/>
              <w:numPr>
                <w:ilvl w:val="0"/>
                <w:numId w:val="27"/>
              </w:numPr>
              <w:autoSpaceDE w:val="0"/>
              <w:autoSpaceDN w:val="0"/>
              <w:adjustRightInd w:val="0"/>
              <w:ind w:left="254" w:hanging="254"/>
              <w:rPr>
                <w:rFonts w:ascii="Arial" w:hAnsi="Arial" w:cs="Arial"/>
                <w:sz w:val="20"/>
                <w:szCs w:val="20"/>
              </w:rPr>
            </w:pPr>
            <w:r w:rsidRPr="00C24991">
              <w:rPr>
                <w:rFonts w:ascii="Arial" w:hAnsi="Arial" w:cs="Arial"/>
                <w:sz w:val="20"/>
                <w:szCs w:val="20"/>
              </w:rPr>
              <w:t>Scale up requires a high degree of inter-</w:t>
            </w:r>
            <w:r w:rsidRPr="00C24991">
              <w:rPr>
                <w:rFonts w:ascii="Arial" w:hAnsi="Arial" w:cs="Arial"/>
                <w:sz w:val="20"/>
                <w:szCs w:val="20"/>
              </w:rPr>
              <w:lastRenderedPageBreak/>
              <w:t>sectoral coordination, usually at the national and local levels, based on a flexible decentralized structure, and sustainability requires the availability of low-cost and rapid-response monitoring and evaluation systems.</w:t>
            </w:r>
          </w:p>
          <w:p w:rsidR="00C24991" w:rsidRPr="00C24991" w:rsidRDefault="00C24991" w:rsidP="00C24991">
            <w:pPr>
              <w:pStyle w:val="ListParagraph"/>
              <w:numPr>
                <w:ilvl w:val="0"/>
                <w:numId w:val="25"/>
              </w:numPr>
              <w:autoSpaceDE w:val="0"/>
              <w:autoSpaceDN w:val="0"/>
              <w:adjustRightInd w:val="0"/>
              <w:ind w:left="254" w:hanging="254"/>
              <w:rPr>
                <w:rFonts w:ascii="Arial" w:hAnsi="Arial" w:cs="Arial"/>
                <w:sz w:val="20"/>
                <w:szCs w:val="20"/>
              </w:rPr>
            </w:pPr>
            <w:r w:rsidRPr="00C24991">
              <w:rPr>
                <w:rFonts w:ascii="Arial" w:hAnsi="Arial" w:cs="Arial"/>
                <w:sz w:val="20"/>
                <w:szCs w:val="20"/>
              </w:rPr>
              <w:t>Once key user groups successfully adopt new practices in a community or region, it then becomes more likely that the use of the innovation will spread successfully to other communities through common social networks.</w:t>
            </w:r>
          </w:p>
          <w:p w:rsidR="00C24991" w:rsidRPr="00C24991" w:rsidRDefault="00C24991" w:rsidP="00C24991">
            <w:pPr>
              <w:pStyle w:val="ListParagraph"/>
              <w:numPr>
                <w:ilvl w:val="0"/>
                <w:numId w:val="25"/>
              </w:numPr>
              <w:autoSpaceDE w:val="0"/>
              <w:autoSpaceDN w:val="0"/>
              <w:adjustRightInd w:val="0"/>
              <w:ind w:left="254" w:hanging="254"/>
              <w:rPr>
                <w:rFonts w:ascii="Arial" w:hAnsi="Arial" w:cs="Arial"/>
                <w:sz w:val="20"/>
                <w:szCs w:val="20"/>
              </w:rPr>
            </w:pPr>
            <w:r w:rsidRPr="00C24991">
              <w:rPr>
                <w:rFonts w:ascii="Arial" w:hAnsi="Arial" w:cs="Arial"/>
                <w:sz w:val="20"/>
                <w:szCs w:val="20"/>
              </w:rPr>
              <w:t>Failure to scale up may be attributable to insufficient assessment of user groups in context, lack of fit of the innovation with user receptivity, inability to address resistance from stakeholders, and inadequate engagement with user groups.</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lastRenderedPageBreak/>
              <w:t xml:space="preserve">Rani et a (2012)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&lt;EndNote&gt;&lt;Cite&gt;&lt;Author&gt;Rani&lt;/Author&gt;&lt;Year&gt;2012&lt;/Year&gt;&lt;RecNum&gt;256&lt;/RecNum&gt;&lt;DisplayText&gt;[27]&lt;/DisplayText&gt;&lt;record&gt;&lt;rec-number&gt;256&lt;/rec-number&gt;&lt;foreign-keys&gt;&lt;key app="EN" db-id="5z5zs2d9q5e0fbe20wrpwfswtw9xwerd9d9r" timestamp="0"&gt;256&lt;/key&gt;&lt;/foreign-keys&gt;&lt;ref-type name="Journal Article"&gt;17&lt;/ref-type&gt;&lt;contributors&gt;&lt;authors&gt;&lt;author&gt;Rani M, &lt;/author&gt;&lt;author&gt;Nusrat S,&lt;/author&gt;&lt;author&gt;Hawken L, &lt;/author&gt;&lt;/authors&gt;&lt;/contributors&gt;&lt;titles&gt;&lt;title&gt;A qualitative study of governance of evolving response to non-communicable diseases in low-and middle-income countries: current status, risks and options&lt;/title&gt;&lt;secondary-title&gt;BMC Public Health&lt;/secondary-title&gt;&lt;/titles&gt;&lt;periodical&gt;&lt;full-title&gt;BMC Public Health&lt;/full-title&gt;&lt;/periodical&gt;&lt;pages&gt;877&lt;/pages&gt;&lt;volume&gt;12&lt;/volume&gt;&lt;number&gt;1&lt;/number&gt;&lt;dates&gt;&lt;year&gt;2012&lt;/year&gt;&lt;/dates&gt;&lt;publisher&gt;BioMed Central Ltd&lt;/publisher&gt;&lt;isbn&gt;1471-2458&lt;/isbn&gt;&lt;urls&gt;&lt;/urls&gt;&lt;/record&gt;&lt;/Cite&gt;&lt;/EndNote&gt;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27" w:tooltip="Rani M, 2012 #256" w:history="1">
              <w:r w:rsidRPr="00C24991">
                <w:rPr>
                  <w:rFonts w:ascii="Arial" w:hAnsi="Arial" w:cs="Arial"/>
                  <w:noProof/>
                  <w:sz w:val="20"/>
                  <w:szCs w:val="20"/>
                  <w:lang w:eastAsia="en-US"/>
                </w:rPr>
                <w:t>27</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 xml:space="preserve">Descriptive: case study analysis </w:t>
            </w:r>
          </w:p>
        </w:tc>
        <w:tc>
          <w:tcPr>
            <w:tcW w:w="1842"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Conceptual framework for governance of responses to non-communicable diseases (NCD)</w:t>
            </w:r>
          </w:p>
          <w:p w:rsidR="00C24991" w:rsidRPr="00C24991" w:rsidRDefault="00C24991" w:rsidP="00A2579A">
            <w:pPr>
              <w:rPr>
                <w:rFonts w:ascii="Arial" w:hAnsi="Arial" w:cs="Arial"/>
                <w:sz w:val="20"/>
                <w:szCs w:val="20"/>
              </w:rPr>
            </w:pPr>
          </w:p>
        </w:tc>
        <w:tc>
          <w:tcPr>
            <w:tcW w:w="3686"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Conceptual framework to analyse  governance of scaled up responses to NCDs include</w:t>
            </w:r>
            <w:r w:rsidRPr="00C24991">
              <w:rPr>
                <w:rFonts w:ascii="Arial" w:hAnsi="Arial" w:cs="Arial"/>
                <w:bCs/>
                <w:sz w:val="20"/>
                <w:szCs w:val="20"/>
              </w:rPr>
              <w:t>:</w:t>
            </w:r>
          </w:p>
          <w:p w:rsidR="00C24991" w:rsidRPr="00C24991" w:rsidRDefault="00C24991" w:rsidP="00C24991">
            <w:pPr>
              <w:pStyle w:val="ListParagraph"/>
              <w:numPr>
                <w:ilvl w:val="0"/>
                <w:numId w:val="28"/>
              </w:numPr>
              <w:autoSpaceDE w:val="0"/>
              <w:autoSpaceDN w:val="0"/>
              <w:adjustRightInd w:val="0"/>
              <w:ind w:left="261" w:hanging="261"/>
              <w:rPr>
                <w:rFonts w:ascii="Arial" w:hAnsi="Arial" w:cs="Arial"/>
                <w:bCs/>
                <w:sz w:val="20"/>
                <w:szCs w:val="20"/>
              </w:rPr>
            </w:pPr>
            <w:r w:rsidRPr="00C24991">
              <w:rPr>
                <w:rFonts w:ascii="Arial" w:hAnsi="Arial" w:cs="Arial"/>
                <w:bCs/>
                <w:sz w:val="20"/>
                <w:szCs w:val="20"/>
              </w:rPr>
              <w:t xml:space="preserve">global and regional governance processes; </w:t>
            </w:r>
          </w:p>
          <w:p w:rsidR="00C24991" w:rsidRPr="00C24991" w:rsidRDefault="00C24991" w:rsidP="00C24991">
            <w:pPr>
              <w:pStyle w:val="ListParagraph"/>
              <w:numPr>
                <w:ilvl w:val="0"/>
                <w:numId w:val="28"/>
              </w:numPr>
              <w:autoSpaceDE w:val="0"/>
              <w:autoSpaceDN w:val="0"/>
              <w:adjustRightInd w:val="0"/>
              <w:ind w:left="261" w:hanging="261"/>
              <w:rPr>
                <w:rFonts w:ascii="Arial" w:hAnsi="Arial" w:cs="Arial"/>
                <w:bCs/>
                <w:sz w:val="20"/>
                <w:szCs w:val="20"/>
              </w:rPr>
            </w:pPr>
            <w:r w:rsidRPr="00C24991">
              <w:rPr>
                <w:rFonts w:ascii="Arial" w:hAnsi="Arial" w:cs="Arial"/>
                <w:bCs/>
                <w:sz w:val="20"/>
                <w:szCs w:val="20"/>
              </w:rPr>
              <w:t>national oversight, planning, management and monitoring structures</w:t>
            </w:r>
          </w:p>
          <w:p w:rsidR="00C24991" w:rsidRPr="00C24991" w:rsidRDefault="00C24991" w:rsidP="00C24991">
            <w:pPr>
              <w:pStyle w:val="ListParagraph"/>
              <w:numPr>
                <w:ilvl w:val="0"/>
                <w:numId w:val="28"/>
              </w:numPr>
              <w:autoSpaceDE w:val="0"/>
              <w:autoSpaceDN w:val="0"/>
              <w:adjustRightInd w:val="0"/>
              <w:ind w:left="261" w:hanging="261"/>
              <w:rPr>
                <w:rFonts w:ascii="Arial" w:hAnsi="Arial" w:cs="Arial"/>
                <w:bCs/>
                <w:sz w:val="20"/>
                <w:szCs w:val="20"/>
              </w:rPr>
            </w:pPr>
            <w:r w:rsidRPr="00C24991">
              <w:rPr>
                <w:rFonts w:ascii="Arial" w:hAnsi="Arial" w:cs="Arial"/>
                <w:bCs/>
                <w:sz w:val="20"/>
                <w:szCs w:val="20"/>
              </w:rPr>
              <w:t>governance of NCDs in health systems;</w:t>
            </w:r>
          </w:p>
          <w:p w:rsidR="00C24991" w:rsidRPr="00C24991" w:rsidRDefault="00C24991" w:rsidP="00C24991">
            <w:pPr>
              <w:pStyle w:val="ListParagraph"/>
              <w:numPr>
                <w:ilvl w:val="0"/>
                <w:numId w:val="28"/>
              </w:numPr>
              <w:autoSpaceDE w:val="0"/>
              <w:autoSpaceDN w:val="0"/>
              <w:adjustRightInd w:val="0"/>
              <w:ind w:left="261" w:hanging="261"/>
              <w:rPr>
                <w:rFonts w:ascii="Arial" w:hAnsi="Arial" w:cs="Arial"/>
                <w:bCs/>
                <w:sz w:val="20"/>
                <w:szCs w:val="20"/>
              </w:rPr>
            </w:pPr>
            <w:r w:rsidRPr="00C24991">
              <w:rPr>
                <w:rFonts w:ascii="Arial" w:hAnsi="Arial" w:cs="Arial"/>
                <w:bCs/>
                <w:sz w:val="20"/>
                <w:szCs w:val="20"/>
              </w:rPr>
              <w:t>multi-sectoral co-ordination and partnership; and</w:t>
            </w:r>
          </w:p>
          <w:p w:rsidR="00C24991" w:rsidRPr="00C24991" w:rsidRDefault="00C24991" w:rsidP="00C24991">
            <w:pPr>
              <w:pStyle w:val="ListParagraph"/>
              <w:numPr>
                <w:ilvl w:val="0"/>
                <w:numId w:val="28"/>
              </w:numPr>
              <w:autoSpaceDE w:val="0"/>
              <w:autoSpaceDN w:val="0"/>
              <w:adjustRightInd w:val="0"/>
              <w:ind w:left="261" w:hanging="261"/>
              <w:rPr>
                <w:rFonts w:ascii="Arial" w:hAnsi="Arial" w:cs="Arial"/>
                <w:bCs/>
                <w:sz w:val="20"/>
                <w:szCs w:val="20"/>
              </w:rPr>
            </w:pPr>
            <w:proofErr w:type="gramStart"/>
            <w:r w:rsidRPr="00C24991">
              <w:rPr>
                <w:rFonts w:ascii="Arial" w:hAnsi="Arial" w:cs="Arial"/>
                <w:bCs/>
                <w:sz w:val="20"/>
                <w:szCs w:val="20"/>
              </w:rPr>
              <w:t>national</w:t>
            </w:r>
            <w:proofErr w:type="gramEnd"/>
            <w:r w:rsidRPr="00C24991">
              <w:rPr>
                <w:rFonts w:ascii="Arial" w:hAnsi="Arial" w:cs="Arial"/>
                <w:bCs/>
                <w:sz w:val="20"/>
                <w:szCs w:val="20"/>
              </w:rPr>
              <w:t xml:space="preserve"> policies, strategies and action plans.</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Global health: five low and middle income countries</w:t>
            </w:r>
          </w:p>
        </w:tc>
        <w:tc>
          <w:tcPr>
            <w:tcW w:w="4678" w:type="dxa"/>
          </w:tcPr>
          <w:p w:rsidR="00C24991" w:rsidRPr="00C24991" w:rsidRDefault="00C24991" w:rsidP="00C24991">
            <w:pPr>
              <w:pStyle w:val="ListParagraph"/>
              <w:numPr>
                <w:ilvl w:val="0"/>
                <w:numId w:val="29"/>
              </w:numPr>
              <w:autoSpaceDE w:val="0"/>
              <w:autoSpaceDN w:val="0"/>
              <w:adjustRightInd w:val="0"/>
              <w:ind w:left="254" w:hanging="254"/>
              <w:rPr>
                <w:rFonts w:ascii="Arial" w:hAnsi="Arial" w:cs="Arial"/>
                <w:sz w:val="20"/>
                <w:szCs w:val="20"/>
              </w:rPr>
            </w:pPr>
            <w:r w:rsidRPr="00C24991">
              <w:rPr>
                <w:rFonts w:ascii="Arial" w:hAnsi="Arial" w:cs="Arial"/>
                <w:sz w:val="20"/>
                <w:szCs w:val="20"/>
              </w:rPr>
              <w:t xml:space="preserve">Multi-sectoral coordination must be resourced to be effective. </w:t>
            </w:r>
          </w:p>
          <w:p w:rsidR="00C24991" w:rsidRPr="00C24991" w:rsidRDefault="00C24991" w:rsidP="00C24991">
            <w:pPr>
              <w:pStyle w:val="ListParagraph"/>
              <w:numPr>
                <w:ilvl w:val="0"/>
                <w:numId w:val="29"/>
              </w:numPr>
              <w:autoSpaceDE w:val="0"/>
              <w:autoSpaceDN w:val="0"/>
              <w:adjustRightInd w:val="0"/>
              <w:ind w:left="254" w:hanging="254"/>
              <w:rPr>
                <w:rFonts w:ascii="Arial" w:hAnsi="Arial" w:cs="Arial"/>
                <w:sz w:val="20"/>
                <w:szCs w:val="20"/>
              </w:rPr>
            </w:pPr>
            <w:r w:rsidRPr="00C24991">
              <w:rPr>
                <w:rFonts w:ascii="Arial" w:hAnsi="Arial" w:cs="Arial"/>
                <w:sz w:val="20"/>
                <w:szCs w:val="20"/>
              </w:rPr>
              <w:t>Sector-wide national planning bodies should ensure that NCD-specific plans are:</w:t>
            </w:r>
          </w:p>
          <w:p w:rsidR="00C24991" w:rsidRPr="00C24991" w:rsidRDefault="00C24991" w:rsidP="00C24991">
            <w:pPr>
              <w:pStyle w:val="ListParagraph"/>
              <w:numPr>
                <w:ilvl w:val="1"/>
                <w:numId w:val="29"/>
              </w:numPr>
              <w:autoSpaceDE w:val="0"/>
              <w:autoSpaceDN w:val="0"/>
              <w:adjustRightInd w:val="0"/>
              <w:ind w:left="821" w:hanging="284"/>
              <w:rPr>
                <w:rFonts w:ascii="Arial" w:hAnsi="Arial" w:cs="Arial"/>
                <w:sz w:val="20"/>
                <w:szCs w:val="20"/>
              </w:rPr>
            </w:pPr>
            <w:r w:rsidRPr="00C24991">
              <w:rPr>
                <w:rFonts w:ascii="Arial" w:hAnsi="Arial" w:cs="Arial"/>
                <w:sz w:val="20"/>
                <w:szCs w:val="20"/>
              </w:rPr>
              <w:t>within the resources offered by health sector;</w:t>
            </w:r>
          </w:p>
          <w:p w:rsidR="00C24991" w:rsidRPr="00C24991" w:rsidRDefault="00C24991" w:rsidP="00C24991">
            <w:pPr>
              <w:pStyle w:val="ListParagraph"/>
              <w:numPr>
                <w:ilvl w:val="1"/>
                <w:numId w:val="29"/>
              </w:numPr>
              <w:autoSpaceDE w:val="0"/>
              <w:autoSpaceDN w:val="0"/>
              <w:adjustRightInd w:val="0"/>
              <w:ind w:left="821" w:hanging="284"/>
              <w:rPr>
                <w:rFonts w:ascii="Arial" w:hAnsi="Arial" w:cs="Arial"/>
                <w:sz w:val="20"/>
                <w:szCs w:val="20"/>
              </w:rPr>
            </w:pPr>
            <w:r w:rsidRPr="00C24991">
              <w:rPr>
                <w:rFonts w:ascii="Arial" w:hAnsi="Arial" w:cs="Arial"/>
                <w:sz w:val="20"/>
                <w:szCs w:val="20"/>
              </w:rPr>
              <w:t>include information on the scope financial commitments; and</w:t>
            </w:r>
          </w:p>
          <w:p w:rsidR="00C24991" w:rsidRPr="00C24991" w:rsidRDefault="00C24991" w:rsidP="00C24991">
            <w:pPr>
              <w:pStyle w:val="ListParagraph"/>
              <w:numPr>
                <w:ilvl w:val="1"/>
                <w:numId w:val="29"/>
              </w:numPr>
              <w:autoSpaceDE w:val="0"/>
              <w:autoSpaceDN w:val="0"/>
              <w:adjustRightInd w:val="0"/>
              <w:ind w:left="821" w:hanging="284"/>
              <w:rPr>
                <w:rFonts w:ascii="Arial" w:hAnsi="Arial" w:cs="Arial"/>
                <w:sz w:val="20"/>
                <w:szCs w:val="20"/>
              </w:rPr>
            </w:pPr>
            <w:proofErr w:type="gramStart"/>
            <w:r w:rsidRPr="00C24991">
              <w:rPr>
                <w:rFonts w:ascii="Arial" w:hAnsi="Arial" w:cs="Arial"/>
                <w:sz w:val="20"/>
                <w:szCs w:val="20"/>
              </w:rPr>
              <w:t>have</w:t>
            </w:r>
            <w:proofErr w:type="gramEnd"/>
            <w:r w:rsidRPr="00C24991">
              <w:rPr>
                <w:rFonts w:ascii="Arial" w:hAnsi="Arial" w:cs="Arial"/>
                <w:sz w:val="20"/>
                <w:szCs w:val="20"/>
              </w:rPr>
              <w:t xml:space="preserve"> realistic quantifiable targets.</w:t>
            </w:r>
          </w:p>
          <w:p w:rsidR="00C24991" w:rsidRPr="00C24991" w:rsidRDefault="00C24991" w:rsidP="00C24991">
            <w:pPr>
              <w:pStyle w:val="ListParagraph"/>
              <w:numPr>
                <w:ilvl w:val="1"/>
                <w:numId w:val="30"/>
              </w:numPr>
              <w:autoSpaceDE w:val="0"/>
              <w:autoSpaceDN w:val="0"/>
              <w:adjustRightInd w:val="0"/>
              <w:ind w:left="254" w:hanging="254"/>
              <w:rPr>
                <w:rFonts w:ascii="Arial" w:hAnsi="Arial" w:cs="Arial"/>
                <w:sz w:val="20"/>
                <w:szCs w:val="20"/>
              </w:rPr>
            </w:pPr>
            <w:r w:rsidRPr="00C24991">
              <w:rPr>
                <w:rFonts w:ascii="Arial" w:hAnsi="Arial" w:cs="Arial"/>
                <w:sz w:val="20"/>
                <w:szCs w:val="20"/>
              </w:rPr>
              <w:t xml:space="preserve">Resources to strengthen institutional capacity to respond to NCDs should not be solely targeted to NCD-specific units, but more importantly to sector- wide organizational units to build their capacity in effectively </w:t>
            </w:r>
            <w:r w:rsidRPr="00C24991">
              <w:rPr>
                <w:rFonts w:ascii="Arial" w:hAnsi="Arial" w:cs="Arial"/>
                <w:sz w:val="20"/>
                <w:szCs w:val="20"/>
              </w:rPr>
              <w:lastRenderedPageBreak/>
              <w:t>incorporating NCD-specific requirements in human resources development, health financing, medical supply and logistic and information systems.</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lastRenderedPageBreak/>
              <w:t xml:space="preserve">Subramanian et al (2011)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&lt;EndNote&gt;&lt;Cite&gt;&lt;Author&gt;Subramanian&lt;/Author&gt;&lt;Year&gt;2011&lt;/Year&gt;&lt;RecNum&gt;224&lt;/RecNum&gt;&lt;DisplayText&gt;[28]&lt;/DisplayText&gt;&lt;record&gt;&lt;rec-number&gt;224&lt;/rec-number&gt;&lt;foreign-keys&gt;&lt;key app="EN" db-id="5z5zs2d9q5e0fbe20wrpwfswtw9xwerd9d9r" timestamp="0"&gt;224&lt;/key&gt;&lt;/foreign-keys&gt;&lt;ref-type name="Journal Article"&gt;17&lt;/ref-type&gt;&lt;contributors&gt;&lt;authors&gt;&lt;author&gt;Subramanian S, &lt;/author&gt;&lt;author&gt;Naimoli J, &lt;/author&gt;&lt;author&gt;Matsubayashi T, &lt;/author&gt;&lt;author&gt;Peters DH, &lt;/author&gt;&lt;/authors&gt;&lt;/contributors&gt;&lt;titles&gt;&lt;title&gt;Do we have the right models for scaling up health services to achieve the Millennium Development Goals?&lt;/title&gt;&lt;secondary-title&gt;BMC Health Services Research&lt;/secondary-title&gt;&lt;/titles&gt;&lt;periodical&gt;&lt;full-title&gt;BMC Health Services Research&lt;/full-title&gt;&lt;/periodical&gt;&lt;pages&gt;336&lt;/pages&gt;&lt;volume&gt;11&lt;/volume&gt;&lt;number&gt;1&lt;/number&gt;&lt;dates&gt;&lt;year&gt;2011&lt;/year&gt;&lt;/dates&gt;&lt;publisher&gt;BioMed Central Ltd&lt;/publisher&gt;&lt;isbn&gt;1472-6963&lt;/isbn&gt;&lt;urls&gt;&lt;/urls&gt;&lt;/record&gt;&lt;/Cite&gt;&lt;/EndNote&gt;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28" w:tooltip="Subramanian S, 2011 #224" w:history="1">
              <w:r w:rsidRPr="00C24991">
                <w:rPr>
                  <w:rFonts w:ascii="Arial" w:hAnsi="Arial" w:cs="Arial"/>
                  <w:noProof/>
                  <w:sz w:val="20"/>
                  <w:szCs w:val="20"/>
                  <w:lang w:eastAsia="en-US"/>
                </w:rPr>
                <w:t>28</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Systematic review</w:t>
            </w:r>
          </w:p>
        </w:tc>
        <w:tc>
          <w:tcPr>
            <w:tcW w:w="1842"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Examination of conceptual models for scaling up health services in developing countries</w:t>
            </w:r>
          </w:p>
        </w:tc>
        <w:tc>
          <w:tcPr>
            <w:tcW w:w="3686" w:type="dxa"/>
          </w:tcPr>
          <w:p w:rsidR="00C24991" w:rsidRPr="00C24991" w:rsidRDefault="00C24991" w:rsidP="00C24991">
            <w:pPr>
              <w:pStyle w:val="ListParagraph"/>
              <w:numPr>
                <w:ilvl w:val="0"/>
                <w:numId w:val="31"/>
              </w:numPr>
              <w:autoSpaceDE w:val="0"/>
              <w:autoSpaceDN w:val="0"/>
              <w:adjustRightInd w:val="0"/>
              <w:ind w:left="261" w:hanging="261"/>
              <w:rPr>
                <w:rFonts w:ascii="Arial" w:hAnsi="Arial" w:cs="Arial"/>
                <w:sz w:val="20"/>
                <w:szCs w:val="20"/>
              </w:rPr>
            </w:pPr>
            <w:r w:rsidRPr="00C24991">
              <w:rPr>
                <w:rFonts w:ascii="Arial" w:hAnsi="Arial" w:cs="Arial"/>
                <w:sz w:val="20"/>
                <w:szCs w:val="20"/>
              </w:rPr>
              <w:t xml:space="preserve">Models for scaling up health services place importance on enhancing organizational, functional, and political capabilities through experimentation and adaptation of strategies in addition to increasing the coverage and range of health services. </w:t>
            </w:r>
          </w:p>
          <w:p w:rsidR="00C24991" w:rsidRPr="00C24991" w:rsidRDefault="00C24991" w:rsidP="00C24991">
            <w:pPr>
              <w:pStyle w:val="ListParagraph"/>
              <w:numPr>
                <w:ilvl w:val="0"/>
                <w:numId w:val="31"/>
              </w:numPr>
              <w:autoSpaceDE w:val="0"/>
              <w:autoSpaceDN w:val="0"/>
              <w:adjustRightInd w:val="0"/>
              <w:ind w:left="261" w:hanging="261"/>
              <w:rPr>
                <w:rFonts w:ascii="Arial" w:hAnsi="Arial" w:cs="Arial"/>
                <w:sz w:val="20"/>
                <w:szCs w:val="20"/>
              </w:rPr>
            </w:pPr>
            <w:r w:rsidRPr="00C24991">
              <w:rPr>
                <w:rFonts w:ascii="Arial" w:hAnsi="Arial" w:cs="Arial"/>
                <w:sz w:val="20"/>
                <w:szCs w:val="20"/>
              </w:rPr>
              <w:t>These scaling up approaches focus on fostering sustainable institutions and the constructive engagement between end users and the provider and financing organizations.</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Global health: health services</w:t>
            </w:r>
          </w:p>
        </w:tc>
        <w:tc>
          <w:tcPr>
            <w:tcW w:w="4678" w:type="dxa"/>
          </w:tcPr>
          <w:p w:rsidR="00C24991" w:rsidRPr="00C24991" w:rsidRDefault="00C24991" w:rsidP="00C24991">
            <w:pPr>
              <w:pStyle w:val="ListParagraph"/>
              <w:numPr>
                <w:ilvl w:val="0"/>
                <w:numId w:val="32"/>
              </w:numPr>
              <w:autoSpaceDE w:val="0"/>
              <w:autoSpaceDN w:val="0"/>
              <w:adjustRightInd w:val="0"/>
              <w:ind w:left="254" w:hanging="254"/>
              <w:rPr>
                <w:rFonts w:ascii="Arial" w:hAnsi="Arial" w:cs="Arial"/>
                <w:sz w:val="20"/>
                <w:szCs w:val="20"/>
              </w:rPr>
            </w:pPr>
            <w:r w:rsidRPr="00C24991">
              <w:rPr>
                <w:rFonts w:ascii="Arial" w:hAnsi="Arial" w:cs="Arial"/>
                <w:sz w:val="20"/>
                <w:szCs w:val="20"/>
              </w:rPr>
              <w:t>Current approaches to scaling up health services to reach the Millennium development goals are overly simplistic and not working adequately.</w:t>
            </w:r>
          </w:p>
          <w:p w:rsidR="00C24991" w:rsidRPr="00C24991" w:rsidRDefault="00C24991" w:rsidP="00C24991">
            <w:pPr>
              <w:pStyle w:val="ListParagraph"/>
              <w:numPr>
                <w:ilvl w:val="0"/>
                <w:numId w:val="32"/>
              </w:numPr>
              <w:autoSpaceDE w:val="0"/>
              <w:autoSpaceDN w:val="0"/>
              <w:adjustRightInd w:val="0"/>
              <w:ind w:left="254" w:hanging="254"/>
              <w:rPr>
                <w:rFonts w:ascii="Arial" w:hAnsi="Arial" w:cs="Arial"/>
                <w:sz w:val="20"/>
                <w:szCs w:val="20"/>
              </w:rPr>
            </w:pPr>
            <w:r w:rsidRPr="00C24991">
              <w:rPr>
                <w:rFonts w:ascii="Arial" w:hAnsi="Arial" w:cs="Arial"/>
                <w:sz w:val="20"/>
                <w:szCs w:val="20"/>
              </w:rPr>
              <w:t xml:space="preserve">There is a need for feedback mechanisms to provide transparency to all players, and not just managers, on the successes and challenges in scaling up a particular strategy. </w:t>
            </w:r>
          </w:p>
          <w:p w:rsidR="00C24991" w:rsidRPr="00C24991" w:rsidRDefault="00C24991" w:rsidP="00C24991">
            <w:pPr>
              <w:pStyle w:val="ListParagraph"/>
              <w:numPr>
                <w:ilvl w:val="0"/>
                <w:numId w:val="32"/>
              </w:numPr>
              <w:autoSpaceDE w:val="0"/>
              <w:autoSpaceDN w:val="0"/>
              <w:adjustRightInd w:val="0"/>
              <w:ind w:left="254" w:hanging="254"/>
              <w:rPr>
                <w:rFonts w:ascii="Arial" w:hAnsi="Arial" w:cs="Arial"/>
                <w:sz w:val="20"/>
                <w:szCs w:val="20"/>
              </w:rPr>
            </w:pPr>
            <w:r w:rsidRPr="00C24991">
              <w:rPr>
                <w:rFonts w:ascii="Arial" w:hAnsi="Arial" w:cs="Arial"/>
                <w:sz w:val="20"/>
                <w:szCs w:val="20"/>
              </w:rPr>
              <w:t>Rather than relying on blueprint planning and costing that is prevalent among global health initiatives, a “learning by doing” approach that engages key stakeholders, uses data to address constraints, and incorporates results from pilot projects, is a more promising approach to finding pathways to scaling up.</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bCs/>
                <w:sz w:val="20"/>
                <w:szCs w:val="20"/>
                <w:lang w:eastAsia="en-US"/>
              </w:rPr>
              <w:t xml:space="preserve">Underhill et al (2010) </w:t>
            </w:r>
            <w:r w:rsidRPr="00C24991">
              <w:rPr>
                <w:rFonts w:ascii="Arial" w:hAnsi="Arial" w:cs="Arial"/>
                <w:bCs/>
                <w:sz w:val="20"/>
                <w:szCs w:val="20"/>
                <w:lang w:eastAsia="en-US"/>
              </w:rPr>
              <w:fldChar w:fldCharType="begin"/>
            </w:r>
            <w:r w:rsidRPr="00C24991">
              <w:rPr>
                <w:rFonts w:ascii="Arial" w:hAnsi="Arial" w:cs="Arial"/>
                <w:bCs/>
                <w:sz w:val="20"/>
                <w:szCs w:val="20"/>
                <w:lang w:eastAsia="en-US"/>
              </w:rPr>
              <w:instrText xml:space="preserve"> ADDIN EN.CITE &lt;EndNote&gt;&lt;Cite&gt;&lt;Author&gt;Underhill&lt;/Author&gt;&lt;Year&gt;2010&lt;/Year&gt;&lt;RecNum&gt;229&lt;/RecNum&gt;&lt;DisplayText&gt;[29]&lt;/DisplayText&gt;&lt;record&gt;&lt;rec-number&gt;229&lt;/rec-number&gt;&lt;foreign-keys&gt;&lt;key app="EN" db-id="5z5zs2d9q5e0fbe20wrpwfswtw9xwerd9d9r" timestamp="0"&gt;229&lt;/key&gt;&lt;/foreign-keys&gt;&lt;ref-type name="Journal Article"&gt;17&lt;/ref-type&gt;&lt;contributors&gt;&lt;authors&gt;&lt;author&gt;Underhill K, &lt;/author&gt;&lt;author&gt;Operario D,&lt;/author&gt;&lt;author&gt;Mimiaga MJ,&lt;/author&gt;&lt;author&gt;Skeer MR,  &lt;/author&gt;&lt;author&gt;Mayer KH, &lt;/author&gt;&lt;/authors&gt;&lt;/contributors&gt;&lt;titles&gt;&lt;title&gt;Implementation science of pre-exposure prophylaxis: preparing for public use&lt;/title&gt;&lt;secondary-title&gt;Current HIV/AIDS Reports&lt;/secondary-title&gt;&lt;/titles&gt;&lt;pages&gt;210-219&lt;/pages&gt;&lt;volume&gt;7&lt;/volume&gt;&lt;number&gt;4&lt;/number&gt;&lt;dates&gt;&lt;year&gt;2010&lt;/year&gt;&lt;/dates&gt;&lt;publisher&gt;Springer&lt;/publisher&gt;&lt;isbn&gt;1548-3568&lt;/isbn&gt;&lt;urls&gt;&lt;/urls&gt;&lt;/record&gt;&lt;/Cite&gt;&lt;/EndNote&gt;</w:instrText>
            </w:r>
            <w:r w:rsidRPr="00C24991">
              <w:rPr>
                <w:rFonts w:ascii="Arial" w:hAnsi="Arial" w:cs="Arial"/>
                <w:bCs/>
                <w:sz w:val="20"/>
                <w:szCs w:val="20"/>
                <w:lang w:eastAsia="en-US"/>
              </w:rPr>
              <w:fldChar w:fldCharType="separate"/>
            </w:r>
            <w:r w:rsidRPr="00C24991">
              <w:rPr>
                <w:rFonts w:ascii="Arial" w:hAnsi="Arial" w:cs="Arial"/>
                <w:bCs/>
                <w:noProof/>
                <w:sz w:val="20"/>
                <w:szCs w:val="20"/>
                <w:lang w:eastAsia="en-US"/>
              </w:rPr>
              <w:t>[</w:t>
            </w:r>
            <w:hyperlink w:anchor="_ENREF_29" w:tooltip="Underhill K, 2010 #229" w:history="1">
              <w:r w:rsidRPr="00C24991">
                <w:rPr>
                  <w:rFonts w:ascii="Arial" w:hAnsi="Arial" w:cs="Arial"/>
                  <w:bCs/>
                  <w:noProof/>
                  <w:sz w:val="20"/>
                  <w:szCs w:val="20"/>
                  <w:lang w:eastAsia="en-US"/>
                </w:rPr>
                <w:t>29</w:t>
              </w:r>
            </w:hyperlink>
            <w:r w:rsidRPr="00C24991">
              <w:rPr>
                <w:rFonts w:ascii="Arial" w:hAnsi="Arial" w:cs="Arial"/>
                <w:bCs/>
                <w:noProof/>
                <w:sz w:val="20"/>
                <w:szCs w:val="20"/>
                <w:lang w:eastAsia="en-US"/>
              </w:rPr>
              <w:t>]</w:t>
            </w:r>
            <w:r w:rsidRPr="00C24991">
              <w:rPr>
                <w:rFonts w:ascii="Arial" w:hAnsi="Arial" w:cs="Arial"/>
                <w:bCs/>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Commentary: Literature review</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 xml:space="preserve">Implementation processes that may influence the effectiveness of </w:t>
            </w:r>
            <w:r w:rsidRPr="00C24991">
              <w:rPr>
                <w:rFonts w:ascii="Arial" w:hAnsi="Arial" w:cs="Arial"/>
                <w:sz w:val="20"/>
                <w:szCs w:val="20"/>
                <w:lang w:eastAsia="en-US"/>
              </w:rPr>
              <w:t xml:space="preserve">pre-exposure prophylaxis </w:t>
            </w:r>
            <w:r w:rsidRPr="00C24991">
              <w:rPr>
                <w:rFonts w:ascii="Arial" w:hAnsi="Arial" w:cs="Arial"/>
                <w:sz w:val="20"/>
                <w:szCs w:val="20"/>
              </w:rPr>
              <w:t>for public use</w:t>
            </w:r>
          </w:p>
        </w:tc>
        <w:tc>
          <w:tcPr>
            <w:tcW w:w="3686" w:type="dxa"/>
          </w:tcPr>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rPr>
              <w:t>Proposed implementation processes include:</w:t>
            </w:r>
          </w:p>
          <w:p w:rsidR="00C24991" w:rsidRPr="00C24991" w:rsidRDefault="00C24991" w:rsidP="00C24991">
            <w:pPr>
              <w:pStyle w:val="ListParagraph"/>
              <w:numPr>
                <w:ilvl w:val="0"/>
                <w:numId w:val="36"/>
              </w:numPr>
              <w:autoSpaceDE w:val="0"/>
              <w:autoSpaceDN w:val="0"/>
              <w:adjustRightInd w:val="0"/>
              <w:ind w:left="402" w:hanging="283"/>
              <w:rPr>
                <w:rFonts w:ascii="Arial" w:hAnsi="Arial" w:cs="Arial"/>
                <w:sz w:val="20"/>
                <w:szCs w:val="20"/>
              </w:rPr>
            </w:pPr>
            <w:r w:rsidRPr="00C24991">
              <w:rPr>
                <w:rFonts w:ascii="Arial" w:hAnsi="Arial" w:cs="Arial"/>
                <w:sz w:val="20"/>
                <w:szCs w:val="20"/>
              </w:rPr>
              <w:t>scientific groundwork;</w:t>
            </w:r>
          </w:p>
          <w:p w:rsidR="00C24991" w:rsidRPr="00C24991" w:rsidRDefault="00C24991" w:rsidP="00C24991">
            <w:pPr>
              <w:pStyle w:val="ListParagraph"/>
              <w:numPr>
                <w:ilvl w:val="0"/>
                <w:numId w:val="35"/>
              </w:numPr>
              <w:autoSpaceDE w:val="0"/>
              <w:autoSpaceDN w:val="0"/>
              <w:adjustRightInd w:val="0"/>
              <w:ind w:left="402" w:hanging="283"/>
              <w:rPr>
                <w:rFonts w:ascii="Arial" w:hAnsi="Arial" w:cs="Arial"/>
                <w:sz w:val="20"/>
                <w:szCs w:val="20"/>
              </w:rPr>
            </w:pPr>
            <w:r w:rsidRPr="00C24991">
              <w:rPr>
                <w:rFonts w:ascii="Arial" w:hAnsi="Arial" w:cs="Arial"/>
                <w:sz w:val="20"/>
                <w:szCs w:val="20"/>
              </w:rPr>
              <w:t xml:space="preserve">regulatory and policy groundwork; </w:t>
            </w:r>
          </w:p>
          <w:p w:rsidR="00C24991" w:rsidRPr="00C24991" w:rsidRDefault="00C24991" w:rsidP="00C24991">
            <w:pPr>
              <w:pStyle w:val="ListParagraph"/>
              <w:numPr>
                <w:ilvl w:val="0"/>
                <w:numId w:val="35"/>
              </w:numPr>
              <w:autoSpaceDE w:val="0"/>
              <w:autoSpaceDN w:val="0"/>
              <w:adjustRightInd w:val="0"/>
              <w:ind w:left="402" w:hanging="283"/>
              <w:rPr>
                <w:rFonts w:ascii="Arial" w:hAnsi="Arial" w:cs="Arial"/>
                <w:sz w:val="20"/>
                <w:szCs w:val="20"/>
              </w:rPr>
            </w:pPr>
            <w:r w:rsidRPr="00C24991">
              <w:rPr>
                <w:rFonts w:ascii="Arial" w:hAnsi="Arial" w:cs="Arial"/>
                <w:sz w:val="20"/>
                <w:szCs w:val="20"/>
              </w:rPr>
              <w:t xml:space="preserve">stakeholder and infrastructure groundwork; </w:t>
            </w:r>
          </w:p>
          <w:p w:rsidR="00C24991" w:rsidRPr="00C24991" w:rsidRDefault="00C24991" w:rsidP="00C24991">
            <w:pPr>
              <w:pStyle w:val="ListParagraph"/>
              <w:numPr>
                <w:ilvl w:val="0"/>
                <w:numId w:val="35"/>
              </w:numPr>
              <w:autoSpaceDE w:val="0"/>
              <w:autoSpaceDN w:val="0"/>
              <w:adjustRightInd w:val="0"/>
              <w:ind w:left="402" w:hanging="283"/>
              <w:rPr>
                <w:rFonts w:ascii="Arial" w:hAnsi="Arial" w:cs="Arial"/>
                <w:sz w:val="20"/>
                <w:szCs w:val="20"/>
              </w:rPr>
            </w:pPr>
            <w:r w:rsidRPr="00C24991">
              <w:rPr>
                <w:rFonts w:ascii="Arial" w:hAnsi="Arial" w:cs="Arial"/>
                <w:sz w:val="20"/>
                <w:szCs w:val="20"/>
              </w:rPr>
              <w:t xml:space="preserve">actual delivery; and </w:t>
            </w:r>
          </w:p>
          <w:p w:rsidR="00C24991" w:rsidRPr="00C24991" w:rsidRDefault="00C24991" w:rsidP="00C24991">
            <w:pPr>
              <w:pStyle w:val="ListParagraph"/>
              <w:numPr>
                <w:ilvl w:val="0"/>
                <w:numId w:val="35"/>
              </w:numPr>
              <w:autoSpaceDE w:val="0"/>
              <w:autoSpaceDN w:val="0"/>
              <w:adjustRightInd w:val="0"/>
              <w:ind w:left="402" w:hanging="283"/>
              <w:rPr>
                <w:rFonts w:ascii="Arial" w:hAnsi="Arial" w:cs="Arial"/>
                <w:sz w:val="20"/>
                <w:szCs w:val="20"/>
              </w:rPr>
            </w:pPr>
            <w:proofErr w:type="gramStart"/>
            <w:r w:rsidRPr="00C24991">
              <w:rPr>
                <w:rFonts w:ascii="Arial" w:hAnsi="Arial" w:cs="Arial"/>
                <w:sz w:val="20"/>
                <w:szCs w:val="20"/>
              </w:rPr>
              <w:t>long-term</w:t>
            </w:r>
            <w:proofErr w:type="gramEnd"/>
            <w:r w:rsidRPr="00C24991">
              <w:rPr>
                <w:rFonts w:ascii="Arial" w:hAnsi="Arial" w:cs="Arial"/>
                <w:sz w:val="20"/>
                <w:szCs w:val="20"/>
              </w:rPr>
              <w:t xml:space="preserve"> process of monitoring and adjustment.</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 xml:space="preserve">Global health: pre-exposure prophylaxis </w:t>
            </w:r>
          </w:p>
        </w:tc>
        <w:tc>
          <w:tcPr>
            <w:tcW w:w="4678" w:type="dxa"/>
          </w:tcPr>
          <w:p w:rsidR="00C24991" w:rsidRPr="00C24991" w:rsidRDefault="00C24991" w:rsidP="00C24991">
            <w:pPr>
              <w:pStyle w:val="ListParagraph"/>
              <w:numPr>
                <w:ilvl w:val="0"/>
                <w:numId w:val="37"/>
              </w:numPr>
              <w:autoSpaceDE w:val="0"/>
              <w:autoSpaceDN w:val="0"/>
              <w:adjustRightInd w:val="0"/>
              <w:ind w:left="254" w:hanging="254"/>
              <w:rPr>
                <w:rFonts w:ascii="Arial" w:hAnsi="Arial" w:cs="Arial"/>
                <w:sz w:val="20"/>
                <w:szCs w:val="20"/>
              </w:rPr>
            </w:pPr>
            <w:r w:rsidRPr="00C24991">
              <w:rPr>
                <w:rFonts w:ascii="Arial" w:hAnsi="Arial" w:cs="Arial"/>
                <w:sz w:val="20"/>
                <w:szCs w:val="20"/>
              </w:rPr>
              <w:t xml:space="preserve">The proposed conceptual framework offers </w:t>
            </w:r>
            <w:proofErr w:type="gramStart"/>
            <w:r w:rsidRPr="00C24991">
              <w:rPr>
                <w:rFonts w:ascii="Arial" w:hAnsi="Arial" w:cs="Arial"/>
                <w:sz w:val="20"/>
                <w:szCs w:val="20"/>
              </w:rPr>
              <w:t>a  taxonomy</w:t>
            </w:r>
            <w:proofErr w:type="gramEnd"/>
            <w:r w:rsidRPr="00C24991">
              <w:rPr>
                <w:rFonts w:ascii="Arial" w:hAnsi="Arial" w:cs="Arial"/>
                <w:sz w:val="20"/>
                <w:szCs w:val="20"/>
              </w:rPr>
              <w:t xml:space="preserve"> of implementation concerns and future work should re-examine and expand on these categories and subcategories.</w:t>
            </w:r>
          </w:p>
        </w:tc>
      </w:tr>
      <w:tr w:rsidR="00C24991" w:rsidRPr="00C24991" w:rsidTr="00A2579A">
        <w:tc>
          <w:tcPr>
            <w:tcW w:w="1242" w:type="dxa"/>
          </w:tcPr>
          <w:p w:rsidR="00C24991" w:rsidRPr="00C24991" w:rsidRDefault="00C24991" w:rsidP="00A2579A">
            <w:pPr>
              <w:rPr>
                <w:rFonts w:ascii="Arial" w:hAnsi="Arial" w:cs="Arial"/>
                <w:sz w:val="20"/>
                <w:szCs w:val="20"/>
              </w:rPr>
            </w:pPr>
            <w:proofErr w:type="spellStart"/>
            <w:r w:rsidRPr="00C24991">
              <w:rPr>
                <w:rFonts w:ascii="Arial" w:hAnsi="Arial" w:cs="Arial"/>
                <w:sz w:val="20"/>
                <w:szCs w:val="20"/>
              </w:rPr>
              <w:t>Victora</w:t>
            </w:r>
            <w:proofErr w:type="spellEnd"/>
            <w:r w:rsidRPr="00C24991">
              <w:rPr>
                <w:rFonts w:ascii="Arial" w:hAnsi="Arial" w:cs="Arial"/>
                <w:sz w:val="20"/>
                <w:szCs w:val="20"/>
              </w:rPr>
              <w:t xml:space="preserve"> et </w:t>
            </w:r>
            <w:r w:rsidRPr="00C24991">
              <w:rPr>
                <w:rFonts w:ascii="Arial" w:hAnsi="Arial" w:cs="Arial"/>
                <w:sz w:val="20"/>
                <w:szCs w:val="20"/>
              </w:rPr>
              <w:lastRenderedPageBreak/>
              <w:t xml:space="preserve">al (2012) </w:t>
            </w:r>
            <w:r w:rsidRPr="00C24991">
              <w:rPr>
                <w:rFonts w:ascii="Arial" w:hAnsi="Arial" w:cs="Arial"/>
                <w:sz w:val="20"/>
                <w:szCs w:val="20"/>
              </w:rPr>
              <w:fldChar w:fldCharType="begin"/>
            </w:r>
            <w:r w:rsidRPr="00C24991">
              <w:rPr>
                <w:rFonts w:ascii="Arial" w:hAnsi="Arial" w:cs="Arial"/>
                <w:sz w:val="20"/>
                <w:szCs w:val="20"/>
              </w:rPr>
              <w:instrText xml:space="preserve"> ADDIN EN.CITE &lt;EndNote&gt;&lt;Cite&gt;&lt;Author&gt;Victora CG&lt;/Author&gt;&lt;Year&gt;2012&lt;/Year&gt;&lt;RecNum&gt;396&lt;/RecNum&gt;&lt;DisplayText&gt;[30]&lt;/DisplayText&gt;&lt;record&gt;&lt;rec-number&gt;396&lt;/rec-number&gt;&lt;foreign-keys&gt;&lt;key app="EN" db-id="5z5zs2d9q5e0fbe20wrpwfswtw9xwerd9d9r" timestamp="1375673364"&gt;396&lt;/key&gt;&lt;/foreign-keys&gt;&lt;ref-type name="Journal Article"&gt;17&lt;/ref-type&gt;&lt;contributors&gt;&lt;authors&gt;&lt;author&gt;Victora CG, &lt;/author&gt;&lt;author&gt;Barros FC, &lt;/author&gt;&lt;author&gt;Assunção MC,&lt;/author&gt;&lt;author&gt;Restrepo-Méndez MC, &lt;/author&gt;&lt;author&gt;Matijasevich A, &lt;/author&gt;&lt;author&gt;Martorell R,&lt;/author&gt;&lt;/authors&gt;&lt;/contributors&gt;&lt;titles&gt;&lt;title&gt;Scaling up maternal nutrition programs to improve birth outcomes: A review of implementation issues&lt;/title&gt;&lt;secondary-title&gt;Food and Nutrition Bulletin&lt;/secondary-title&gt;&lt;/titles&gt;&lt;periodical&gt;&lt;full-title&gt;Food and Nutrition Bulletin&lt;/full-title&gt;&lt;/periodical&gt;&lt;pages&gt;S6-S26&lt;/pages&gt;&lt;volume&gt;33&lt;/volume&gt;&lt;number&gt;2&lt;/number&gt;&lt;section&gt;S6&lt;/section&gt;&lt;dates&gt;&lt;year&gt;2012&lt;/year&gt;&lt;/dates&gt;&lt;urls&gt;&lt;/urls&gt;&lt;/record&gt;&lt;/Cite&gt;&lt;/EndNote&gt;</w:instrText>
            </w:r>
            <w:r w:rsidRPr="00C24991">
              <w:rPr>
                <w:rFonts w:ascii="Arial" w:hAnsi="Arial" w:cs="Arial"/>
                <w:sz w:val="20"/>
                <w:szCs w:val="20"/>
              </w:rPr>
              <w:fldChar w:fldCharType="separate"/>
            </w:r>
            <w:r w:rsidRPr="00C24991">
              <w:rPr>
                <w:rFonts w:ascii="Arial" w:hAnsi="Arial" w:cs="Arial"/>
                <w:noProof/>
                <w:sz w:val="20"/>
                <w:szCs w:val="20"/>
              </w:rPr>
              <w:t>[</w:t>
            </w:r>
            <w:hyperlink w:anchor="_ENREF_30" w:tooltip="Victora CG, 2012 #396" w:history="1">
              <w:r w:rsidRPr="00C24991">
                <w:rPr>
                  <w:rFonts w:ascii="Arial" w:hAnsi="Arial" w:cs="Arial"/>
                  <w:noProof/>
                  <w:sz w:val="20"/>
                  <w:szCs w:val="20"/>
                </w:rPr>
                <w:t>30</w:t>
              </w:r>
            </w:hyperlink>
            <w:r w:rsidRPr="00C24991">
              <w:rPr>
                <w:rFonts w:ascii="Arial" w:hAnsi="Arial" w:cs="Arial"/>
                <w:noProof/>
                <w:sz w:val="20"/>
                <w:szCs w:val="20"/>
              </w:rPr>
              <w:t>]</w:t>
            </w:r>
            <w:r w:rsidRPr="00C24991">
              <w:rPr>
                <w:rFonts w:ascii="Arial" w:hAnsi="Arial" w:cs="Arial"/>
                <w:sz w:val="20"/>
                <w:szCs w:val="20"/>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lastRenderedPageBreak/>
              <w:t xml:space="preserve">Commentary: </w:t>
            </w:r>
            <w:r w:rsidRPr="00C24991">
              <w:rPr>
                <w:rFonts w:ascii="Arial" w:hAnsi="Arial" w:cs="Arial"/>
                <w:sz w:val="20"/>
                <w:szCs w:val="20"/>
              </w:rPr>
              <w:lastRenderedPageBreak/>
              <w:t>literature review</w:t>
            </w:r>
          </w:p>
        </w:tc>
        <w:tc>
          <w:tcPr>
            <w:tcW w:w="1842"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lastRenderedPageBreak/>
              <w:t xml:space="preserve">Scaling up </w:t>
            </w:r>
            <w:r w:rsidRPr="00C24991">
              <w:rPr>
                <w:rFonts w:ascii="Arial" w:hAnsi="Arial" w:cs="Arial"/>
                <w:sz w:val="20"/>
                <w:szCs w:val="20"/>
                <w:lang w:eastAsia="en-US"/>
              </w:rPr>
              <w:lastRenderedPageBreak/>
              <w:t>barriers and enablers</w:t>
            </w:r>
          </w:p>
          <w:p w:rsidR="00C24991" w:rsidRPr="00C24991" w:rsidRDefault="00C24991" w:rsidP="00A2579A">
            <w:pPr>
              <w:autoSpaceDE w:val="0"/>
              <w:autoSpaceDN w:val="0"/>
              <w:adjustRightInd w:val="0"/>
              <w:rPr>
                <w:rFonts w:ascii="Arial" w:hAnsi="Arial" w:cs="Arial"/>
                <w:sz w:val="20"/>
                <w:szCs w:val="20"/>
                <w:lang w:eastAsia="en-US"/>
              </w:rPr>
            </w:pPr>
          </w:p>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Framework for scaling up</w:t>
            </w:r>
          </w:p>
          <w:p w:rsidR="00C24991" w:rsidRPr="00C24991" w:rsidRDefault="00C24991" w:rsidP="00A2579A">
            <w:pPr>
              <w:rPr>
                <w:rFonts w:ascii="Arial" w:hAnsi="Arial" w:cs="Arial"/>
                <w:sz w:val="20"/>
                <w:szCs w:val="20"/>
              </w:rPr>
            </w:pPr>
          </w:p>
        </w:tc>
        <w:tc>
          <w:tcPr>
            <w:tcW w:w="3686"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lastRenderedPageBreak/>
              <w:t xml:space="preserve">Key elements of successful scaling up </w:t>
            </w:r>
            <w:r w:rsidRPr="00C24991">
              <w:rPr>
                <w:rFonts w:ascii="Arial" w:hAnsi="Arial" w:cs="Arial"/>
                <w:sz w:val="20"/>
                <w:szCs w:val="20"/>
                <w:lang w:eastAsia="en-US"/>
              </w:rPr>
              <w:lastRenderedPageBreak/>
              <w:t>of maternal nutrition programs at the country level include:</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visibility of the nutritional problem;</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political will;</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leadership and coordination;</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partnerships including public private, and civic sectors;</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technical capacity for design and implementation;</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supporting policies;</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program design;</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financing and costing;</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procurement of commodities;</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strength of implementation;</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consumer demand creation;</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monitoring and evaluation;</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r w:rsidRPr="00C24991">
              <w:rPr>
                <w:rFonts w:ascii="Arial" w:hAnsi="Arial" w:cs="Arial"/>
                <w:sz w:val="20"/>
                <w:szCs w:val="20"/>
              </w:rPr>
              <w:t>sustainability; and</w:t>
            </w:r>
          </w:p>
          <w:p w:rsidR="00C24991" w:rsidRPr="00C24991" w:rsidRDefault="00C24991" w:rsidP="00C24991">
            <w:pPr>
              <w:pStyle w:val="ListParagraph"/>
              <w:numPr>
                <w:ilvl w:val="0"/>
                <w:numId w:val="38"/>
              </w:numPr>
              <w:autoSpaceDE w:val="0"/>
              <w:autoSpaceDN w:val="0"/>
              <w:adjustRightInd w:val="0"/>
              <w:ind w:left="317" w:hanging="317"/>
              <w:rPr>
                <w:rFonts w:ascii="Arial" w:hAnsi="Arial" w:cs="Arial"/>
                <w:sz w:val="20"/>
                <w:szCs w:val="20"/>
              </w:rPr>
            </w:pPr>
            <w:proofErr w:type="gramStart"/>
            <w:r w:rsidRPr="00C24991">
              <w:rPr>
                <w:rFonts w:ascii="Arial" w:hAnsi="Arial" w:cs="Arial"/>
                <w:sz w:val="20"/>
                <w:szCs w:val="20"/>
              </w:rPr>
              <w:t>equity</w:t>
            </w:r>
            <w:proofErr w:type="gramEnd"/>
            <w:r w:rsidRPr="00C24991">
              <w:rPr>
                <w:rFonts w:ascii="Arial" w:hAnsi="Arial" w:cs="Arial"/>
                <w:sz w:val="20"/>
                <w:szCs w:val="20"/>
              </w:rPr>
              <w:t>.</w:t>
            </w:r>
          </w:p>
        </w:tc>
        <w:tc>
          <w:tcPr>
            <w:tcW w:w="1559"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lastRenderedPageBreak/>
              <w:t xml:space="preserve">Global health: </w:t>
            </w:r>
            <w:r w:rsidRPr="00C24991">
              <w:rPr>
                <w:rFonts w:ascii="Arial" w:hAnsi="Arial" w:cs="Arial"/>
                <w:sz w:val="20"/>
                <w:szCs w:val="20"/>
                <w:lang w:eastAsia="en-US"/>
              </w:rPr>
              <w:lastRenderedPageBreak/>
              <w:t>maternal nutrition</w:t>
            </w:r>
          </w:p>
        </w:tc>
        <w:tc>
          <w:tcPr>
            <w:tcW w:w="4678" w:type="dxa"/>
          </w:tcPr>
          <w:p w:rsidR="00C24991" w:rsidRPr="00C24991" w:rsidRDefault="00C24991" w:rsidP="00C24991">
            <w:pPr>
              <w:pStyle w:val="ListParagraph"/>
              <w:numPr>
                <w:ilvl w:val="0"/>
                <w:numId w:val="39"/>
              </w:numPr>
              <w:autoSpaceDE w:val="0"/>
              <w:autoSpaceDN w:val="0"/>
              <w:adjustRightInd w:val="0"/>
              <w:ind w:left="254" w:hanging="284"/>
              <w:rPr>
                <w:rFonts w:ascii="Arial" w:hAnsi="Arial" w:cs="Arial"/>
                <w:iCs/>
                <w:sz w:val="20"/>
                <w:szCs w:val="20"/>
              </w:rPr>
            </w:pPr>
            <w:r w:rsidRPr="00C24991">
              <w:rPr>
                <w:rFonts w:ascii="Arial" w:hAnsi="Arial" w:cs="Arial"/>
                <w:iCs/>
                <w:sz w:val="20"/>
                <w:szCs w:val="20"/>
              </w:rPr>
              <w:lastRenderedPageBreak/>
              <w:t xml:space="preserve">Programs differ in complexity, and key </w:t>
            </w:r>
            <w:r w:rsidRPr="00C24991">
              <w:rPr>
                <w:rFonts w:ascii="Arial" w:hAnsi="Arial" w:cs="Arial"/>
                <w:iCs/>
                <w:sz w:val="20"/>
                <w:szCs w:val="20"/>
              </w:rPr>
              <w:lastRenderedPageBreak/>
              <w:t xml:space="preserve">elements for success vary with the type of program and the context in which they operate. </w:t>
            </w:r>
          </w:p>
          <w:p w:rsidR="00C24991" w:rsidRPr="00C24991" w:rsidRDefault="00C24991" w:rsidP="00C24991">
            <w:pPr>
              <w:pStyle w:val="ListParagraph"/>
              <w:numPr>
                <w:ilvl w:val="0"/>
                <w:numId w:val="39"/>
              </w:numPr>
              <w:autoSpaceDE w:val="0"/>
              <w:autoSpaceDN w:val="0"/>
              <w:adjustRightInd w:val="0"/>
              <w:ind w:left="254" w:hanging="284"/>
              <w:rPr>
                <w:rFonts w:ascii="Arial" w:hAnsi="Arial" w:cs="Arial"/>
                <w:iCs/>
                <w:sz w:val="20"/>
                <w:szCs w:val="20"/>
              </w:rPr>
            </w:pPr>
            <w:r w:rsidRPr="00C24991">
              <w:rPr>
                <w:rFonts w:ascii="Arial" w:hAnsi="Arial" w:cs="Arial"/>
                <w:iCs/>
                <w:sz w:val="20"/>
                <w:szCs w:val="20"/>
              </w:rPr>
              <w:t xml:space="preserve">Special attention must be given to equity, as even with improved overall coverage and impact inequalities may even be increased. </w:t>
            </w:r>
          </w:p>
          <w:p w:rsidR="00C24991" w:rsidRPr="00C24991" w:rsidRDefault="00C24991" w:rsidP="00C24991">
            <w:pPr>
              <w:pStyle w:val="ListParagraph"/>
              <w:numPr>
                <w:ilvl w:val="0"/>
                <w:numId w:val="39"/>
              </w:numPr>
              <w:autoSpaceDE w:val="0"/>
              <w:autoSpaceDN w:val="0"/>
              <w:adjustRightInd w:val="0"/>
              <w:ind w:left="254" w:hanging="284"/>
              <w:rPr>
                <w:rFonts w:ascii="MinionPro-It" w:hAnsi="MinionPro-It" w:cs="MinionPro-It"/>
                <w:i/>
                <w:iCs/>
                <w:sz w:val="20"/>
                <w:szCs w:val="20"/>
              </w:rPr>
            </w:pPr>
            <w:r w:rsidRPr="00C24991">
              <w:rPr>
                <w:rFonts w:ascii="Arial" w:hAnsi="Arial" w:cs="Arial"/>
                <w:iCs/>
                <w:sz w:val="20"/>
                <w:szCs w:val="20"/>
              </w:rPr>
              <w:t>Much greater investments are needed in independent monitoring and evaluation.</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rPr>
              <w:lastRenderedPageBreak/>
              <w:t xml:space="preserve">World Health </w:t>
            </w:r>
            <w:proofErr w:type="spellStart"/>
            <w:r w:rsidRPr="00C24991">
              <w:rPr>
                <w:rFonts w:ascii="Arial" w:hAnsi="Arial" w:cs="Arial"/>
                <w:sz w:val="20"/>
                <w:szCs w:val="20"/>
              </w:rPr>
              <w:t>Organiza-tion</w:t>
            </w:r>
            <w:proofErr w:type="spellEnd"/>
            <w:r w:rsidRPr="00C24991">
              <w:rPr>
                <w:rFonts w:ascii="Arial" w:hAnsi="Arial" w:cs="Arial"/>
                <w:sz w:val="20"/>
                <w:szCs w:val="20"/>
              </w:rPr>
              <w:t xml:space="preserve"> (WHO)  (2010) </w:t>
            </w:r>
            <w:r w:rsidRPr="00C24991">
              <w:rPr>
                <w:rFonts w:ascii="Arial" w:hAnsi="Arial" w:cs="Arial"/>
                <w:sz w:val="20"/>
                <w:szCs w:val="20"/>
              </w:rPr>
              <w:fldChar w:fldCharType="begin"/>
            </w:r>
            <w:r w:rsidRPr="00C24991">
              <w:rPr>
                <w:rFonts w:ascii="Arial" w:hAnsi="Arial" w:cs="Arial"/>
                <w:sz w:val="20"/>
                <w:szCs w:val="20"/>
              </w:rPr>
              <w:instrText xml:space="preserve"> ADDIN EN.CITE &lt;EndNote&gt;&lt;Cite&gt;&lt;Author&gt;World Health Organization&lt;/Author&gt;&lt;Year&gt;2010&lt;/Year&gt;&lt;RecNum&gt;218&lt;/RecNum&gt;&lt;DisplayText&gt;[7]&lt;/DisplayText&gt;&lt;record&gt;&lt;rec-number&gt;218&lt;/rec-number&gt;&lt;foreign-keys&gt;&lt;key app="EN" db-id="5z5zs2d9q5e0fbe20wrpwfswtw9xwerd9d9r" timestamp="0"&gt;218&lt;/key&gt;&lt;/foreign-keys&gt;&lt;ref-type name="Report"&gt;27&lt;/ref-type&gt;&lt;contributors&gt;&lt;authors&gt;&lt;author&gt;World Health Organization,&lt;/author&gt;&lt;author&gt;ExpandNet, &lt;/author&gt;&lt;/authors&gt;&lt;/contributors&gt;&lt;titles&gt;&lt;title&gt;Nine steps for developing a scaling-up strategy&lt;/title&gt;&lt;/titles&gt;&lt;dates&gt;&lt;year&gt;2010&lt;/year&gt;&lt;/dates&gt;&lt;pub-location&gt;Geneva&lt;/pub-location&gt;&lt;publisher&gt;WHO&lt;/publisher&gt;&lt;urls&gt;&lt;/urls&gt;&lt;/record&gt;&lt;/Cite&gt;&lt;/EndNote&gt;</w:instrText>
            </w:r>
            <w:r w:rsidRPr="00C24991">
              <w:rPr>
                <w:rFonts w:ascii="Arial" w:hAnsi="Arial" w:cs="Arial"/>
                <w:sz w:val="20"/>
                <w:szCs w:val="20"/>
              </w:rPr>
              <w:fldChar w:fldCharType="separate"/>
            </w:r>
            <w:r w:rsidRPr="00C24991">
              <w:rPr>
                <w:rFonts w:ascii="Arial" w:hAnsi="Arial" w:cs="Arial"/>
                <w:noProof/>
                <w:sz w:val="20"/>
                <w:szCs w:val="20"/>
              </w:rPr>
              <w:t>[</w:t>
            </w:r>
            <w:hyperlink w:anchor="_ENREF_7" w:tooltip="World Health Organization, 2010 #218" w:history="1">
              <w:r w:rsidRPr="00C24991">
                <w:rPr>
                  <w:rFonts w:ascii="Arial" w:hAnsi="Arial" w:cs="Arial"/>
                  <w:noProof/>
                  <w:sz w:val="20"/>
                  <w:szCs w:val="20"/>
                </w:rPr>
                <w:t>7</w:t>
              </w:r>
            </w:hyperlink>
            <w:r w:rsidRPr="00C24991">
              <w:rPr>
                <w:rFonts w:ascii="Arial" w:hAnsi="Arial" w:cs="Arial"/>
                <w:noProof/>
                <w:sz w:val="20"/>
                <w:szCs w:val="20"/>
              </w:rPr>
              <w:t>]</w:t>
            </w:r>
            <w:r w:rsidRPr="00C24991">
              <w:rPr>
                <w:rFonts w:ascii="Arial" w:hAnsi="Arial" w:cs="Arial"/>
                <w:sz w:val="20"/>
                <w:szCs w:val="20"/>
              </w:rPr>
              <w:fldChar w:fldCharType="end"/>
            </w:r>
            <w:r w:rsidRPr="00C24991">
              <w:rPr>
                <w:rFonts w:ascii="Arial" w:hAnsi="Arial" w:cs="Arial"/>
                <w:sz w:val="20"/>
                <w:szCs w:val="20"/>
              </w:rPr>
              <w:t xml:space="preserve"> </w:t>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Framework</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Proposed framework developing a scaling up strategy</w:t>
            </w:r>
          </w:p>
        </w:tc>
        <w:tc>
          <w:tcPr>
            <w:tcW w:w="3686" w:type="dxa"/>
          </w:tcPr>
          <w:p w:rsidR="00C24991" w:rsidRPr="00C24991" w:rsidRDefault="00C24991" w:rsidP="00A2579A">
            <w:pPr>
              <w:autoSpaceDE w:val="0"/>
              <w:autoSpaceDN w:val="0"/>
              <w:adjustRightInd w:val="0"/>
              <w:rPr>
                <w:rFonts w:ascii="Arial" w:hAnsi="Arial" w:cs="Arial"/>
                <w:bCs/>
                <w:sz w:val="20"/>
                <w:szCs w:val="20"/>
              </w:rPr>
            </w:pPr>
            <w:proofErr w:type="spellStart"/>
            <w:r w:rsidRPr="00C24991">
              <w:rPr>
                <w:rFonts w:ascii="Arial" w:hAnsi="Arial" w:cs="Arial"/>
                <w:sz w:val="20"/>
                <w:szCs w:val="20"/>
              </w:rPr>
              <w:t>ExpandNET</w:t>
            </w:r>
            <w:proofErr w:type="spellEnd"/>
            <w:r w:rsidRPr="00C24991">
              <w:rPr>
                <w:rFonts w:ascii="Arial" w:hAnsi="Arial" w:cs="Arial"/>
                <w:sz w:val="20"/>
                <w:szCs w:val="20"/>
              </w:rPr>
              <w:t xml:space="preserve"> </w:t>
            </w:r>
            <w:r w:rsidRPr="00C24991">
              <w:rPr>
                <w:rFonts w:ascii="Arial" w:hAnsi="Arial" w:cs="Arial"/>
                <w:bCs/>
                <w:sz w:val="20"/>
                <w:szCs w:val="20"/>
              </w:rPr>
              <w:t xml:space="preserve">Framework involves 9 steps: </w:t>
            </w:r>
          </w:p>
          <w:p w:rsidR="00C24991" w:rsidRPr="00C24991" w:rsidRDefault="00C24991" w:rsidP="00C24991">
            <w:pPr>
              <w:pStyle w:val="ListParagraph"/>
              <w:numPr>
                <w:ilvl w:val="0"/>
                <w:numId w:val="8"/>
              </w:numPr>
              <w:autoSpaceDE w:val="0"/>
              <w:autoSpaceDN w:val="0"/>
              <w:adjustRightInd w:val="0"/>
              <w:ind w:left="266" w:hanging="266"/>
              <w:rPr>
                <w:rFonts w:ascii="Arial" w:hAnsi="Arial" w:cs="Arial"/>
                <w:b/>
                <w:bCs/>
                <w:sz w:val="20"/>
                <w:szCs w:val="20"/>
              </w:rPr>
            </w:pPr>
            <w:r w:rsidRPr="00C24991">
              <w:rPr>
                <w:rFonts w:ascii="Arial" w:hAnsi="Arial" w:cs="Arial"/>
                <w:sz w:val="20"/>
                <w:szCs w:val="20"/>
              </w:rPr>
              <w:t>planning actions to increase the scalability of the innovation;</w:t>
            </w:r>
          </w:p>
          <w:p w:rsidR="00C24991" w:rsidRPr="00C24991" w:rsidRDefault="00C24991" w:rsidP="00C24991">
            <w:pPr>
              <w:pStyle w:val="ListParagraph"/>
              <w:numPr>
                <w:ilvl w:val="0"/>
                <w:numId w:val="7"/>
              </w:numPr>
              <w:autoSpaceDE w:val="0"/>
              <w:autoSpaceDN w:val="0"/>
              <w:adjustRightInd w:val="0"/>
              <w:ind w:left="266" w:hanging="266"/>
              <w:rPr>
                <w:rFonts w:ascii="Arial" w:hAnsi="Arial" w:cs="Arial"/>
                <w:sz w:val="20"/>
                <w:szCs w:val="20"/>
              </w:rPr>
            </w:pPr>
            <w:r w:rsidRPr="00C24991">
              <w:rPr>
                <w:rFonts w:ascii="Arial" w:hAnsi="Arial" w:cs="Arial"/>
                <w:sz w:val="20"/>
                <w:szCs w:val="20"/>
              </w:rPr>
              <w:t>increasing the capacity of the user organization to implement;</w:t>
            </w:r>
          </w:p>
          <w:p w:rsidR="00C24991" w:rsidRPr="00C24991" w:rsidRDefault="00C24991" w:rsidP="00C24991">
            <w:pPr>
              <w:pStyle w:val="ListParagraph"/>
              <w:numPr>
                <w:ilvl w:val="0"/>
                <w:numId w:val="7"/>
              </w:numPr>
              <w:autoSpaceDE w:val="0"/>
              <w:autoSpaceDN w:val="0"/>
              <w:adjustRightInd w:val="0"/>
              <w:ind w:left="266" w:hanging="266"/>
              <w:rPr>
                <w:rFonts w:ascii="Arial" w:hAnsi="Arial" w:cs="Arial"/>
                <w:sz w:val="20"/>
                <w:szCs w:val="20"/>
              </w:rPr>
            </w:pPr>
            <w:r w:rsidRPr="00C24991">
              <w:rPr>
                <w:rFonts w:ascii="Arial" w:hAnsi="Arial" w:cs="Arial"/>
                <w:sz w:val="20"/>
                <w:szCs w:val="20"/>
              </w:rPr>
              <w:t>assessing the environment and planning actions to increase the potential for success;</w:t>
            </w:r>
          </w:p>
          <w:p w:rsidR="00C24991" w:rsidRPr="00C24991" w:rsidRDefault="00C24991" w:rsidP="00C24991">
            <w:pPr>
              <w:pStyle w:val="ListParagraph"/>
              <w:numPr>
                <w:ilvl w:val="0"/>
                <w:numId w:val="7"/>
              </w:numPr>
              <w:autoSpaceDE w:val="0"/>
              <w:autoSpaceDN w:val="0"/>
              <w:adjustRightInd w:val="0"/>
              <w:ind w:left="266" w:hanging="266"/>
              <w:rPr>
                <w:rFonts w:ascii="Arial" w:hAnsi="Arial" w:cs="Arial"/>
                <w:sz w:val="20"/>
                <w:szCs w:val="20"/>
              </w:rPr>
            </w:pPr>
            <w:r w:rsidRPr="00C24991">
              <w:rPr>
                <w:rFonts w:ascii="Arial" w:hAnsi="Arial" w:cs="Arial"/>
                <w:sz w:val="20"/>
                <w:szCs w:val="20"/>
              </w:rPr>
              <w:t>increasing the capacity of the resource team to support scaling up;</w:t>
            </w:r>
          </w:p>
          <w:p w:rsidR="00C24991" w:rsidRPr="00C24991" w:rsidRDefault="00C24991" w:rsidP="00C24991">
            <w:pPr>
              <w:pStyle w:val="ListParagraph"/>
              <w:numPr>
                <w:ilvl w:val="0"/>
                <w:numId w:val="7"/>
              </w:numPr>
              <w:autoSpaceDE w:val="0"/>
              <w:autoSpaceDN w:val="0"/>
              <w:adjustRightInd w:val="0"/>
              <w:ind w:left="266" w:hanging="266"/>
              <w:rPr>
                <w:rFonts w:ascii="Arial" w:hAnsi="Arial" w:cs="Arial"/>
                <w:sz w:val="20"/>
                <w:szCs w:val="20"/>
              </w:rPr>
            </w:pPr>
            <w:r w:rsidRPr="00C24991">
              <w:rPr>
                <w:rFonts w:ascii="Arial" w:hAnsi="Arial" w:cs="Arial"/>
                <w:sz w:val="20"/>
                <w:szCs w:val="20"/>
              </w:rPr>
              <w:t xml:space="preserve">making strategic choices to support </w:t>
            </w:r>
            <w:r w:rsidRPr="00C24991">
              <w:rPr>
                <w:rFonts w:ascii="Arial" w:hAnsi="Arial" w:cs="Arial"/>
                <w:sz w:val="20"/>
                <w:szCs w:val="20"/>
              </w:rPr>
              <w:lastRenderedPageBreak/>
              <w:t>vertical scaling up (institutionalization);</w:t>
            </w:r>
          </w:p>
          <w:p w:rsidR="00C24991" w:rsidRPr="00C24991" w:rsidRDefault="00C24991" w:rsidP="00C24991">
            <w:pPr>
              <w:pStyle w:val="ListParagraph"/>
              <w:numPr>
                <w:ilvl w:val="0"/>
                <w:numId w:val="7"/>
              </w:numPr>
              <w:autoSpaceDE w:val="0"/>
              <w:autoSpaceDN w:val="0"/>
              <w:adjustRightInd w:val="0"/>
              <w:ind w:left="266" w:hanging="266"/>
              <w:rPr>
                <w:rFonts w:ascii="Arial" w:hAnsi="Arial" w:cs="Arial"/>
                <w:sz w:val="20"/>
                <w:szCs w:val="20"/>
              </w:rPr>
            </w:pPr>
            <w:r w:rsidRPr="00C24991">
              <w:rPr>
                <w:rFonts w:ascii="Arial" w:hAnsi="Arial" w:cs="Arial"/>
                <w:sz w:val="20"/>
                <w:szCs w:val="20"/>
              </w:rPr>
              <w:t>making strategic choices to support horizontal scaling up (expansion/ replication);</w:t>
            </w:r>
          </w:p>
          <w:p w:rsidR="00C24991" w:rsidRPr="00C24991" w:rsidRDefault="00C24991" w:rsidP="00C24991">
            <w:pPr>
              <w:pStyle w:val="ListParagraph"/>
              <w:numPr>
                <w:ilvl w:val="0"/>
                <w:numId w:val="7"/>
              </w:numPr>
              <w:autoSpaceDE w:val="0"/>
              <w:autoSpaceDN w:val="0"/>
              <w:adjustRightInd w:val="0"/>
              <w:ind w:left="266" w:hanging="266"/>
              <w:rPr>
                <w:rFonts w:ascii="Arial" w:hAnsi="Arial" w:cs="Arial"/>
                <w:sz w:val="20"/>
                <w:szCs w:val="20"/>
              </w:rPr>
            </w:pPr>
            <w:r w:rsidRPr="00C24991">
              <w:rPr>
                <w:rFonts w:ascii="Arial" w:hAnsi="Arial" w:cs="Arial"/>
                <w:sz w:val="20"/>
                <w:szCs w:val="20"/>
              </w:rPr>
              <w:t>determining the role of diversification;</w:t>
            </w:r>
          </w:p>
          <w:p w:rsidR="00C24991" w:rsidRPr="00C24991" w:rsidRDefault="00C24991" w:rsidP="00C24991">
            <w:pPr>
              <w:pStyle w:val="ListParagraph"/>
              <w:numPr>
                <w:ilvl w:val="0"/>
                <w:numId w:val="7"/>
              </w:numPr>
              <w:autoSpaceDE w:val="0"/>
              <w:autoSpaceDN w:val="0"/>
              <w:adjustRightInd w:val="0"/>
              <w:ind w:left="266" w:hanging="266"/>
              <w:rPr>
                <w:rFonts w:ascii="Arial" w:hAnsi="Arial" w:cs="Arial"/>
                <w:sz w:val="20"/>
                <w:szCs w:val="20"/>
              </w:rPr>
            </w:pPr>
            <w:r w:rsidRPr="00C24991">
              <w:rPr>
                <w:rFonts w:ascii="Arial" w:hAnsi="Arial" w:cs="Arial"/>
                <w:sz w:val="20"/>
                <w:szCs w:val="20"/>
              </w:rPr>
              <w:t>planning actions to address spontaneous scaling up; and</w:t>
            </w:r>
          </w:p>
          <w:p w:rsidR="00C24991" w:rsidRPr="00C24991" w:rsidRDefault="00C24991" w:rsidP="00C24991">
            <w:pPr>
              <w:pStyle w:val="ListParagraph"/>
              <w:numPr>
                <w:ilvl w:val="0"/>
                <w:numId w:val="7"/>
              </w:numPr>
              <w:ind w:left="266" w:hanging="266"/>
              <w:rPr>
                <w:rFonts w:ascii="Arial" w:hAnsi="Arial" w:cs="Arial"/>
                <w:sz w:val="20"/>
                <w:szCs w:val="20"/>
              </w:rPr>
            </w:pPr>
            <w:proofErr w:type="gramStart"/>
            <w:r w:rsidRPr="00C24991">
              <w:rPr>
                <w:rFonts w:ascii="Arial" w:hAnsi="Arial" w:cs="Arial"/>
                <w:sz w:val="20"/>
                <w:szCs w:val="20"/>
              </w:rPr>
              <w:t>finalizing</w:t>
            </w:r>
            <w:proofErr w:type="gramEnd"/>
            <w:r w:rsidRPr="00C24991">
              <w:rPr>
                <w:rFonts w:ascii="Arial" w:hAnsi="Arial" w:cs="Arial"/>
                <w:sz w:val="20"/>
                <w:szCs w:val="20"/>
              </w:rPr>
              <w:t xml:space="preserve"> the scaling-up strategy and identifying next steps.</w:t>
            </w:r>
          </w:p>
        </w:tc>
        <w:tc>
          <w:tcPr>
            <w:tcW w:w="1559" w:type="dxa"/>
          </w:tcPr>
          <w:p w:rsidR="00C24991" w:rsidRPr="00C24991" w:rsidRDefault="00C24991" w:rsidP="00A2579A">
            <w:pPr>
              <w:autoSpaceDE w:val="0"/>
              <w:autoSpaceDN w:val="0"/>
              <w:adjustRightInd w:val="0"/>
              <w:rPr>
                <w:rFonts w:ascii="Arial" w:hAnsi="Arial" w:cs="Arial"/>
                <w:sz w:val="20"/>
                <w:szCs w:val="20"/>
              </w:rPr>
            </w:pPr>
            <w:r w:rsidRPr="00C24991">
              <w:rPr>
                <w:rFonts w:ascii="Arial" w:hAnsi="Arial" w:cs="Arial"/>
                <w:sz w:val="20"/>
                <w:szCs w:val="20"/>
                <w:lang w:eastAsia="en-US"/>
              </w:rPr>
              <w:lastRenderedPageBreak/>
              <w:t>Global Health</w:t>
            </w:r>
          </w:p>
          <w:p w:rsidR="00C24991" w:rsidRPr="00C24991" w:rsidRDefault="00C24991" w:rsidP="00A2579A">
            <w:pPr>
              <w:rPr>
                <w:rFonts w:ascii="Arial" w:hAnsi="Arial" w:cs="Arial"/>
                <w:sz w:val="20"/>
                <w:szCs w:val="20"/>
              </w:rPr>
            </w:pPr>
          </w:p>
        </w:tc>
        <w:tc>
          <w:tcPr>
            <w:tcW w:w="4678" w:type="dxa"/>
          </w:tcPr>
          <w:p w:rsidR="00C24991" w:rsidRPr="00C24991" w:rsidRDefault="00C24991" w:rsidP="00C24991">
            <w:pPr>
              <w:pStyle w:val="ListParagraph"/>
              <w:numPr>
                <w:ilvl w:val="0"/>
                <w:numId w:val="1"/>
              </w:numPr>
              <w:ind w:left="265" w:hanging="284"/>
              <w:rPr>
                <w:rFonts w:ascii="Arial" w:hAnsi="Arial" w:cs="Arial"/>
                <w:sz w:val="20"/>
                <w:szCs w:val="20"/>
              </w:rPr>
            </w:pPr>
            <w:r w:rsidRPr="00C24991">
              <w:rPr>
                <w:rFonts w:ascii="Arial" w:hAnsi="Arial" w:cs="Arial"/>
                <w:sz w:val="20"/>
                <w:szCs w:val="20"/>
              </w:rPr>
              <w:t>Ensure the relevance of the proposed innovation.</w:t>
            </w:r>
          </w:p>
          <w:p w:rsidR="00C24991" w:rsidRPr="00C24991" w:rsidRDefault="00C24991" w:rsidP="00C24991">
            <w:pPr>
              <w:pStyle w:val="ListParagraph"/>
              <w:numPr>
                <w:ilvl w:val="0"/>
                <w:numId w:val="1"/>
              </w:numPr>
              <w:ind w:left="265" w:hanging="284"/>
              <w:rPr>
                <w:rFonts w:ascii="Arial" w:hAnsi="Arial" w:cs="Arial"/>
                <w:sz w:val="20"/>
                <w:szCs w:val="20"/>
              </w:rPr>
            </w:pPr>
            <w:r w:rsidRPr="00C24991">
              <w:rPr>
                <w:rFonts w:ascii="Arial" w:hAnsi="Arial" w:cs="Arial"/>
                <w:sz w:val="20"/>
                <w:szCs w:val="20"/>
              </w:rPr>
              <w:t>Reach consensus on expectations for scale-up.</w:t>
            </w:r>
          </w:p>
          <w:p w:rsidR="00C24991" w:rsidRPr="00C24991" w:rsidRDefault="00C24991" w:rsidP="00C24991">
            <w:pPr>
              <w:pStyle w:val="ListParagraph"/>
              <w:numPr>
                <w:ilvl w:val="0"/>
                <w:numId w:val="1"/>
              </w:numPr>
              <w:ind w:left="265" w:hanging="284"/>
              <w:rPr>
                <w:rFonts w:ascii="Arial" w:hAnsi="Arial" w:cs="Arial"/>
                <w:sz w:val="20"/>
                <w:szCs w:val="20"/>
              </w:rPr>
            </w:pPr>
            <w:r w:rsidRPr="00C24991">
              <w:rPr>
                <w:rFonts w:ascii="Arial" w:hAnsi="Arial" w:cs="Arial"/>
                <w:sz w:val="20"/>
                <w:szCs w:val="20"/>
              </w:rPr>
              <w:t>Tailor the innovation to the socio-cultural and institutional settings.</w:t>
            </w:r>
          </w:p>
          <w:p w:rsidR="00C24991" w:rsidRPr="00C24991" w:rsidRDefault="00C24991" w:rsidP="00C24991">
            <w:pPr>
              <w:pStyle w:val="ListParagraph"/>
              <w:numPr>
                <w:ilvl w:val="0"/>
                <w:numId w:val="1"/>
              </w:numPr>
              <w:ind w:left="265" w:hanging="284"/>
              <w:rPr>
                <w:rFonts w:ascii="Arial" w:hAnsi="Arial" w:cs="Arial"/>
                <w:sz w:val="20"/>
                <w:szCs w:val="20"/>
              </w:rPr>
            </w:pPr>
            <w:r w:rsidRPr="00C24991">
              <w:rPr>
                <w:rFonts w:ascii="Arial" w:hAnsi="Arial" w:cs="Arial"/>
                <w:sz w:val="20"/>
                <w:szCs w:val="20"/>
              </w:rPr>
              <w:t>Keep the innovation as simple as possible.</w:t>
            </w:r>
          </w:p>
          <w:p w:rsidR="00C24991" w:rsidRPr="00C24991" w:rsidRDefault="00C24991" w:rsidP="00C24991">
            <w:pPr>
              <w:pStyle w:val="ListParagraph"/>
              <w:numPr>
                <w:ilvl w:val="0"/>
                <w:numId w:val="1"/>
              </w:numPr>
              <w:ind w:left="265" w:hanging="284"/>
              <w:rPr>
                <w:rFonts w:ascii="Arial" w:hAnsi="Arial" w:cs="Arial"/>
                <w:sz w:val="20"/>
                <w:szCs w:val="20"/>
              </w:rPr>
            </w:pPr>
            <w:r w:rsidRPr="00C24991">
              <w:rPr>
                <w:rFonts w:ascii="Arial" w:hAnsi="Arial" w:cs="Arial"/>
                <w:sz w:val="20"/>
                <w:szCs w:val="20"/>
              </w:rPr>
              <w:t>Test the innovation in the variety of socio-cultural and institutional settings where it will be scaled-up.</w:t>
            </w:r>
          </w:p>
          <w:p w:rsidR="00C24991" w:rsidRPr="00C24991" w:rsidRDefault="00C24991" w:rsidP="00C24991">
            <w:pPr>
              <w:pStyle w:val="ListParagraph"/>
              <w:numPr>
                <w:ilvl w:val="0"/>
                <w:numId w:val="1"/>
              </w:numPr>
              <w:ind w:left="265" w:hanging="284"/>
              <w:rPr>
                <w:rFonts w:ascii="Arial" w:hAnsi="Arial" w:cs="Arial"/>
                <w:sz w:val="20"/>
                <w:szCs w:val="20"/>
              </w:rPr>
            </w:pPr>
            <w:r w:rsidRPr="00C24991">
              <w:rPr>
                <w:rFonts w:ascii="Arial" w:hAnsi="Arial" w:cs="Arial"/>
                <w:sz w:val="20"/>
                <w:szCs w:val="20"/>
              </w:rPr>
              <w:t xml:space="preserve">Test the innovation under the routine operating conditions and existing resource constraints of </w:t>
            </w:r>
            <w:r w:rsidRPr="00C24991">
              <w:rPr>
                <w:rFonts w:ascii="Arial" w:hAnsi="Arial" w:cs="Arial"/>
                <w:sz w:val="20"/>
                <w:szCs w:val="20"/>
              </w:rPr>
              <w:lastRenderedPageBreak/>
              <w:t>the health system.</w:t>
            </w:r>
          </w:p>
          <w:p w:rsidR="00C24991" w:rsidRPr="00C24991" w:rsidRDefault="00C24991" w:rsidP="00A2579A">
            <w:pPr>
              <w:rPr>
                <w:rFonts w:ascii="Arial" w:hAnsi="Arial" w:cs="Arial"/>
                <w:sz w:val="20"/>
                <w:szCs w:val="20"/>
              </w:rPr>
            </w:pPr>
          </w:p>
        </w:tc>
      </w:tr>
      <w:tr w:rsidR="00C24991" w:rsidRPr="00C24991" w:rsidTr="00A2579A">
        <w:trPr>
          <w:trHeight w:val="716"/>
        </w:trPr>
        <w:tc>
          <w:tcPr>
            <w:tcW w:w="1242" w:type="dxa"/>
          </w:tcPr>
          <w:p w:rsidR="00C24991" w:rsidRPr="00C24991" w:rsidRDefault="00C24991" w:rsidP="00A2579A">
            <w:pPr>
              <w:rPr>
                <w:rFonts w:ascii="Arial" w:hAnsi="Arial" w:cs="Arial"/>
                <w:sz w:val="20"/>
                <w:szCs w:val="20"/>
              </w:rPr>
            </w:pPr>
            <w:r w:rsidRPr="00C24991">
              <w:rPr>
                <w:rFonts w:ascii="Arial" w:eastAsia="MyriadPro-LightSemiCn" w:hAnsi="Arial" w:cs="Arial"/>
                <w:sz w:val="20"/>
                <w:szCs w:val="20"/>
                <w:lang w:eastAsia="en-US"/>
              </w:rPr>
              <w:lastRenderedPageBreak/>
              <w:t xml:space="preserve">Willey et al (2012) </w:t>
            </w:r>
            <w:r w:rsidRPr="00C24991">
              <w:rPr>
                <w:rFonts w:ascii="Arial" w:eastAsia="MyriadPro-LightSemiCn" w:hAnsi="Arial" w:cs="Arial"/>
                <w:sz w:val="20"/>
                <w:szCs w:val="20"/>
                <w:lang w:eastAsia="en-US"/>
              </w:rPr>
              <w:fldChar w:fldCharType="begin"/>
            </w:r>
            <w:r w:rsidRPr="00C24991">
              <w:rPr>
                <w:rFonts w:ascii="Arial" w:eastAsia="MyriadPro-LightSemiCn" w:hAnsi="Arial" w:cs="Arial"/>
                <w:sz w:val="20"/>
                <w:szCs w:val="20"/>
                <w:lang w:eastAsia="en-US"/>
              </w:rPr>
              <w:instrText xml:space="preserve"> ADDIN EN.CITE &lt;EndNote&gt;&lt;Cite&gt;&lt;Author&gt;Willey&lt;/Author&gt;&lt;Year&gt;2012&lt;/Year&gt;&lt;RecNum&gt;220&lt;/RecNum&gt;&lt;DisplayText&gt;[31]&lt;/DisplayText&gt;&lt;record&gt;&lt;rec-number&gt;220&lt;/rec-number&gt;&lt;foreign-keys&gt;&lt;key app="EN" db-id="5z5zs2d9q5e0fbe20wrpwfswtw9xwerd9d9r" timestamp="0"&gt;220&lt;/key&gt;&lt;/foreign-keys&gt;&lt;ref-type name="Journal Article"&gt;17&lt;/ref-type&gt;&lt;contributors&gt;&lt;authors&gt;&lt;author&gt;Willey BA,&lt;/author&gt;&lt;author&gt;Paintain LS, &lt;/author&gt;&lt;author&gt;Mangham L, &lt;/author&gt;&lt;author&gt;Car J, &lt;/author&gt;&lt;author&gt;Schellenberg JA, &lt;/author&gt;&lt;/authors&gt;&lt;/contributors&gt;&lt;titles&gt;&lt;title&gt;Strategies for delivering insecticide-treated nets at scale for malaria control: a systematic review&lt;/title&gt;&lt;secondary-title&gt;Bulletin of the World Health Organization&lt;/secondary-title&gt;&lt;/titles&gt;&lt;pages&gt;672-684&lt;/pages&gt;&lt;volume&gt;90&lt;/volume&gt;&lt;number&gt;9&lt;/number&gt;&lt;dates&gt;&lt;year&gt;2012&lt;/year&gt;&lt;/dates&gt;&lt;publisher&gt;SciELO Public Health&lt;/publisher&gt;&lt;isbn&gt;0042-9686&lt;/isbn&gt;&lt;urls&gt;&lt;/urls&gt;&lt;/record&gt;&lt;/Cite&gt;&lt;/EndNote&gt;</w:instrText>
            </w:r>
            <w:r w:rsidRPr="00C24991">
              <w:rPr>
                <w:rFonts w:ascii="Arial" w:eastAsia="MyriadPro-LightSemiCn" w:hAnsi="Arial" w:cs="Arial"/>
                <w:sz w:val="20"/>
                <w:szCs w:val="20"/>
                <w:lang w:eastAsia="en-US"/>
              </w:rPr>
              <w:fldChar w:fldCharType="separate"/>
            </w:r>
            <w:r w:rsidRPr="00C24991">
              <w:rPr>
                <w:rFonts w:ascii="Arial" w:eastAsia="MyriadPro-LightSemiCn" w:hAnsi="Arial" w:cs="Arial"/>
                <w:noProof/>
                <w:sz w:val="20"/>
                <w:szCs w:val="20"/>
                <w:lang w:eastAsia="en-US"/>
              </w:rPr>
              <w:t>[</w:t>
            </w:r>
            <w:hyperlink w:anchor="_ENREF_31" w:tooltip="Willey BA, 2012 #220" w:history="1">
              <w:r w:rsidRPr="00C24991">
                <w:rPr>
                  <w:rFonts w:ascii="Arial" w:eastAsia="MyriadPro-LightSemiCn" w:hAnsi="Arial" w:cs="Arial"/>
                  <w:noProof/>
                  <w:sz w:val="20"/>
                  <w:szCs w:val="20"/>
                  <w:lang w:eastAsia="en-US"/>
                </w:rPr>
                <w:t>31</w:t>
              </w:r>
            </w:hyperlink>
            <w:r w:rsidRPr="00C24991">
              <w:rPr>
                <w:rFonts w:ascii="Arial" w:eastAsia="MyriadPro-LightSemiCn" w:hAnsi="Arial" w:cs="Arial"/>
                <w:noProof/>
                <w:sz w:val="20"/>
                <w:szCs w:val="20"/>
                <w:lang w:eastAsia="en-US"/>
              </w:rPr>
              <w:t>]</w:t>
            </w:r>
            <w:r w:rsidRPr="00C24991">
              <w:rPr>
                <w:rFonts w:ascii="Arial" w:eastAsia="MyriadPro-LightSemiCn" w:hAnsi="Arial" w:cs="Arial"/>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Commentary: Literature review</w:t>
            </w:r>
          </w:p>
        </w:tc>
        <w:tc>
          <w:tcPr>
            <w:tcW w:w="1842" w:type="dxa"/>
          </w:tcPr>
          <w:p w:rsidR="00C24991" w:rsidRPr="00C24991" w:rsidRDefault="00C24991" w:rsidP="00A2579A">
            <w:pPr>
              <w:autoSpaceDE w:val="0"/>
              <w:autoSpaceDN w:val="0"/>
              <w:adjustRightInd w:val="0"/>
              <w:rPr>
                <w:rFonts w:ascii="Arial" w:hAnsi="Arial" w:cs="Arial"/>
                <w:sz w:val="20"/>
                <w:szCs w:val="20"/>
                <w:lang w:eastAsia="en-US"/>
              </w:rPr>
            </w:pPr>
            <w:r w:rsidRPr="00C24991">
              <w:rPr>
                <w:rFonts w:ascii="Arial" w:hAnsi="Arial" w:cs="Arial"/>
                <w:sz w:val="20"/>
                <w:szCs w:val="20"/>
                <w:lang w:eastAsia="en-US"/>
              </w:rPr>
              <w:t>Scaling up barriers and enablers</w:t>
            </w:r>
          </w:p>
          <w:p w:rsidR="00C24991" w:rsidRPr="00C24991" w:rsidRDefault="00C24991" w:rsidP="00A2579A">
            <w:pPr>
              <w:rPr>
                <w:rFonts w:ascii="Arial" w:hAnsi="Arial" w:cs="Arial"/>
                <w:sz w:val="20"/>
                <w:szCs w:val="20"/>
              </w:rPr>
            </w:pPr>
          </w:p>
        </w:tc>
        <w:tc>
          <w:tcPr>
            <w:tcW w:w="3686" w:type="dxa"/>
          </w:tcPr>
          <w:p w:rsidR="00C24991" w:rsidRPr="00C24991" w:rsidRDefault="00C24991" w:rsidP="00A2579A">
            <w:pPr>
              <w:rPr>
                <w:rFonts w:ascii="Arial" w:hAnsi="Arial" w:cs="Arial"/>
                <w:bCs/>
                <w:sz w:val="20"/>
                <w:szCs w:val="20"/>
              </w:rPr>
            </w:pPr>
            <w:r w:rsidRPr="00C24991">
              <w:rPr>
                <w:rFonts w:ascii="Arial" w:hAnsi="Arial" w:cs="Arial"/>
                <w:sz w:val="20"/>
                <w:szCs w:val="20"/>
              </w:rPr>
              <w:t>Describes s</w:t>
            </w:r>
            <w:r w:rsidRPr="00C24991">
              <w:rPr>
                <w:rFonts w:ascii="Arial" w:hAnsi="Arial" w:cs="Arial"/>
                <w:bCs/>
                <w:sz w:val="20"/>
                <w:szCs w:val="20"/>
              </w:rPr>
              <w:t>trategies for delivering ITNs at scale, with a particular focus on:</w:t>
            </w:r>
          </w:p>
          <w:p w:rsidR="00C24991" w:rsidRPr="00C24991" w:rsidRDefault="00C24991" w:rsidP="00C24991">
            <w:pPr>
              <w:pStyle w:val="ListParagraph"/>
              <w:numPr>
                <w:ilvl w:val="0"/>
                <w:numId w:val="41"/>
              </w:numPr>
              <w:ind w:left="317" w:hanging="283"/>
              <w:rPr>
                <w:rFonts w:ascii="Arial" w:hAnsi="Arial" w:cs="Arial"/>
                <w:bCs/>
                <w:sz w:val="20"/>
                <w:szCs w:val="20"/>
              </w:rPr>
            </w:pPr>
            <w:r w:rsidRPr="00C24991">
              <w:rPr>
                <w:rFonts w:ascii="Arial" w:hAnsi="Arial" w:cs="Arial"/>
                <w:bCs/>
                <w:sz w:val="20"/>
                <w:szCs w:val="20"/>
              </w:rPr>
              <w:t>study quality;</w:t>
            </w:r>
          </w:p>
          <w:p w:rsidR="00C24991" w:rsidRPr="00C24991" w:rsidRDefault="00C24991" w:rsidP="00C24991">
            <w:pPr>
              <w:pStyle w:val="ListParagraph"/>
              <w:numPr>
                <w:ilvl w:val="0"/>
                <w:numId w:val="41"/>
              </w:numPr>
              <w:ind w:left="317" w:hanging="283"/>
              <w:rPr>
                <w:rFonts w:ascii="Arial" w:hAnsi="Arial" w:cs="Arial"/>
                <w:sz w:val="20"/>
                <w:szCs w:val="20"/>
              </w:rPr>
            </w:pPr>
            <w:r w:rsidRPr="00C24991">
              <w:rPr>
                <w:rFonts w:ascii="Arial" w:hAnsi="Arial" w:cs="Arial"/>
                <w:bCs/>
                <w:sz w:val="20"/>
                <w:szCs w:val="20"/>
              </w:rPr>
              <w:t>studies with high ITN ownership or use;</w:t>
            </w:r>
          </w:p>
          <w:p w:rsidR="00C24991" w:rsidRPr="00C24991" w:rsidRDefault="00C24991" w:rsidP="00C24991">
            <w:pPr>
              <w:pStyle w:val="ListParagraph"/>
              <w:numPr>
                <w:ilvl w:val="0"/>
                <w:numId w:val="1"/>
              </w:numPr>
              <w:ind w:left="265" w:hanging="265"/>
              <w:rPr>
                <w:rFonts w:ascii="Arial" w:hAnsi="Arial" w:cs="Arial"/>
                <w:sz w:val="20"/>
                <w:szCs w:val="20"/>
              </w:rPr>
            </w:pPr>
            <w:r w:rsidRPr="00C24991">
              <w:rPr>
                <w:rFonts w:ascii="Arial" w:hAnsi="Arial" w:cs="Arial"/>
                <w:bCs/>
                <w:sz w:val="20"/>
                <w:szCs w:val="20"/>
              </w:rPr>
              <w:t>equity of ITN ownership and use;</w:t>
            </w:r>
          </w:p>
          <w:p w:rsidR="00C24991" w:rsidRPr="00C24991" w:rsidRDefault="00C24991" w:rsidP="00C24991">
            <w:pPr>
              <w:pStyle w:val="ListParagraph"/>
              <w:numPr>
                <w:ilvl w:val="0"/>
                <w:numId w:val="1"/>
              </w:numPr>
              <w:ind w:left="265" w:hanging="265"/>
              <w:rPr>
                <w:rFonts w:ascii="Arial" w:hAnsi="Arial" w:cs="Arial"/>
                <w:sz w:val="20"/>
                <w:szCs w:val="20"/>
              </w:rPr>
            </w:pPr>
            <w:r w:rsidRPr="00C24991">
              <w:rPr>
                <w:rFonts w:ascii="Arial" w:hAnsi="Arial" w:cs="Arial"/>
                <w:bCs/>
                <w:sz w:val="20"/>
                <w:szCs w:val="20"/>
              </w:rPr>
              <w:t>costs; and</w:t>
            </w:r>
          </w:p>
          <w:p w:rsidR="00C24991" w:rsidRPr="00C24991" w:rsidRDefault="00C24991" w:rsidP="00C24991">
            <w:pPr>
              <w:pStyle w:val="ListParagraph"/>
              <w:numPr>
                <w:ilvl w:val="0"/>
                <w:numId w:val="1"/>
              </w:numPr>
              <w:ind w:left="265" w:hanging="265"/>
              <w:rPr>
                <w:rFonts w:ascii="Arial" w:hAnsi="Arial" w:cs="Arial"/>
                <w:sz w:val="20"/>
                <w:szCs w:val="20"/>
              </w:rPr>
            </w:pPr>
            <w:proofErr w:type="gramStart"/>
            <w:r w:rsidRPr="00C24991">
              <w:rPr>
                <w:rFonts w:ascii="Arial" w:hAnsi="Arial" w:cs="Arial"/>
                <w:bCs/>
                <w:sz w:val="20"/>
                <w:szCs w:val="20"/>
              </w:rPr>
              <w:t>evaluation</w:t>
            </w:r>
            <w:proofErr w:type="gramEnd"/>
            <w:r w:rsidRPr="00C24991">
              <w:rPr>
                <w:rFonts w:ascii="Arial" w:hAnsi="Arial" w:cs="Arial"/>
                <w:bCs/>
                <w:sz w:val="20"/>
                <w:szCs w:val="20"/>
              </w:rPr>
              <w:t xml:space="preserve"> approaches.</w:t>
            </w:r>
          </w:p>
          <w:p w:rsidR="00C24991" w:rsidRPr="00C24991" w:rsidRDefault="00C24991" w:rsidP="00A2579A">
            <w:pPr>
              <w:rPr>
                <w:rFonts w:ascii="Arial" w:hAnsi="Arial" w:cs="Arial"/>
                <w:sz w:val="20"/>
                <w:szCs w:val="20"/>
              </w:rPr>
            </w:pPr>
          </w:p>
          <w:p w:rsidR="00C24991" w:rsidRPr="00C24991" w:rsidRDefault="00C24991" w:rsidP="00A2579A">
            <w:pPr>
              <w:rPr>
                <w:rFonts w:ascii="Arial" w:hAnsi="Arial" w:cs="Arial"/>
                <w:sz w:val="20"/>
                <w:szCs w:val="20"/>
              </w:rPr>
            </w:pPr>
          </w:p>
          <w:p w:rsidR="00C24991" w:rsidRPr="00C24991" w:rsidRDefault="00C24991" w:rsidP="00A2579A">
            <w:pPr>
              <w:rPr>
                <w:rFonts w:ascii="Arial" w:hAnsi="Arial" w:cs="Arial"/>
                <w:sz w:val="20"/>
                <w:szCs w:val="20"/>
              </w:rPr>
            </w:pPr>
          </w:p>
          <w:p w:rsidR="00C24991" w:rsidRPr="00C24991" w:rsidRDefault="00C24991" w:rsidP="00A2579A">
            <w:pPr>
              <w:rPr>
                <w:rFonts w:ascii="Arial" w:hAnsi="Arial" w:cs="Arial"/>
                <w:sz w:val="20"/>
                <w:szCs w:val="20"/>
              </w:rPr>
            </w:pPr>
          </w:p>
        </w:tc>
        <w:tc>
          <w:tcPr>
            <w:tcW w:w="1559" w:type="dxa"/>
          </w:tcPr>
          <w:p w:rsidR="00C24991" w:rsidRPr="00C24991" w:rsidRDefault="00C24991" w:rsidP="00A2579A">
            <w:pPr>
              <w:rPr>
                <w:rFonts w:ascii="Arial" w:hAnsi="Arial" w:cs="Arial"/>
                <w:sz w:val="20"/>
                <w:szCs w:val="20"/>
              </w:rPr>
            </w:pPr>
            <w:r w:rsidRPr="00C24991">
              <w:rPr>
                <w:rFonts w:ascii="Arial" w:hAnsi="Arial" w:cs="Arial"/>
                <w:sz w:val="20"/>
                <w:szCs w:val="20"/>
              </w:rPr>
              <w:t xml:space="preserve">Global health: </w:t>
            </w:r>
            <w:r w:rsidRPr="00C24991">
              <w:rPr>
                <w:rFonts w:ascii="Arial" w:hAnsi="Arial" w:cs="Arial"/>
                <w:bCs/>
                <w:sz w:val="20"/>
                <w:szCs w:val="20"/>
                <w:lang w:eastAsia="en-US"/>
              </w:rPr>
              <w:t>insecticide-treated nets (ITN) for malaria</w:t>
            </w:r>
          </w:p>
        </w:tc>
        <w:tc>
          <w:tcPr>
            <w:tcW w:w="4678" w:type="dxa"/>
          </w:tcPr>
          <w:p w:rsidR="00C24991" w:rsidRPr="00C24991" w:rsidRDefault="00C24991" w:rsidP="00C24991">
            <w:pPr>
              <w:pStyle w:val="ListParagraph"/>
              <w:numPr>
                <w:ilvl w:val="0"/>
                <w:numId w:val="40"/>
              </w:numPr>
              <w:ind w:left="254" w:hanging="284"/>
              <w:rPr>
                <w:rFonts w:ascii="Arial" w:hAnsi="Arial" w:cs="Arial"/>
                <w:sz w:val="20"/>
                <w:szCs w:val="20"/>
              </w:rPr>
            </w:pPr>
            <w:r w:rsidRPr="00C24991">
              <w:rPr>
                <w:rFonts w:ascii="Arial" w:hAnsi="Arial" w:cs="Arial"/>
                <w:sz w:val="20"/>
                <w:szCs w:val="20"/>
              </w:rPr>
              <w:t xml:space="preserve">Barriers involving cost were common at the user level, whereas barriers involving stock-outs and poor logistics for ITN procurement and transport were common at the implementer level. </w:t>
            </w:r>
          </w:p>
          <w:p w:rsidR="00C24991" w:rsidRPr="00C24991" w:rsidRDefault="00C24991" w:rsidP="00C24991">
            <w:pPr>
              <w:pStyle w:val="ListParagraph"/>
              <w:numPr>
                <w:ilvl w:val="0"/>
                <w:numId w:val="40"/>
              </w:numPr>
              <w:ind w:left="254" w:hanging="284"/>
              <w:rPr>
                <w:rFonts w:ascii="Arial" w:hAnsi="Arial" w:cs="Arial"/>
                <w:sz w:val="20"/>
                <w:szCs w:val="20"/>
              </w:rPr>
            </w:pPr>
            <w:r w:rsidRPr="00C24991">
              <w:rPr>
                <w:rFonts w:ascii="Arial" w:hAnsi="Arial" w:cs="Arial"/>
                <w:sz w:val="20"/>
                <w:szCs w:val="20"/>
              </w:rPr>
              <w:t>Effective training and supervision of staff was highlighted as facilitators at the implementer level.</w:t>
            </w:r>
          </w:p>
          <w:p w:rsidR="00C24991" w:rsidRPr="00C24991" w:rsidRDefault="00C24991" w:rsidP="00C24991">
            <w:pPr>
              <w:pStyle w:val="ListParagraph"/>
              <w:numPr>
                <w:ilvl w:val="0"/>
                <w:numId w:val="40"/>
              </w:numPr>
              <w:ind w:left="254" w:hanging="284"/>
              <w:rPr>
                <w:rFonts w:ascii="Arial" w:hAnsi="Arial" w:cs="Arial"/>
                <w:sz w:val="20"/>
                <w:szCs w:val="20"/>
              </w:rPr>
            </w:pPr>
            <w:r w:rsidRPr="00C24991">
              <w:rPr>
                <w:rFonts w:ascii="Arial" w:hAnsi="Arial" w:cs="Arial"/>
                <w:sz w:val="20"/>
                <w:szCs w:val="20"/>
              </w:rPr>
              <w:t>The evaluation of large-scale health programs is a priority using a range of real world designs.</w:t>
            </w:r>
          </w:p>
        </w:tc>
      </w:tr>
      <w:tr w:rsidR="00C24991" w:rsidRPr="00C24991" w:rsidTr="00A2579A">
        <w:tc>
          <w:tcPr>
            <w:tcW w:w="1242" w:type="dxa"/>
          </w:tcPr>
          <w:p w:rsidR="00C24991" w:rsidRPr="00C24991" w:rsidRDefault="00C24991" w:rsidP="00A2579A">
            <w:pPr>
              <w:rPr>
                <w:rFonts w:ascii="Arial" w:hAnsi="Arial" w:cs="Arial"/>
                <w:sz w:val="20"/>
                <w:szCs w:val="20"/>
              </w:rPr>
            </w:pPr>
            <w:r w:rsidRPr="00C24991">
              <w:rPr>
                <w:rFonts w:ascii="Arial" w:hAnsi="Arial" w:cs="Arial"/>
                <w:sz w:val="20"/>
                <w:szCs w:val="20"/>
                <w:lang w:eastAsia="en-US"/>
              </w:rPr>
              <w:t xml:space="preserve">Winfrey et al (2011) </w:t>
            </w:r>
            <w:r w:rsidRPr="00C24991">
              <w:rPr>
                <w:rFonts w:ascii="Arial" w:hAnsi="Arial" w:cs="Arial"/>
                <w:sz w:val="20"/>
                <w:szCs w:val="20"/>
                <w:lang w:eastAsia="en-US"/>
              </w:rPr>
              <w:fldChar w:fldCharType="begin"/>
            </w:r>
            <w:r w:rsidRPr="00C24991">
              <w:rPr>
                <w:rFonts w:ascii="Arial" w:hAnsi="Arial" w:cs="Arial"/>
                <w:sz w:val="20"/>
                <w:szCs w:val="20"/>
                <w:lang w:eastAsia="en-US"/>
              </w:rPr>
              <w:instrText xml:space="preserve"> ADDIN EN.CITE &lt;EndNote&gt;&lt;Cite&gt;&lt;Author&gt;Winfrey&lt;/Author&gt;&lt;Year&gt;2011&lt;/Year&gt;&lt;RecNum&gt;228&lt;/RecNum&gt;&lt;DisplayText&gt;[32]&lt;/DisplayText&gt;&lt;record&gt;&lt;rec-number&gt;228&lt;/rec-number&gt;&lt;foreign-keys&gt;&lt;key app="EN" db-id="5z5zs2d9q5e0fbe20wrpwfswtw9xwerd9d9r" timestamp="0"&gt;228&lt;/key&gt;&lt;/foreign-keys&gt;&lt;ref-type name="Journal Article"&gt;17&lt;/ref-type&gt;&lt;contributors&gt;&lt;authors&gt;&lt;author&gt;Winfrey W,&lt;/author&gt;&lt;author&gt;McKinnon R,&lt;/author&gt;&lt;author&gt;Stover J, &lt;/author&gt;&lt;/authors&gt;&lt;/contributors&gt;&lt;titles&gt;&lt;title&gt;Methods used in the lives saved tool (LiST)&lt;/title&gt;&lt;secondary-title&gt;BMC Public Health&lt;/secondary-title&gt;&lt;/titles&gt;&lt;periodical&gt;&lt;full-title&gt;BMC Public Health&lt;/full-title&gt;&lt;/periodical&gt;&lt;pages&gt;S32&lt;/pages&gt;&lt;volume&gt;11&lt;/volume&gt;&lt;number&gt;Suppl 3&lt;/number&gt;&lt;dates&gt;&lt;year&gt;2011&lt;/year&gt;&lt;/dates&gt;&lt;publisher&gt;BioMed Central Ltd&lt;/publisher&gt;&lt;isbn&gt;1471-2458&lt;/isbn&gt;&lt;urls&gt;&lt;/urls&gt;&lt;/record&gt;&lt;/Cite&gt;&lt;/EndNote&gt;</w:instrText>
            </w:r>
            <w:r w:rsidRPr="00C24991">
              <w:rPr>
                <w:rFonts w:ascii="Arial" w:hAnsi="Arial" w:cs="Arial"/>
                <w:sz w:val="20"/>
                <w:szCs w:val="20"/>
                <w:lang w:eastAsia="en-US"/>
              </w:rPr>
              <w:fldChar w:fldCharType="separate"/>
            </w:r>
            <w:r w:rsidRPr="00C24991">
              <w:rPr>
                <w:rFonts w:ascii="Arial" w:hAnsi="Arial" w:cs="Arial"/>
                <w:noProof/>
                <w:sz w:val="20"/>
                <w:szCs w:val="20"/>
                <w:lang w:eastAsia="en-US"/>
              </w:rPr>
              <w:t>[</w:t>
            </w:r>
            <w:hyperlink w:anchor="_ENREF_32" w:tooltip="Winfrey W, 2011 #228" w:history="1">
              <w:r w:rsidRPr="00C24991">
                <w:rPr>
                  <w:rFonts w:ascii="Arial" w:hAnsi="Arial" w:cs="Arial"/>
                  <w:noProof/>
                  <w:sz w:val="20"/>
                  <w:szCs w:val="20"/>
                  <w:lang w:eastAsia="en-US"/>
                </w:rPr>
                <w:t>32</w:t>
              </w:r>
            </w:hyperlink>
            <w:r w:rsidRPr="00C24991">
              <w:rPr>
                <w:rFonts w:ascii="Arial" w:hAnsi="Arial" w:cs="Arial"/>
                <w:noProof/>
                <w:sz w:val="20"/>
                <w:szCs w:val="20"/>
                <w:lang w:eastAsia="en-US"/>
              </w:rPr>
              <w:t>]</w:t>
            </w:r>
            <w:r w:rsidRPr="00C24991">
              <w:rPr>
                <w:rFonts w:ascii="Arial" w:hAnsi="Arial" w:cs="Arial"/>
                <w:sz w:val="20"/>
                <w:szCs w:val="20"/>
                <w:lang w:eastAsia="en-US"/>
              </w:rPr>
              <w:fldChar w:fldCharType="end"/>
            </w:r>
            <w:r w:rsidRPr="00C24991">
              <w:rPr>
                <w:rFonts w:ascii="Arial" w:hAnsi="Arial" w:cs="Arial"/>
                <w:sz w:val="20"/>
                <w:szCs w:val="20"/>
                <w:lang w:eastAsia="en-US"/>
              </w:rPr>
              <w:t xml:space="preserve"> </w:t>
            </w:r>
          </w:p>
        </w:tc>
        <w:tc>
          <w:tcPr>
            <w:tcW w:w="1560" w:type="dxa"/>
          </w:tcPr>
          <w:p w:rsidR="00C24991" w:rsidRPr="00C24991" w:rsidRDefault="00C24991" w:rsidP="00A2579A">
            <w:pPr>
              <w:rPr>
                <w:rFonts w:ascii="Arial" w:eastAsia="Arial Unicode MS" w:hAnsi="Arial" w:cs="Arial"/>
                <w:sz w:val="20"/>
                <w:szCs w:val="20"/>
              </w:rPr>
            </w:pPr>
            <w:r w:rsidRPr="00C24991">
              <w:rPr>
                <w:rFonts w:ascii="Arial" w:eastAsia="Arial Unicode MS" w:hAnsi="Arial" w:cs="Arial"/>
                <w:sz w:val="20"/>
                <w:szCs w:val="20"/>
              </w:rPr>
              <w:t xml:space="preserve">Mortality Modelling </w:t>
            </w:r>
          </w:p>
        </w:tc>
        <w:tc>
          <w:tcPr>
            <w:tcW w:w="1842" w:type="dxa"/>
          </w:tcPr>
          <w:p w:rsidR="00C24991" w:rsidRPr="00C24991" w:rsidRDefault="00C24991" w:rsidP="00A2579A">
            <w:pPr>
              <w:autoSpaceDE w:val="0"/>
              <w:autoSpaceDN w:val="0"/>
              <w:adjustRightInd w:val="0"/>
              <w:rPr>
                <w:rFonts w:ascii="Arial" w:eastAsia="Arial Unicode MS" w:hAnsi="Arial" w:cs="Arial"/>
                <w:sz w:val="20"/>
                <w:szCs w:val="20"/>
                <w:lang w:eastAsia="en-US"/>
              </w:rPr>
            </w:pPr>
            <w:r w:rsidRPr="00C24991">
              <w:rPr>
                <w:rFonts w:ascii="Arial" w:eastAsia="Arial Unicode MS" w:hAnsi="Arial" w:cs="Arial"/>
                <w:sz w:val="20"/>
                <w:szCs w:val="20"/>
              </w:rPr>
              <w:t xml:space="preserve">Modelling tools to estimate </w:t>
            </w:r>
            <w:r w:rsidRPr="00C24991">
              <w:rPr>
                <w:rFonts w:ascii="Arial" w:eastAsia="Arial Unicode MS" w:hAnsi="Arial" w:cs="Arial"/>
                <w:sz w:val="20"/>
                <w:szCs w:val="20"/>
                <w:lang w:eastAsia="en-US"/>
              </w:rPr>
              <w:t>the</w:t>
            </w:r>
          </w:p>
          <w:p w:rsidR="00C24991" w:rsidRPr="00C24991" w:rsidRDefault="00C24991" w:rsidP="00A2579A">
            <w:pPr>
              <w:rPr>
                <w:rFonts w:ascii="Arial" w:eastAsia="Arial Unicode MS" w:hAnsi="Arial" w:cs="Arial"/>
                <w:sz w:val="20"/>
                <w:szCs w:val="20"/>
              </w:rPr>
            </w:pPr>
            <w:proofErr w:type="gramStart"/>
            <w:r w:rsidRPr="00C24991">
              <w:rPr>
                <w:rFonts w:ascii="Arial" w:eastAsia="Arial Unicode MS" w:hAnsi="Arial" w:cs="Arial"/>
                <w:sz w:val="20"/>
                <w:szCs w:val="20"/>
                <w:lang w:eastAsia="en-US"/>
              </w:rPr>
              <w:t>mortality</w:t>
            </w:r>
            <w:proofErr w:type="gramEnd"/>
            <w:r w:rsidRPr="00C24991">
              <w:rPr>
                <w:rFonts w:ascii="Arial" w:eastAsia="Arial Unicode MS" w:hAnsi="Arial" w:cs="Arial"/>
                <w:sz w:val="20"/>
                <w:szCs w:val="20"/>
                <w:lang w:eastAsia="en-US"/>
              </w:rPr>
              <w:t xml:space="preserve"> and stillbirth impact of scaling up proven maternal and child health </w:t>
            </w:r>
            <w:r w:rsidRPr="00C24991">
              <w:rPr>
                <w:rFonts w:ascii="Arial" w:eastAsia="Arial Unicode MS" w:hAnsi="Arial" w:cs="Arial"/>
                <w:sz w:val="20"/>
                <w:szCs w:val="20"/>
                <w:lang w:eastAsia="en-US"/>
              </w:rPr>
              <w:lastRenderedPageBreak/>
              <w:t>interventions.</w:t>
            </w:r>
          </w:p>
        </w:tc>
        <w:tc>
          <w:tcPr>
            <w:tcW w:w="3686" w:type="dxa"/>
          </w:tcPr>
          <w:p w:rsidR="00C24991" w:rsidRPr="00C24991" w:rsidRDefault="00C24991" w:rsidP="00A2579A">
            <w:pPr>
              <w:autoSpaceDE w:val="0"/>
              <w:autoSpaceDN w:val="0"/>
              <w:adjustRightInd w:val="0"/>
              <w:rPr>
                <w:rFonts w:ascii="Arial" w:eastAsia="Arial Unicode MS" w:hAnsi="Arial" w:cs="Arial"/>
                <w:sz w:val="20"/>
                <w:szCs w:val="20"/>
                <w:lang w:eastAsia="en-US"/>
              </w:rPr>
            </w:pPr>
            <w:r w:rsidRPr="00C24991">
              <w:rPr>
                <w:rFonts w:ascii="Arial" w:eastAsia="Arial Unicode MS" w:hAnsi="Arial" w:cs="Arial"/>
                <w:sz w:val="20"/>
                <w:szCs w:val="20"/>
                <w:lang w:eastAsia="en-US"/>
              </w:rPr>
              <w:lastRenderedPageBreak/>
              <w:t>Lives Saved Tool, (</w:t>
            </w:r>
            <w:proofErr w:type="spellStart"/>
            <w:r w:rsidRPr="00C24991">
              <w:rPr>
                <w:rFonts w:ascii="Arial" w:eastAsia="Arial Unicode MS" w:hAnsi="Arial" w:cs="Arial"/>
                <w:sz w:val="20"/>
                <w:szCs w:val="20"/>
                <w:lang w:eastAsia="en-US"/>
              </w:rPr>
              <w:t>LiST</w:t>
            </w:r>
            <w:proofErr w:type="spellEnd"/>
            <w:r w:rsidRPr="00C24991">
              <w:rPr>
                <w:rFonts w:ascii="Arial" w:eastAsia="Arial Unicode MS" w:hAnsi="Arial" w:cs="Arial"/>
                <w:sz w:val="20"/>
                <w:szCs w:val="20"/>
                <w:lang w:eastAsia="en-US"/>
              </w:rPr>
              <w:t>) calculates the effects of health interventions on neonatal, child and maternal mortality. Key outputs</w:t>
            </w:r>
            <w:r w:rsidR="00E36CD3">
              <w:rPr>
                <w:rFonts w:ascii="Arial" w:eastAsia="Arial Unicode MS" w:hAnsi="Arial" w:cs="Arial"/>
                <w:sz w:val="20"/>
                <w:szCs w:val="20"/>
                <w:lang w:eastAsia="en-US"/>
              </w:rPr>
              <w:t xml:space="preserve"> </w:t>
            </w:r>
            <w:r w:rsidRPr="00C24991">
              <w:rPr>
                <w:rFonts w:ascii="Arial" w:eastAsia="Arial Unicode MS" w:hAnsi="Arial" w:cs="Arial"/>
                <w:sz w:val="20"/>
                <w:szCs w:val="20"/>
                <w:lang w:eastAsia="en-US"/>
              </w:rPr>
              <w:t>for each type of mortality are:</w:t>
            </w:r>
          </w:p>
          <w:p w:rsidR="00C24991" w:rsidRPr="00C24991" w:rsidRDefault="00C24991" w:rsidP="00C24991">
            <w:pPr>
              <w:pStyle w:val="ListParagraph"/>
              <w:numPr>
                <w:ilvl w:val="0"/>
                <w:numId w:val="47"/>
              </w:numPr>
              <w:autoSpaceDE w:val="0"/>
              <w:autoSpaceDN w:val="0"/>
              <w:adjustRightInd w:val="0"/>
              <w:ind w:left="459" w:hanging="283"/>
              <w:rPr>
                <w:rFonts w:ascii="Arial" w:eastAsia="Arial Unicode MS" w:hAnsi="Arial" w:cs="Arial"/>
                <w:sz w:val="20"/>
                <w:szCs w:val="20"/>
              </w:rPr>
            </w:pPr>
            <w:r w:rsidRPr="00C24991">
              <w:rPr>
                <w:rFonts w:ascii="Arial" w:eastAsia="Arial Unicode MS" w:hAnsi="Arial" w:cs="Arial"/>
                <w:sz w:val="20"/>
                <w:szCs w:val="20"/>
              </w:rPr>
              <w:t>the mortality rates (neonatal, infant, under five and</w:t>
            </w:r>
          </w:p>
          <w:p w:rsidR="00C24991" w:rsidRPr="00C24991" w:rsidRDefault="00C24991" w:rsidP="00A2579A">
            <w:pPr>
              <w:pStyle w:val="ListParagraph"/>
              <w:autoSpaceDE w:val="0"/>
              <w:autoSpaceDN w:val="0"/>
              <w:adjustRightInd w:val="0"/>
              <w:ind w:left="459"/>
              <w:rPr>
                <w:rFonts w:ascii="Arial" w:eastAsia="Arial Unicode MS" w:hAnsi="Arial" w:cs="Arial"/>
                <w:sz w:val="20"/>
                <w:szCs w:val="20"/>
              </w:rPr>
            </w:pPr>
            <w:r w:rsidRPr="00C24991">
              <w:rPr>
                <w:rFonts w:ascii="Arial" w:eastAsia="Arial Unicode MS" w:hAnsi="Arial" w:cs="Arial"/>
                <w:sz w:val="20"/>
                <w:szCs w:val="20"/>
              </w:rPr>
              <w:lastRenderedPageBreak/>
              <w:t xml:space="preserve">maternal mortality rates); </w:t>
            </w:r>
          </w:p>
          <w:p w:rsidR="00C24991" w:rsidRPr="00C24991" w:rsidRDefault="00C24991" w:rsidP="00C24991">
            <w:pPr>
              <w:pStyle w:val="ListParagraph"/>
              <w:numPr>
                <w:ilvl w:val="0"/>
                <w:numId w:val="47"/>
              </w:numPr>
              <w:autoSpaceDE w:val="0"/>
              <w:autoSpaceDN w:val="0"/>
              <w:adjustRightInd w:val="0"/>
              <w:ind w:left="459" w:hanging="283"/>
              <w:rPr>
                <w:rFonts w:ascii="Arial" w:eastAsia="Arial Unicode MS" w:hAnsi="Arial" w:cs="Arial"/>
                <w:sz w:val="20"/>
                <w:szCs w:val="20"/>
              </w:rPr>
            </w:pPr>
            <w:r w:rsidRPr="00C24991">
              <w:rPr>
                <w:rFonts w:ascii="Arial" w:eastAsia="Arial Unicode MS" w:hAnsi="Arial" w:cs="Arial"/>
                <w:sz w:val="20"/>
                <w:szCs w:val="20"/>
              </w:rPr>
              <w:t>number of deaths;</w:t>
            </w:r>
          </w:p>
          <w:p w:rsidR="00C24991" w:rsidRPr="00C24991" w:rsidRDefault="00C24991" w:rsidP="00C24991">
            <w:pPr>
              <w:pStyle w:val="ListParagraph"/>
              <w:numPr>
                <w:ilvl w:val="0"/>
                <w:numId w:val="47"/>
              </w:numPr>
              <w:autoSpaceDE w:val="0"/>
              <w:autoSpaceDN w:val="0"/>
              <w:adjustRightInd w:val="0"/>
              <w:ind w:left="459" w:hanging="283"/>
              <w:rPr>
                <w:rFonts w:ascii="Arial" w:eastAsia="Arial Unicode MS" w:hAnsi="Arial" w:cs="Arial"/>
                <w:sz w:val="20"/>
                <w:szCs w:val="20"/>
              </w:rPr>
            </w:pPr>
            <w:r w:rsidRPr="00C24991">
              <w:rPr>
                <w:rFonts w:ascii="Arial" w:eastAsia="Arial Unicode MS" w:hAnsi="Arial" w:cs="Arial"/>
                <w:sz w:val="20"/>
                <w:szCs w:val="20"/>
              </w:rPr>
              <w:t>number of still births;</w:t>
            </w:r>
          </w:p>
          <w:p w:rsidR="00C24991" w:rsidRPr="00C24991" w:rsidRDefault="00C24991" w:rsidP="00C24991">
            <w:pPr>
              <w:pStyle w:val="ListParagraph"/>
              <w:numPr>
                <w:ilvl w:val="0"/>
                <w:numId w:val="47"/>
              </w:numPr>
              <w:autoSpaceDE w:val="0"/>
              <w:autoSpaceDN w:val="0"/>
              <w:adjustRightInd w:val="0"/>
              <w:ind w:left="459" w:hanging="283"/>
              <w:rPr>
                <w:rFonts w:ascii="Arial" w:eastAsia="Arial Unicode MS" w:hAnsi="Arial" w:cs="Arial"/>
                <w:sz w:val="20"/>
                <w:szCs w:val="20"/>
              </w:rPr>
            </w:pPr>
            <w:r w:rsidRPr="00C24991">
              <w:rPr>
                <w:rFonts w:ascii="Arial" w:eastAsia="Arial Unicode MS" w:hAnsi="Arial" w:cs="Arial"/>
                <w:sz w:val="20"/>
                <w:szCs w:val="20"/>
              </w:rPr>
              <w:t>number of deaths by cause;</w:t>
            </w:r>
          </w:p>
          <w:p w:rsidR="00C24991" w:rsidRPr="00C24991" w:rsidRDefault="00C24991" w:rsidP="00C24991">
            <w:pPr>
              <w:pStyle w:val="ListParagraph"/>
              <w:numPr>
                <w:ilvl w:val="0"/>
                <w:numId w:val="47"/>
              </w:numPr>
              <w:autoSpaceDE w:val="0"/>
              <w:autoSpaceDN w:val="0"/>
              <w:adjustRightInd w:val="0"/>
              <w:ind w:left="459" w:hanging="283"/>
              <w:rPr>
                <w:rFonts w:ascii="Arial" w:eastAsia="Arial Unicode MS" w:hAnsi="Arial" w:cs="Arial"/>
                <w:sz w:val="20"/>
                <w:szCs w:val="20"/>
              </w:rPr>
            </w:pPr>
            <w:r w:rsidRPr="00C24991">
              <w:rPr>
                <w:rFonts w:ascii="Arial" w:eastAsia="Arial Unicode MS" w:hAnsi="Arial" w:cs="Arial"/>
                <w:sz w:val="20"/>
                <w:szCs w:val="20"/>
              </w:rPr>
              <w:t>number of deaths averted;</w:t>
            </w:r>
          </w:p>
          <w:p w:rsidR="00C24991" w:rsidRPr="00C24991" w:rsidRDefault="00C24991" w:rsidP="00C24991">
            <w:pPr>
              <w:pStyle w:val="ListParagraph"/>
              <w:numPr>
                <w:ilvl w:val="0"/>
                <w:numId w:val="47"/>
              </w:numPr>
              <w:autoSpaceDE w:val="0"/>
              <w:autoSpaceDN w:val="0"/>
              <w:adjustRightInd w:val="0"/>
              <w:ind w:left="459" w:hanging="283"/>
              <w:rPr>
                <w:rFonts w:ascii="Arial" w:eastAsia="Arial Unicode MS" w:hAnsi="Arial" w:cs="Arial"/>
                <w:sz w:val="20"/>
                <w:szCs w:val="20"/>
              </w:rPr>
            </w:pPr>
            <w:r w:rsidRPr="00C24991">
              <w:rPr>
                <w:rFonts w:ascii="Arial" w:eastAsia="Arial Unicode MS" w:hAnsi="Arial" w:cs="Arial"/>
                <w:sz w:val="20"/>
                <w:szCs w:val="20"/>
              </w:rPr>
              <w:t>number of deaths averted by cause; and</w:t>
            </w:r>
          </w:p>
          <w:p w:rsidR="00C24991" w:rsidRPr="00C24991" w:rsidRDefault="00C24991" w:rsidP="00C24991">
            <w:pPr>
              <w:pStyle w:val="ListParagraph"/>
              <w:numPr>
                <w:ilvl w:val="0"/>
                <w:numId w:val="47"/>
              </w:numPr>
              <w:autoSpaceDE w:val="0"/>
              <w:autoSpaceDN w:val="0"/>
              <w:adjustRightInd w:val="0"/>
              <w:ind w:left="459" w:hanging="283"/>
              <w:rPr>
                <w:rFonts w:ascii="Arial" w:eastAsia="Arial Unicode MS" w:hAnsi="Arial" w:cs="Arial"/>
                <w:sz w:val="20"/>
                <w:szCs w:val="20"/>
              </w:rPr>
            </w:pPr>
            <w:proofErr w:type="gramStart"/>
            <w:r w:rsidRPr="00C24991">
              <w:rPr>
                <w:rFonts w:ascii="Arial" w:eastAsia="Arial Unicode MS" w:hAnsi="Arial" w:cs="Arial"/>
                <w:sz w:val="20"/>
                <w:szCs w:val="20"/>
              </w:rPr>
              <w:t>number</w:t>
            </w:r>
            <w:proofErr w:type="gramEnd"/>
            <w:r w:rsidRPr="00C24991">
              <w:rPr>
                <w:rFonts w:ascii="Arial" w:eastAsia="Arial Unicode MS" w:hAnsi="Arial" w:cs="Arial"/>
                <w:sz w:val="20"/>
                <w:szCs w:val="20"/>
              </w:rPr>
              <w:t xml:space="preserve"> of deaths averted by intervention.</w:t>
            </w:r>
          </w:p>
          <w:p w:rsidR="00C24991" w:rsidRPr="00C24991" w:rsidRDefault="00C24991" w:rsidP="00A2579A">
            <w:pPr>
              <w:autoSpaceDE w:val="0"/>
              <w:autoSpaceDN w:val="0"/>
              <w:adjustRightInd w:val="0"/>
              <w:rPr>
                <w:rFonts w:ascii="Arial" w:eastAsia="Arial Unicode MS" w:hAnsi="Arial" w:cs="Arial"/>
                <w:sz w:val="20"/>
                <w:szCs w:val="20"/>
                <w:lang w:eastAsia="en-US"/>
              </w:rPr>
            </w:pPr>
            <w:proofErr w:type="spellStart"/>
            <w:r w:rsidRPr="00C24991">
              <w:rPr>
                <w:rFonts w:ascii="Arial" w:eastAsia="Arial Unicode MS" w:hAnsi="Arial" w:cs="Arial"/>
                <w:sz w:val="20"/>
                <w:szCs w:val="20"/>
                <w:lang w:eastAsia="en-US"/>
              </w:rPr>
              <w:t>LiST</w:t>
            </w:r>
            <w:proofErr w:type="spellEnd"/>
            <w:r w:rsidRPr="00C24991">
              <w:rPr>
                <w:rFonts w:ascii="Arial" w:eastAsia="Arial Unicode MS" w:hAnsi="Arial" w:cs="Arial"/>
                <w:sz w:val="20"/>
                <w:szCs w:val="20"/>
                <w:lang w:eastAsia="en-US"/>
              </w:rPr>
              <w:t xml:space="preserve"> also provides outputs related to nutrition. All indicators are available for each year of the projection.</w:t>
            </w:r>
          </w:p>
        </w:tc>
        <w:tc>
          <w:tcPr>
            <w:tcW w:w="1559" w:type="dxa"/>
          </w:tcPr>
          <w:p w:rsidR="00C24991" w:rsidRPr="00C24991" w:rsidRDefault="00C24991" w:rsidP="00A2579A">
            <w:pPr>
              <w:rPr>
                <w:rFonts w:ascii="Arial" w:eastAsia="Arial Unicode MS" w:hAnsi="Arial" w:cs="Arial"/>
                <w:sz w:val="20"/>
                <w:szCs w:val="20"/>
              </w:rPr>
            </w:pPr>
            <w:r w:rsidRPr="00C24991">
              <w:rPr>
                <w:rFonts w:ascii="Arial" w:eastAsia="Arial Unicode MS" w:hAnsi="Arial" w:cs="Arial"/>
                <w:sz w:val="20"/>
                <w:szCs w:val="20"/>
              </w:rPr>
              <w:lastRenderedPageBreak/>
              <w:t xml:space="preserve">Global health: </w:t>
            </w:r>
            <w:r w:rsidRPr="00C24991">
              <w:rPr>
                <w:rFonts w:ascii="Arial" w:eastAsia="Arial Unicode MS" w:hAnsi="Arial" w:cs="Arial"/>
                <w:sz w:val="20"/>
                <w:szCs w:val="20"/>
                <w:lang w:eastAsia="en-US"/>
              </w:rPr>
              <w:t xml:space="preserve">maternal and child health </w:t>
            </w:r>
          </w:p>
        </w:tc>
        <w:tc>
          <w:tcPr>
            <w:tcW w:w="4678" w:type="dxa"/>
          </w:tcPr>
          <w:p w:rsidR="00C24991" w:rsidRPr="00C24991" w:rsidRDefault="00C24991" w:rsidP="00C24991">
            <w:pPr>
              <w:pStyle w:val="ListParagraph"/>
              <w:numPr>
                <w:ilvl w:val="0"/>
                <w:numId w:val="46"/>
              </w:numPr>
              <w:autoSpaceDE w:val="0"/>
              <w:autoSpaceDN w:val="0"/>
              <w:adjustRightInd w:val="0"/>
              <w:ind w:left="254" w:hanging="254"/>
              <w:rPr>
                <w:rFonts w:ascii="Arial" w:hAnsi="Arial" w:cs="Arial"/>
                <w:sz w:val="20"/>
                <w:szCs w:val="20"/>
              </w:rPr>
            </w:pPr>
          </w:p>
          <w:p w:rsidR="00C24991" w:rsidRPr="00C24991" w:rsidRDefault="00C24991" w:rsidP="00C24991">
            <w:pPr>
              <w:pStyle w:val="ListParagraph"/>
              <w:numPr>
                <w:ilvl w:val="0"/>
                <w:numId w:val="46"/>
              </w:numPr>
              <w:autoSpaceDE w:val="0"/>
              <w:autoSpaceDN w:val="0"/>
              <w:adjustRightInd w:val="0"/>
              <w:ind w:left="254" w:hanging="254"/>
              <w:rPr>
                <w:rFonts w:ascii="Arial" w:hAnsi="Arial" w:cs="Arial"/>
                <w:sz w:val="20"/>
                <w:szCs w:val="20"/>
              </w:rPr>
            </w:pPr>
            <w:proofErr w:type="spellStart"/>
            <w:r w:rsidRPr="00C24991">
              <w:rPr>
                <w:rFonts w:ascii="Arial" w:hAnsi="Arial" w:cs="Arial"/>
                <w:sz w:val="20"/>
                <w:szCs w:val="20"/>
              </w:rPr>
              <w:t>LiST</w:t>
            </w:r>
            <w:proofErr w:type="spellEnd"/>
            <w:r w:rsidRPr="00C24991">
              <w:rPr>
                <w:rFonts w:ascii="Arial" w:hAnsi="Arial" w:cs="Arial"/>
                <w:sz w:val="20"/>
                <w:szCs w:val="20"/>
              </w:rPr>
              <w:t xml:space="preserve"> provides planners and policy makers with a tool to examine the potential impact of alternative strategies to reduce mortality. </w:t>
            </w:r>
          </w:p>
          <w:p w:rsidR="00C24991" w:rsidRPr="00C24991" w:rsidRDefault="00C24991" w:rsidP="00C24991">
            <w:pPr>
              <w:pStyle w:val="ListParagraph"/>
              <w:numPr>
                <w:ilvl w:val="0"/>
                <w:numId w:val="46"/>
              </w:numPr>
              <w:autoSpaceDE w:val="0"/>
              <w:autoSpaceDN w:val="0"/>
              <w:adjustRightInd w:val="0"/>
              <w:ind w:left="254" w:hanging="254"/>
              <w:rPr>
                <w:rFonts w:ascii="Arial" w:hAnsi="Arial" w:cs="Arial"/>
                <w:sz w:val="20"/>
                <w:szCs w:val="20"/>
              </w:rPr>
            </w:pPr>
            <w:r w:rsidRPr="00C24991">
              <w:rPr>
                <w:rFonts w:ascii="Arial" w:hAnsi="Arial" w:cs="Arial"/>
                <w:sz w:val="20"/>
                <w:szCs w:val="20"/>
              </w:rPr>
              <w:t xml:space="preserve">It is intended to support the strategic analysis of alternatives by displaying the cause of death </w:t>
            </w:r>
            <w:r w:rsidRPr="00C24991">
              <w:rPr>
                <w:rFonts w:ascii="Arial" w:hAnsi="Arial" w:cs="Arial"/>
                <w:sz w:val="20"/>
                <w:szCs w:val="20"/>
              </w:rPr>
              <w:lastRenderedPageBreak/>
              <w:t>structure and producing output showing not only the total impact on mortality but also the contribution of each intervention to the total impact.</w:t>
            </w:r>
          </w:p>
        </w:tc>
      </w:tr>
      <w:tr w:rsidR="00C24991" w:rsidRPr="00C24991" w:rsidTr="00A2579A">
        <w:tc>
          <w:tcPr>
            <w:tcW w:w="1242" w:type="dxa"/>
          </w:tcPr>
          <w:p w:rsidR="00C24991" w:rsidRPr="00C24991" w:rsidRDefault="00C24991" w:rsidP="00A2579A">
            <w:pPr>
              <w:rPr>
                <w:rFonts w:ascii="Arial" w:hAnsi="Arial" w:cs="Arial"/>
                <w:sz w:val="20"/>
                <w:szCs w:val="20"/>
              </w:rPr>
            </w:pPr>
            <w:proofErr w:type="spellStart"/>
            <w:r w:rsidRPr="00C24991">
              <w:rPr>
                <w:rFonts w:ascii="Arial" w:hAnsi="Arial" w:cs="Arial"/>
                <w:sz w:val="20"/>
                <w:szCs w:val="20"/>
              </w:rPr>
              <w:lastRenderedPageBreak/>
              <w:t>Yamey</w:t>
            </w:r>
            <w:proofErr w:type="spellEnd"/>
            <w:r w:rsidRPr="00C24991">
              <w:rPr>
                <w:rFonts w:ascii="Arial" w:hAnsi="Arial" w:cs="Arial"/>
                <w:sz w:val="20"/>
                <w:szCs w:val="20"/>
              </w:rPr>
              <w:t xml:space="preserve"> 2011 </w:t>
            </w:r>
            <w:r w:rsidRPr="00C24991">
              <w:rPr>
                <w:rFonts w:ascii="Arial" w:hAnsi="Arial" w:cs="Arial"/>
                <w:sz w:val="20"/>
                <w:szCs w:val="20"/>
              </w:rPr>
              <w:fldChar w:fldCharType="begin"/>
            </w:r>
            <w:r w:rsidRPr="00C24991">
              <w:rPr>
                <w:rFonts w:ascii="Arial" w:hAnsi="Arial" w:cs="Arial"/>
                <w:sz w:val="20"/>
                <w:szCs w:val="20"/>
              </w:rPr>
              <w:instrText xml:space="preserve"> ADDIN EN.CITE &lt;EndNote&gt;&lt;Cite&gt;&lt;Author&gt;Yamey&lt;/Author&gt;&lt;Year&gt;2011&lt;/Year&gt;&lt;RecNum&gt;196&lt;/RecNum&gt;&lt;DisplayText&gt;[9]&lt;/DisplayText&gt;&lt;record&gt;&lt;rec-number&gt;196&lt;/rec-number&gt;&lt;foreign-keys&gt;&lt;key app="EN" db-id="5z5zs2d9q5e0fbe20wrpwfswtw9xwerd9d9r" timestamp="0"&gt;196&lt;/key&gt;&lt;/foreign-keys&gt;&lt;ref-type name="Journal Article"&gt;17&lt;/ref-type&gt;&lt;contributors&gt;&lt;authors&gt;&lt;author&gt;Yamey G, &lt;/author&gt;&lt;/authors&gt;&lt;/contributors&gt;&lt;titles&gt;&lt;title&gt;Scaling up global health interventions: a proposed framework for success&lt;/title&gt;&lt;secondary-title&gt;PLoS medicine&lt;/secondary-title&gt;&lt;/titles&gt;&lt;periodical&gt;&lt;full-title&gt;PLoS medicine&lt;/full-title&gt;&lt;/periodical&gt;&lt;pages&gt;e1001049&lt;/pages&gt;&lt;volume&gt;8&lt;/volume&gt;&lt;number&gt;6&lt;/number&gt;&lt;dates&gt;&lt;year&gt;2011&lt;/year&gt;&lt;/dates&gt;&lt;publisher&gt;Public Library of Science&lt;/publisher&gt;&lt;isbn&gt;1549-1676&lt;/isbn&gt;&lt;urls&gt;&lt;/urls&gt;&lt;/record&gt;&lt;/Cite&gt;&lt;/EndNote&gt;</w:instrText>
            </w:r>
            <w:r w:rsidRPr="00C24991">
              <w:rPr>
                <w:rFonts w:ascii="Arial" w:hAnsi="Arial" w:cs="Arial"/>
                <w:sz w:val="20"/>
                <w:szCs w:val="20"/>
              </w:rPr>
              <w:fldChar w:fldCharType="separate"/>
            </w:r>
            <w:r w:rsidRPr="00C24991">
              <w:rPr>
                <w:rFonts w:ascii="Arial" w:hAnsi="Arial" w:cs="Arial"/>
                <w:noProof/>
                <w:sz w:val="20"/>
                <w:szCs w:val="20"/>
              </w:rPr>
              <w:t>[</w:t>
            </w:r>
            <w:hyperlink w:anchor="_ENREF_9" w:tooltip="Yamey G, 2011 #196" w:history="1">
              <w:r w:rsidRPr="00C24991">
                <w:rPr>
                  <w:rFonts w:ascii="Arial" w:hAnsi="Arial" w:cs="Arial"/>
                  <w:noProof/>
                  <w:sz w:val="20"/>
                  <w:szCs w:val="20"/>
                </w:rPr>
                <w:t>9</w:t>
              </w:r>
            </w:hyperlink>
            <w:r w:rsidRPr="00C24991">
              <w:rPr>
                <w:rFonts w:ascii="Arial" w:hAnsi="Arial" w:cs="Arial"/>
                <w:noProof/>
                <w:sz w:val="20"/>
                <w:szCs w:val="20"/>
              </w:rPr>
              <w:t>]</w:t>
            </w:r>
            <w:r w:rsidRPr="00C24991">
              <w:rPr>
                <w:rFonts w:ascii="Arial" w:hAnsi="Arial" w:cs="Arial"/>
                <w:sz w:val="20"/>
                <w:szCs w:val="20"/>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Commentary: literature review &amp; interviews</w:t>
            </w:r>
          </w:p>
        </w:tc>
        <w:tc>
          <w:tcPr>
            <w:tcW w:w="1842" w:type="dxa"/>
          </w:tcPr>
          <w:p w:rsidR="00C24991" w:rsidRPr="00C24991" w:rsidRDefault="00C24991" w:rsidP="00A2579A">
            <w:pPr>
              <w:rPr>
                <w:rFonts w:ascii="Arial" w:hAnsi="Arial" w:cs="Arial"/>
                <w:sz w:val="20"/>
                <w:szCs w:val="20"/>
              </w:rPr>
            </w:pPr>
            <w:r w:rsidRPr="00C24991">
              <w:rPr>
                <w:rFonts w:ascii="Arial" w:hAnsi="Arial" w:cs="Arial"/>
                <w:sz w:val="20"/>
                <w:szCs w:val="20"/>
              </w:rPr>
              <w:t>Proposed framework for scaling up Diffusion of Innovation</w:t>
            </w:r>
          </w:p>
        </w:tc>
        <w:tc>
          <w:tcPr>
            <w:tcW w:w="3686" w:type="dxa"/>
          </w:tcPr>
          <w:p w:rsidR="00C24991" w:rsidRPr="00C24991" w:rsidRDefault="00E36CD3" w:rsidP="00A2579A">
            <w:pPr>
              <w:autoSpaceDE w:val="0"/>
              <w:autoSpaceDN w:val="0"/>
              <w:adjustRightInd w:val="0"/>
              <w:rPr>
                <w:rFonts w:ascii="Arial" w:hAnsi="Arial" w:cs="Arial"/>
                <w:sz w:val="20"/>
                <w:szCs w:val="20"/>
                <w:lang w:eastAsia="en-US"/>
              </w:rPr>
            </w:pPr>
            <w:r>
              <w:rPr>
                <w:rFonts w:ascii="Arial" w:hAnsi="Arial" w:cs="Arial"/>
                <w:sz w:val="20"/>
                <w:szCs w:val="20"/>
                <w:lang w:eastAsia="en-US"/>
              </w:rPr>
              <w:t>Describes 6 components:</w:t>
            </w:r>
          </w:p>
          <w:p w:rsidR="00C24991" w:rsidRPr="00C24991" w:rsidRDefault="00C24991" w:rsidP="00C24991">
            <w:pPr>
              <w:pStyle w:val="ListParagraph"/>
              <w:numPr>
                <w:ilvl w:val="0"/>
                <w:numId w:val="1"/>
              </w:numPr>
              <w:ind w:left="265" w:hanging="265"/>
              <w:rPr>
                <w:rFonts w:ascii="Arial" w:hAnsi="Arial" w:cs="Arial"/>
                <w:sz w:val="20"/>
                <w:szCs w:val="20"/>
              </w:rPr>
            </w:pPr>
            <w:r w:rsidRPr="00C24991">
              <w:rPr>
                <w:rFonts w:ascii="Arial" w:hAnsi="Arial" w:cs="Arial"/>
                <w:sz w:val="20"/>
                <w:szCs w:val="20"/>
              </w:rPr>
              <w:t>attributes of the specific tool or service being scaled up;</w:t>
            </w:r>
          </w:p>
          <w:p w:rsidR="00C24991" w:rsidRPr="00C24991" w:rsidRDefault="00C24991" w:rsidP="00C24991">
            <w:pPr>
              <w:pStyle w:val="ListParagraph"/>
              <w:numPr>
                <w:ilvl w:val="0"/>
                <w:numId w:val="1"/>
              </w:numPr>
              <w:ind w:left="265" w:hanging="265"/>
              <w:rPr>
                <w:rFonts w:ascii="Arial" w:hAnsi="Arial" w:cs="Arial"/>
                <w:sz w:val="20"/>
                <w:szCs w:val="20"/>
              </w:rPr>
            </w:pPr>
            <w:r w:rsidRPr="00C24991">
              <w:rPr>
                <w:rFonts w:ascii="Arial" w:hAnsi="Arial" w:cs="Arial"/>
                <w:sz w:val="20"/>
                <w:szCs w:val="20"/>
              </w:rPr>
              <w:t>attributes of the implementers;</w:t>
            </w:r>
          </w:p>
          <w:p w:rsidR="00C24991" w:rsidRPr="00C24991" w:rsidRDefault="00C24991" w:rsidP="00C24991">
            <w:pPr>
              <w:pStyle w:val="ListParagraph"/>
              <w:numPr>
                <w:ilvl w:val="0"/>
                <w:numId w:val="1"/>
              </w:numPr>
              <w:ind w:left="265" w:hanging="265"/>
              <w:rPr>
                <w:rFonts w:ascii="Arial" w:hAnsi="Arial" w:cs="Arial"/>
                <w:sz w:val="20"/>
                <w:szCs w:val="20"/>
              </w:rPr>
            </w:pPr>
            <w:r w:rsidRPr="00C24991">
              <w:rPr>
                <w:rFonts w:ascii="Arial" w:hAnsi="Arial" w:cs="Arial"/>
                <w:sz w:val="20"/>
                <w:szCs w:val="20"/>
              </w:rPr>
              <w:t xml:space="preserve">chosen delivery strategy; </w:t>
            </w:r>
          </w:p>
          <w:p w:rsidR="00C24991" w:rsidRPr="00C24991" w:rsidRDefault="00C24991" w:rsidP="00C24991">
            <w:pPr>
              <w:pStyle w:val="ListParagraph"/>
              <w:numPr>
                <w:ilvl w:val="0"/>
                <w:numId w:val="1"/>
              </w:numPr>
              <w:ind w:left="265" w:hanging="265"/>
              <w:rPr>
                <w:rFonts w:ascii="Arial" w:hAnsi="Arial" w:cs="Arial"/>
                <w:sz w:val="20"/>
                <w:szCs w:val="20"/>
              </w:rPr>
            </w:pPr>
            <w:r w:rsidRPr="00C24991">
              <w:rPr>
                <w:rFonts w:ascii="Arial" w:hAnsi="Arial" w:cs="Arial"/>
                <w:sz w:val="20"/>
                <w:szCs w:val="20"/>
              </w:rPr>
              <w:t>attributes of the ‘‘adopting’’ community;</w:t>
            </w:r>
          </w:p>
          <w:p w:rsidR="00C24991" w:rsidRPr="00C24991" w:rsidRDefault="00C24991" w:rsidP="00C24991">
            <w:pPr>
              <w:pStyle w:val="ListParagraph"/>
              <w:numPr>
                <w:ilvl w:val="0"/>
                <w:numId w:val="1"/>
              </w:numPr>
              <w:ind w:left="265" w:hanging="265"/>
              <w:rPr>
                <w:rFonts w:ascii="Arial" w:hAnsi="Arial" w:cs="Arial"/>
                <w:sz w:val="20"/>
                <w:szCs w:val="20"/>
              </w:rPr>
            </w:pPr>
            <w:r w:rsidRPr="00C24991">
              <w:rPr>
                <w:rFonts w:ascii="Arial" w:hAnsi="Arial" w:cs="Arial"/>
                <w:sz w:val="20"/>
                <w:szCs w:val="20"/>
              </w:rPr>
              <w:t>socio-political context &amp;</w:t>
            </w:r>
          </w:p>
          <w:p w:rsidR="00C24991" w:rsidRPr="00C24991" w:rsidRDefault="00C24991" w:rsidP="00C24991">
            <w:pPr>
              <w:pStyle w:val="ListParagraph"/>
              <w:numPr>
                <w:ilvl w:val="0"/>
                <w:numId w:val="1"/>
              </w:numPr>
              <w:ind w:left="265" w:hanging="265"/>
              <w:rPr>
                <w:rFonts w:ascii="Arial" w:hAnsi="Arial" w:cs="Arial"/>
                <w:sz w:val="20"/>
                <w:szCs w:val="20"/>
              </w:rPr>
            </w:pPr>
            <w:proofErr w:type="gramStart"/>
            <w:r w:rsidRPr="00C24991">
              <w:rPr>
                <w:rFonts w:ascii="Arial" w:hAnsi="Arial" w:cs="Arial"/>
                <w:sz w:val="20"/>
                <w:szCs w:val="20"/>
              </w:rPr>
              <w:t>research</w:t>
            </w:r>
            <w:proofErr w:type="gramEnd"/>
            <w:r w:rsidRPr="00C24991">
              <w:rPr>
                <w:rFonts w:ascii="Arial" w:hAnsi="Arial" w:cs="Arial"/>
                <w:sz w:val="20"/>
                <w:szCs w:val="20"/>
              </w:rPr>
              <w:t xml:space="preserve"> context.</w:t>
            </w:r>
          </w:p>
        </w:tc>
        <w:tc>
          <w:tcPr>
            <w:tcW w:w="1559" w:type="dxa"/>
          </w:tcPr>
          <w:p w:rsidR="00C24991" w:rsidRPr="00C24991" w:rsidRDefault="00C24991" w:rsidP="00A2579A">
            <w:pPr>
              <w:rPr>
                <w:rFonts w:ascii="Arial" w:hAnsi="Arial" w:cs="Arial"/>
                <w:sz w:val="20"/>
                <w:szCs w:val="20"/>
              </w:rPr>
            </w:pPr>
            <w:r w:rsidRPr="00C24991">
              <w:rPr>
                <w:rFonts w:ascii="Arial" w:hAnsi="Arial" w:cs="Arial"/>
                <w:sz w:val="20"/>
                <w:szCs w:val="20"/>
              </w:rPr>
              <w:t>Global health</w:t>
            </w:r>
          </w:p>
        </w:tc>
        <w:tc>
          <w:tcPr>
            <w:tcW w:w="4678" w:type="dxa"/>
          </w:tcPr>
          <w:p w:rsidR="00C24991" w:rsidRPr="00C24991" w:rsidRDefault="00C24991" w:rsidP="00C24991">
            <w:pPr>
              <w:pStyle w:val="ListParagraph"/>
              <w:numPr>
                <w:ilvl w:val="0"/>
                <w:numId w:val="42"/>
              </w:numPr>
              <w:autoSpaceDE w:val="0"/>
              <w:autoSpaceDN w:val="0"/>
              <w:adjustRightInd w:val="0"/>
              <w:ind w:left="254" w:hanging="284"/>
              <w:rPr>
                <w:rFonts w:ascii="Arial" w:hAnsi="Arial" w:cs="Arial"/>
                <w:sz w:val="20"/>
                <w:szCs w:val="20"/>
              </w:rPr>
            </w:pPr>
            <w:r w:rsidRPr="00C24991">
              <w:rPr>
                <w:rFonts w:ascii="Arial" w:hAnsi="Arial" w:cs="Arial"/>
                <w:sz w:val="20"/>
                <w:szCs w:val="20"/>
              </w:rPr>
              <w:t>A key lesson learned from successful scale-up efforts is that large-scale implementation is more likely if the intervention being scaled up is simple and technically sound and there is widespread consensus about its value.</w:t>
            </w:r>
          </w:p>
          <w:p w:rsidR="00C24991" w:rsidRPr="00C24991" w:rsidRDefault="00C24991" w:rsidP="00C24991">
            <w:pPr>
              <w:pStyle w:val="ListParagraph"/>
              <w:numPr>
                <w:ilvl w:val="0"/>
                <w:numId w:val="42"/>
              </w:numPr>
              <w:autoSpaceDE w:val="0"/>
              <w:autoSpaceDN w:val="0"/>
              <w:adjustRightInd w:val="0"/>
              <w:ind w:left="254" w:hanging="284"/>
              <w:rPr>
                <w:rFonts w:ascii="Arial" w:hAnsi="Arial" w:cs="Arial"/>
                <w:sz w:val="20"/>
                <w:szCs w:val="20"/>
              </w:rPr>
            </w:pPr>
            <w:r w:rsidRPr="00C24991">
              <w:rPr>
                <w:rFonts w:ascii="Arial" w:hAnsi="Arial" w:cs="Arial"/>
                <w:sz w:val="20"/>
                <w:szCs w:val="20"/>
              </w:rPr>
              <w:t>Chances of success are likely to be increased by strong leadership and governance and the active engagement of a broad range of implementers, including non-state actors.</w:t>
            </w:r>
          </w:p>
          <w:p w:rsidR="00C24991" w:rsidRPr="00C24991" w:rsidRDefault="00C24991" w:rsidP="00C24991">
            <w:pPr>
              <w:pStyle w:val="ListParagraph"/>
              <w:numPr>
                <w:ilvl w:val="0"/>
                <w:numId w:val="42"/>
              </w:numPr>
              <w:autoSpaceDE w:val="0"/>
              <w:autoSpaceDN w:val="0"/>
              <w:adjustRightInd w:val="0"/>
              <w:ind w:left="254" w:hanging="284"/>
              <w:rPr>
                <w:rFonts w:ascii="Arial" w:hAnsi="Arial" w:cs="Arial"/>
                <w:sz w:val="20"/>
                <w:szCs w:val="20"/>
              </w:rPr>
            </w:pPr>
            <w:r w:rsidRPr="00C24991">
              <w:rPr>
                <w:rFonts w:ascii="Arial" w:hAnsi="Arial" w:cs="Arial"/>
                <w:sz w:val="20"/>
                <w:szCs w:val="20"/>
              </w:rPr>
              <w:t xml:space="preserve">There is no single or straightforward delivery strategy that offers a formula for success. </w:t>
            </w:r>
          </w:p>
          <w:p w:rsidR="00C24991" w:rsidRPr="00C24991" w:rsidRDefault="00C24991" w:rsidP="00C24991">
            <w:pPr>
              <w:pStyle w:val="ListParagraph"/>
              <w:numPr>
                <w:ilvl w:val="0"/>
                <w:numId w:val="42"/>
              </w:numPr>
              <w:autoSpaceDE w:val="0"/>
              <w:autoSpaceDN w:val="0"/>
              <w:adjustRightInd w:val="0"/>
              <w:ind w:left="254" w:hanging="284"/>
              <w:rPr>
                <w:rFonts w:ascii="Arial" w:hAnsi="Arial" w:cs="Arial"/>
                <w:sz w:val="20"/>
                <w:szCs w:val="20"/>
              </w:rPr>
            </w:pPr>
            <w:r w:rsidRPr="00C24991">
              <w:rPr>
                <w:rFonts w:ascii="Arial" w:hAnsi="Arial" w:cs="Arial"/>
                <w:sz w:val="20"/>
                <w:szCs w:val="20"/>
              </w:rPr>
              <w:t>The field of implementation science would be advanced if scale-up efforts were always accompanied by research.</w:t>
            </w:r>
          </w:p>
        </w:tc>
      </w:tr>
      <w:tr w:rsidR="00C24991" w:rsidRPr="00DF40F1" w:rsidTr="00A2579A">
        <w:tc>
          <w:tcPr>
            <w:tcW w:w="1242" w:type="dxa"/>
          </w:tcPr>
          <w:p w:rsidR="00C24991" w:rsidRPr="00C24991" w:rsidRDefault="00C24991" w:rsidP="00A2579A">
            <w:pPr>
              <w:rPr>
                <w:rFonts w:ascii="Arial" w:hAnsi="Arial" w:cs="Arial"/>
                <w:sz w:val="20"/>
                <w:szCs w:val="20"/>
              </w:rPr>
            </w:pPr>
            <w:r w:rsidRPr="00C24991">
              <w:rPr>
                <w:rFonts w:ascii="Arial" w:hAnsi="Arial" w:cs="Arial"/>
                <w:iCs/>
                <w:sz w:val="20"/>
                <w:szCs w:val="20"/>
                <w:lang w:eastAsia="en-US"/>
              </w:rPr>
              <w:t>Zhang et al (2012)</w:t>
            </w:r>
            <w:r w:rsidRPr="00C24991">
              <w:rPr>
                <w:rFonts w:ascii="Arial" w:hAnsi="Arial" w:cs="Arial"/>
                <w:iCs/>
                <w:sz w:val="20"/>
                <w:szCs w:val="20"/>
                <w:lang w:eastAsia="en-US"/>
              </w:rPr>
              <w:fldChar w:fldCharType="begin"/>
            </w:r>
            <w:r w:rsidRPr="00C24991">
              <w:rPr>
                <w:rFonts w:ascii="Arial" w:hAnsi="Arial" w:cs="Arial"/>
                <w:iCs/>
                <w:sz w:val="20"/>
                <w:szCs w:val="20"/>
                <w:lang w:eastAsia="en-US"/>
              </w:rPr>
              <w:instrText xml:space="preserve"> ADDIN EN.CITE &lt;EndNote&gt;&lt;Cite&gt;&lt;Author&gt;Zhang&lt;/Author&gt;&lt;Year&gt;2012&lt;/Year&gt;&lt;RecNum&gt;253&lt;/RecNum&gt;&lt;DisplayText&gt;[33]&lt;/DisplayText&gt;&lt;record&gt;&lt;rec-number&gt;253&lt;/rec-number&gt;&lt;foreign-keys&gt;&lt;key app="EN" db-id="5z5zs2d9q5e0fbe20wrpwfswtw9xwerd9d9r" timestamp="0"&gt;253&lt;/key&gt;&lt;/foreign-keys&gt;&lt;ref-type name="Journal Article"&gt;17&lt;/ref-type&gt;&lt;contributors&gt;&lt;authors&gt;&lt;author&gt;Zhang L,&lt;/author&gt;&lt;author&gt;Gray RT, &lt;/author&gt;&lt;author&gt;Wilson DP, &lt;/author&gt;&lt;/authors&gt;&lt;/contributors&gt;&lt;titles&gt;&lt;title&gt;Modelling the epidemiological impact of scaling up HIV testing and antiretroviral treatment in China&lt;/title&gt;&lt;secondary-title&gt;Sexual Health&lt;/secondary-title&gt;&lt;/titles&gt;&lt;pages&gt;261-271&lt;/pages&gt;&lt;volume&gt;9&lt;/volume&gt;&lt;number&gt;3&lt;/number&gt;&lt;dates&gt;&lt;year&gt;2012&lt;/year&gt;&lt;/dates&gt;&lt;publisher&gt;CSIRO&lt;/publisher&gt;&lt;isbn&gt;1449-8987&lt;/isbn&gt;&lt;urls&gt;&lt;/urls&gt;&lt;/record&gt;&lt;/Cite&gt;&lt;/EndNote&gt;</w:instrText>
            </w:r>
            <w:r w:rsidRPr="00C24991">
              <w:rPr>
                <w:rFonts w:ascii="Arial" w:hAnsi="Arial" w:cs="Arial"/>
                <w:iCs/>
                <w:sz w:val="20"/>
                <w:szCs w:val="20"/>
                <w:lang w:eastAsia="en-US"/>
              </w:rPr>
              <w:fldChar w:fldCharType="separate"/>
            </w:r>
            <w:r w:rsidRPr="00C24991">
              <w:rPr>
                <w:rFonts w:ascii="Arial" w:hAnsi="Arial" w:cs="Arial"/>
                <w:iCs/>
                <w:noProof/>
                <w:sz w:val="20"/>
                <w:szCs w:val="20"/>
                <w:lang w:eastAsia="en-US"/>
              </w:rPr>
              <w:t>[</w:t>
            </w:r>
            <w:hyperlink w:anchor="_ENREF_33" w:tooltip="Zhang L, 2012 #253" w:history="1">
              <w:r w:rsidRPr="00C24991">
                <w:rPr>
                  <w:rFonts w:ascii="Arial" w:hAnsi="Arial" w:cs="Arial"/>
                  <w:iCs/>
                  <w:noProof/>
                  <w:sz w:val="20"/>
                  <w:szCs w:val="20"/>
                  <w:lang w:eastAsia="en-US"/>
                </w:rPr>
                <w:t>33</w:t>
              </w:r>
            </w:hyperlink>
            <w:r w:rsidRPr="00C24991">
              <w:rPr>
                <w:rFonts w:ascii="Arial" w:hAnsi="Arial" w:cs="Arial"/>
                <w:iCs/>
                <w:noProof/>
                <w:sz w:val="20"/>
                <w:szCs w:val="20"/>
                <w:lang w:eastAsia="en-US"/>
              </w:rPr>
              <w:t>]</w:t>
            </w:r>
            <w:r w:rsidRPr="00C24991">
              <w:rPr>
                <w:rFonts w:ascii="Arial" w:hAnsi="Arial" w:cs="Arial"/>
                <w:iCs/>
                <w:sz w:val="20"/>
                <w:szCs w:val="20"/>
                <w:lang w:eastAsia="en-US"/>
              </w:rPr>
              <w:fldChar w:fldCharType="end"/>
            </w:r>
          </w:p>
        </w:tc>
        <w:tc>
          <w:tcPr>
            <w:tcW w:w="1560" w:type="dxa"/>
          </w:tcPr>
          <w:p w:rsidR="00C24991" w:rsidRPr="00C24991" w:rsidRDefault="00C24991" w:rsidP="00A2579A">
            <w:pPr>
              <w:rPr>
                <w:rFonts w:ascii="Arial" w:hAnsi="Arial" w:cs="Arial"/>
                <w:sz w:val="20"/>
                <w:szCs w:val="20"/>
              </w:rPr>
            </w:pPr>
            <w:r w:rsidRPr="00C24991">
              <w:rPr>
                <w:rFonts w:ascii="Arial" w:hAnsi="Arial" w:cs="Arial"/>
                <w:sz w:val="20"/>
                <w:szCs w:val="20"/>
              </w:rPr>
              <w:t>Epidemiologic analysis and forecasting</w:t>
            </w:r>
          </w:p>
        </w:tc>
        <w:tc>
          <w:tcPr>
            <w:tcW w:w="1842" w:type="dxa"/>
          </w:tcPr>
          <w:p w:rsidR="00C24991" w:rsidRPr="00C24991" w:rsidRDefault="00C24991" w:rsidP="00A2579A">
            <w:pPr>
              <w:autoSpaceDE w:val="0"/>
              <w:autoSpaceDN w:val="0"/>
              <w:adjustRightInd w:val="0"/>
              <w:rPr>
                <w:rFonts w:ascii="Arial" w:hAnsi="Arial" w:cs="Arial"/>
                <w:bCs/>
                <w:sz w:val="20"/>
                <w:szCs w:val="20"/>
                <w:lang w:eastAsia="en-US"/>
              </w:rPr>
            </w:pPr>
            <w:r w:rsidRPr="00C24991">
              <w:rPr>
                <w:rFonts w:ascii="Arial" w:hAnsi="Arial" w:cs="Arial"/>
                <w:bCs/>
                <w:sz w:val="20"/>
                <w:szCs w:val="20"/>
                <w:lang w:eastAsia="en-US"/>
              </w:rPr>
              <w:t>Modelling the epidemiological impact of scaling up HIV</w:t>
            </w:r>
          </w:p>
          <w:p w:rsidR="00C24991" w:rsidRPr="00C24991" w:rsidRDefault="00C24991" w:rsidP="00A2579A">
            <w:pPr>
              <w:rPr>
                <w:rFonts w:ascii="Arial" w:hAnsi="Arial" w:cs="Arial"/>
                <w:sz w:val="20"/>
                <w:szCs w:val="20"/>
              </w:rPr>
            </w:pPr>
            <w:r w:rsidRPr="00C24991">
              <w:rPr>
                <w:rFonts w:ascii="Arial" w:hAnsi="Arial" w:cs="Arial"/>
                <w:bCs/>
                <w:sz w:val="20"/>
                <w:szCs w:val="20"/>
                <w:lang w:eastAsia="en-US"/>
              </w:rPr>
              <w:lastRenderedPageBreak/>
              <w:t>testing and antiretroviral treatment (ARVT)</w:t>
            </w:r>
          </w:p>
        </w:tc>
        <w:tc>
          <w:tcPr>
            <w:tcW w:w="3686" w:type="dxa"/>
          </w:tcPr>
          <w:p w:rsidR="00C24991" w:rsidRPr="00C24991" w:rsidRDefault="00C24991" w:rsidP="00C24991">
            <w:pPr>
              <w:pStyle w:val="ListParagraph"/>
              <w:numPr>
                <w:ilvl w:val="0"/>
                <w:numId w:val="43"/>
              </w:numPr>
              <w:autoSpaceDE w:val="0"/>
              <w:autoSpaceDN w:val="0"/>
              <w:adjustRightInd w:val="0"/>
              <w:ind w:left="317" w:hanging="317"/>
              <w:rPr>
                <w:rFonts w:ascii="Arial" w:hAnsi="Arial" w:cs="Arial"/>
                <w:sz w:val="20"/>
                <w:szCs w:val="20"/>
              </w:rPr>
            </w:pPr>
            <w:r w:rsidRPr="00C24991">
              <w:rPr>
                <w:rFonts w:ascii="Arial" w:hAnsi="Arial" w:cs="Arial"/>
                <w:sz w:val="20"/>
                <w:szCs w:val="20"/>
              </w:rPr>
              <w:lastRenderedPageBreak/>
              <w:t>Mathematical model to simulate HIV transmission in the Chinese population over the past decade.</w:t>
            </w:r>
          </w:p>
          <w:p w:rsidR="00C24991" w:rsidRPr="00C24991" w:rsidRDefault="00C24991" w:rsidP="00C24991">
            <w:pPr>
              <w:pStyle w:val="ListParagraph"/>
              <w:numPr>
                <w:ilvl w:val="0"/>
                <w:numId w:val="43"/>
              </w:numPr>
              <w:autoSpaceDE w:val="0"/>
              <w:autoSpaceDN w:val="0"/>
              <w:adjustRightInd w:val="0"/>
              <w:ind w:left="317" w:hanging="317"/>
              <w:rPr>
                <w:rFonts w:ascii="Arial" w:hAnsi="Arial" w:cs="Arial"/>
                <w:sz w:val="20"/>
                <w:szCs w:val="20"/>
              </w:rPr>
            </w:pPr>
            <w:r w:rsidRPr="00C24991">
              <w:rPr>
                <w:rFonts w:ascii="Arial" w:hAnsi="Arial" w:cs="Arial"/>
                <w:sz w:val="20"/>
                <w:szCs w:val="20"/>
              </w:rPr>
              <w:t xml:space="preserve">The model is calibrated using </w:t>
            </w:r>
            <w:r w:rsidRPr="00C24991">
              <w:rPr>
                <w:rFonts w:ascii="Arial" w:hAnsi="Arial" w:cs="Arial"/>
                <w:sz w:val="20"/>
                <w:szCs w:val="20"/>
              </w:rPr>
              <w:lastRenderedPageBreak/>
              <w:t xml:space="preserve">established biological and clinical data from the published literature, and a wide range of Chinese epidemiological and </w:t>
            </w:r>
            <w:proofErr w:type="spellStart"/>
            <w:r w:rsidRPr="00C24991">
              <w:rPr>
                <w:rFonts w:ascii="Arial" w:hAnsi="Arial" w:cs="Arial"/>
                <w:sz w:val="20"/>
                <w:szCs w:val="20"/>
              </w:rPr>
              <w:t>behavioral</w:t>
            </w:r>
            <w:proofErr w:type="spellEnd"/>
            <w:r w:rsidRPr="00C24991">
              <w:rPr>
                <w:rFonts w:ascii="Arial" w:hAnsi="Arial" w:cs="Arial"/>
                <w:sz w:val="20"/>
                <w:szCs w:val="20"/>
              </w:rPr>
              <w:t xml:space="preserve"> data sources. </w:t>
            </w:r>
          </w:p>
        </w:tc>
        <w:tc>
          <w:tcPr>
            <w:tcW w:w="1559" w:type="dxa"/>
          </w:tcPr>
          <w:p w:rsidR="00C24991" w:rsidRPr="00C24991" w:rsidRDefault="00C24991" w:rsidP="00A2579A">
            <w:pPr>
              <w:rPr>
                <w:rFonts w:ascii="Arial" w:hAnsi="Arial" w:cs="Arial"/>
                <w:sz w:val="20"/>
                <w:szCs w:val="20"/>
              </w:rPr>
            </w:pPr>
            <w:r w:rsidRPr="00C24991">
              <w:rPr>
                <w:rFonts w:ascii="Arial" w:hAnsi="Arial" w:cs="Arial"/>
                <w:sz w:val="20"/>
                <w:szCs w:val="20"/>
              </w:rPr>
              <w:lastRenderedPageBreak/>
              <w:t>Global health: HIV testing and ARVT</w:t>
            </w:r>
          </w:p>
        </w:tc>
        <w:tc>
          <w:tcPr>
            <w:tcW w:w="4678" w:type="dxa"/>
          </w:tcPr>
          <w:p w:rsidR="00C24991" w:rsidRPr="00C24991" w:rsidRDefault="00C24991" w:rsidP="00C24991">
            <w:pPr>
              <w:pStyle w:val="ListParagraph"/>
              <w:numPr>
                <w:ilvl w:val="0"/>
                <w:numId w:val="45"/>
              </w:numPr>
              <w:autoSpaceDE w:val="0"/>
              <w:autoSpaceDN w:val="0"/>
              <w:adjustRightInd w:val="0"/>
              <w:ind w:left="254" w:hanging="254"/>
              <w:rPr>
                <w:rFonts w:ascii="Arial" w:hAnsi="Arial" w:cs="Arial"/>
                <w:sz w:val="20"/>
                <w:szCs w:val="20"/>
              </w:rPr>
            </w:pPr>
            <w:r w:rsidRPr="00C24991">
              <w:rPr>
                <w:rFonts w:ascii="Arial" w:hAnsi="Arial" w:cs="Arial"/>
                <w:sz w:val="20"/>
                <w:szCs w:val="20"/>
              </w:rPr>
              <w:t>Model provides reasonable estimations and projections of the HIV/AIDS epidemic in the future based on actual epidemiological and clinical effectiveness data.</w:t>
            </w:r>
          </w:p>
          <w:p w:rsidR="00C24991" w:rsidRPr="00C24991" w:rsidRDefault="00C24991" w:rsidP="00C24991">
            <w:pPr>
              <w:pStyle w:val="ListParagraph"/>
              <w:numPr>
                <w:ilvl w:val="0"/>
                <w:numId w:val="44"/>
              </w:numPr>
              <w:autoSpaceDE w:val="0"/>
              <w:autoSpaceDN w:val="0"/>
              <w:adjustRightInd w:val="0"/>
              <w:ind w:left="254" w:hanging="284"/>
              <w:rPr>
                <w:rFonts w:ascii="Arial" w:hAnsi="Arial" w:cs="Arial"/>
                <w:sz w:val="20"/>
                <w:szCs w:val="20"/>
              </w:rPr>
            </w:pPr>
            <w:r w:rsidRPr="00C24991">
              <w:rPr>
                <w:rFonts w:ascii="Arial" w:hAnsi="Arial" w:cs="Arial"/>
                <w:sz w:val="20"/>
                <w:szCs w:val="20"/>
              </w:rPr>
              <w:lastRenderedPageBreak/>
              <w:t>A 10-fold increase in the treatment rate could decrease the number of HIV-related deaths by 58% and the number of new infections by one-quarter by 2015.</w:t>
            </w:r>
          </w:p>
        </w:tc>
      </w:tr>
    </w:tbl>
    <w:p w:rsidR="00052326" w:rsidRDefault="00643974" w:rsidP="00C24991"/>
    <w:sectPr w:rsidR="00052326" w:rsidSect="00C24991">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FranklinGotITC-Demi">
    <w:panose1 w:val="00000000000000000000"/>
    <w:charset w:val="00"/>
    <w:family w:val="auto"/>
    <w:notTrueType/>
    <w:pitch w:val="default"/>
    <w:sig w:usb0="00000003" w:usb1="00000000" w:usb2="00000000" w:usb3="00000000" w:csb0="00000001" w:csb1="00000000"/>
  </w:font>
  <w:font w:name="MinionPro-It">
    <w:panose1 w:val="00000000000000000000"/>
    <w:charset w:val="00"/>
    <w:family w:val="roman"/>
    <w:notTrueType/>
    <w:pitch w:val="default"/>
    <w:sig w:usb0="00000003" w:usb1="00000000" w:usb2="00000000" w:usb3="00000000" w:csb0="00000001" w:csb1="00000000"/>
  </w:font>
  <w:font w:name="MyriadPro-LightSemiCn">
    <w:altName w:val="Arial Unicode MS"/>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6BA8"/>
    <w:multiLevelType w:val="hybridMultilevel"/>
    <w:tmpl w:val="B9B2540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DC717B"/>
    <w:multiLevelType w:val="hybridMultilevel"/>
    <w:tmpl w:val="9B8AA86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3E3084"/>
    <w:multiLevelType w:val="hybridMultilevel"/>
    <w:tmpl w:val="9BB6257E"/>
    <w:lvl w:ilvl="0" w:tplc="0C09000B">
      <w:start w:val="1"/>
      <w:numFmt w:val="bullet"/>
      <w:lvlText w:val=""/>
      <w:lvlJc w:val="left"/>
      <w:pPr>
        <w:ind w:left="720" w:hanging="360"/>
      </w:pPr>
      <w:rPr>
        <w:rFonts w:ascii="Wingdings" w:hAnsi="Wingdings" w:hint="default"/>
      </w:rPr>
    </w:lvl>
    <w:lvl w:ilvl="1" w:tplc="9EA48F5C">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298273A"/>
    <w:multiLevelType w:val="hybridMultilevel"/>
    <w:tmpl w:val="27067A9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6603EEF"/>
    <w:multiLevelType w:val="hybridMultilevel"/>
    <w:tmpl w:val="4B42866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6FB06C6"/>
    <w:multiLevelType w:val="hybridMultilevel"/>
    <w:tmpl w:val="35C4059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8AC6249"/>
    <w:multiLevelType w:val="hybridMultilevel"/>
    <w:tmpl w:val="CA7C6DB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9F815E7"/>
    <w:multiLevelType w:val="hybridMultilevel"/>
    <w:tmpl w:val="C39258C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ABC7B74"/>
    <w:multiLevelType w:val="hybridMultilevel"/>
    <w:tmpl w:val="E960C34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D826F0F"/>
    <w:multiLevelType w:val="hybridMultilevel"/>
    <w:tmpl w:val="BC208F5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1592D67"/>
    <w:multiLevelType w:val="hybridMultilevel"/>
    <w:tmpl w:val="16EE20A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83B3F9F"/>
    <w:multiLevelType w:val="hybridMultilevel"/>
    <w:tmpl w:val="08DC4DA0"/>
    <w:lvl w:ilvl="0" w:tplc="0C09000B">
      <w:start w:val="1"/>
      <w:numFmt w:val="bullet"/>
      <w:lvlText w:val=""/>
      <w:lvlJc w:val="left"/>
      <w:pPr>
        <w:ind w:left="1038" w:hanging="360"/>
      </w:pPr>
      <w:rPr>
        <w:rFonts w:ascii="Wingdings" w:hAnsi="Wingdings" w:hint="default"/>
      </w:rPr>
    </w:lvl>
    <w:lvl w:ilvl="1" w:tplc="0C090003" w:tentative="1">
      <w:start w:val="1"/>
      <w:numFmt w:val="bullet"/>
      <w:lvlText w:val="o"/>
      <w:lvlJc w:val="left"/>
      <w:pPr>
        <w:ind w:left="1758" w:hanging="360"/>
      </w:pPr>
      <w:rPr>
        <w:rFonts w:ascii="Courier New" w:hAnsi="Courier New" w:cs="Courier New" w:hint="default"/>
      </w:rPr>
    </w:lvl>
    <w:lvl w:ilvl="2" w:tplc="0C090005" w:tentative="1">
      <w:start w:val="1"/>
      <w:numFmt w:val="bullet"/>
      <w:lvlText w:val=""/>
      <w:lvlJc w:val="left"/>
      <w:pPr>
        <w:ind w:left="2478" w:hanging="360"/>
      </w:pPr>
      <w:rPr>
        <w:rFonts w:ascii="Wingdings" w:hAnsi="Wingdings" w:hint="default"/>
      </w:rPr>
    </w:lvl>
    <w:lvl w:ilvl="3" w:tplc="0C090001" w:tentative="1">
      <w:start w:val="1"/>
      <w:numFmt w:val="bullet"/>
      <w:lvlText w:val=""/>
      <w:lvlJc w:val="left"/>
      <w:pPr>
        <w:ind w:left="3198" w:hanging="360"/>
      </w:pPr>
      <w:rPr>
        <w:rFonts w:ascii="Symbol" w:hAnsi="Symbol" w:hint="default"/>
      </w:rPr>
    </w:lvl>
    <w:lvl w:ilvl="4" w:tplc="0C090003" w:tentative="1">
      <w:start w:val="1"/>
      <w:numFmt w:val="bullet"/>
      <w:lvlText w:val="o"/>
      <w:lvlJc w:val="left"/>
      <w:pPr>
        <w:ind w:left="3918" w:hanging="360"/>
      </w:pPr>
      <w:rPr>
        <w:rFonts w:ascii="Courier New" w:hAnsi="Courier New" w:cs="Courier New" w:hint="default"/>
      </w:rPr>
    </w:lvl>
    <w:lvl w:ilvl="5" w:tplc="0C090005" w:tentative="1">
      <w:start w:val="1"/>
      <w:numFmt w:val="bullet"/>
      <w:lvlText w:val=""/>
      <w:lvlJc w:val="left"/>
      <w:pPr>
        <w:ind w:left="4638" w:hanging="360"/>
      </w:pPr>
      <w:rPr>
        <w:rFonts w:ascii="Wingdings" w:hAnsi="Wingdings" w:hint="default"/>
      </w:rPr>
    </w:lvl>
    <w:lvl w:ilvl="6" w:tplc="0C090001" w:tentative="1">
      <w:start w:val="1"/>
      <w:numFmt w:val="bullet"/>
      <w:lvlText w:val=""/>
      <w:lvlJc w:val="left"/>
      <w:pPr>
        <w:ind w:left="5358" w:hanging="360"/>
      </w:pPr>
      <w:rPr>
        <w:rFonts w:ascii="Symbol" w:hAnsi="Symbol" w:hint="default"/>
      </w:rPr>
    </w:lvl>
    <w:lvl w:ilvl="7" w:tplc="0C090003" w:tentative="1">
      <w:start w:val="1"/>
      <w:numFmt w:val="bullet"/>
      <w:lvlText w:val="o"/>
      <w:lvlJc w:val="left"/>
      <w:pPr>
        <w:ind w:left="6078" w:hanging="360"/>
      </w:pPr>
      <w:rPr>
        <w:rFonts w:ascii="Courier New" w:hAnsi="Courier New" w:cs="Courier New" w:hint="default"/>
      </w:rPr>
    </w:lvl>
    <w:lvl w:ilvl="8" w:tplc="0C090005" w:tentative="1">
      <w:start w:val="1"/>
      <w:numFmt w:val="bullet"/>
      <w:lvlText w:val=""/>
      <w:lvlJc w:val="left"/>
      <w:pPr>
        <w:ind w:left="6798" w:hanging="360"/>
      </w:pPr>
      <w:rPr>
        <w:rFonts w:ascii="Wingdings" w:hAnsi="Wingdings" w:hint="default"/>
      </w:rPr>
    </w:lvl>
  </w:abstractNum>
  <w:abstractNum w:abstractNumId="12">
    <w:nsid w:val="195C095F"/>
    <w:multiLevelType w:val="hybridMultilevel"/>
    <w:tmpl w:val="71BCD23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9A63515"/>
    <w:multiLevelType w:val="hybridMultilevel"/>
    <w:tmpl w:val="29CE2ED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DE106A4"/>
    <w:multiLevelType w:val="hybridMultilevel"/>
    <w:tmpl w:val="E51ABC6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F884BA5"/>
    <w:multiLevelType w:val="hybridMultilevel"/>
    <w:tmpl w:val="85BAA2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1B26E20"/>
    <w:multiLevelType w:val="hybridMultilevel"/>
    <w:tmpl w:val="3BF2FE0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1C77E82"/>
    <w:multiLevelType w:val="hybridMultilevel"/>
    <w:tmpl w:val="27240C2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46A2A9A"/>
    <w:multiLevelType w:val="hybridMultilevel"/>
    <w:tmpl w:val="43A6A1F4"/>
    <w:lvl w:ilvl="0" w:tplc="0C09000B">
      <w:start w:val="1"/>
      <w:numFmt w:val="bullet"/>
      <w:lvlText w:val=""/>
      <w:lvlJc w:val="left"/>
      <w:pPr>
        <w:ind w:left="1080" w:hanging="72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28EC27C3"/>
    <w:multiLevelType w:val="hybridMultilevel"/>
    <w:tmpl w:val="5A54C58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C5570F3"/>
    <w:multiLevelType w:val="hybridMultilevel"/>
    <w:tmpl w:val="F7A046B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C8407DC"/>
    <w:multiLevelType w:val="hybridMultilevel"/>
    <w:tmpl w:val="8AD8FBD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D0C71B4"/>
    <w:multiLevelType w:val="hybridMultilevel"/>
    <w:tmpl w:val="D2082A8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34F1EE3"/>
    <w:multiLevelType w:val="hybridMultilevel"/>
    <w:tmpl w:val="2FC6433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BE20DB0"/>
    <w:multiLevelType w:val="hybridMultilevel"/>
    <w:tmpl w:val="9634E73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F2C48F7"/>
    <w:multiLevelType w:val="hybridMultilevel"/>
    <w:tmpl w:val="EE6A0DB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2F4416D"/>
    <w:multiLevelType w:val="hybridMultilevel"/>
    <w:tmpl w:val="52CA65E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6BC501D"/>
    <w:multiLevelType w:val="hybridMultilevel"/>
    <w:tmpl w:val="5552842C"/>
    <w:lvl w:ilvl="0" w:tplc="0C09000B">
      <w:start w:val="1"/>
      <w:numFmt w:val="bullet"/>
      <w:lvlText w:val=""/>
      <w:lvlJc w:val="left"/>
      <w:pPr>
        <w:ind w:left="720" w:hanging="360"/>
      </w:pPr>
      <w:rPr>
        <w:rFonts w:ascii="Wingdings" w:hAnsi="Wingdings"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76706D3"/>
    <w:multiLevelType w:val="hybridMultilevel"/>
    <w:tmpl w:val="EB8AB88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93074B9"/>
    <w:multiLevelType w:val="hybridMultilevel"/>
    <w:tmpl w:val="5DB45C8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C1E4FE0"/>
    <w:multiLevelType w:val="hybridMultilevel"/>
    <w:tmpl w:val="08C24ED4"/>
    <w:lvl w:ilvl="0" w:tplc="0C09000B">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4DC24E26"/>
    <w:multiLevelType w:val="hybridMultilevel"/>
    <w:tmpl w:val="B6C89D3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EF266ED"/>
    <w:multiLevelType w:val="hybridMultilevel"/>
    <w:tmpl w:val="C1820C8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F8A2EF0"/>
    <w:multiLevelType w:val="hybridMultilevel"/>
    <w:tmpl w:val="F5F078F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F9A1933"/>
    <w:multiLevelType w:val="hybridMultilevel"/>
    <w:tmpl w:val="EE642B9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2BA7C6B"/>
    <w:multiLevelType w:val="hybridMultilevel"/>
    <w:tmpl w:val="C662122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A93077E"/>
    <w:multiLevelType w:val="hybridMultilevel"/>
    <w:tmpl w:val="4B36BFF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CD405E9"/>
    <w:multiLevelType w:val="hybridMultilevel"/>
    <w:tmpl w:val="EC7C069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F756767"/>
    <w:multiLevelType w:val="hybridMultilevel"/>
    <w:tmpl w:val="6F744BC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23B3CD6"/>
    <w:multiLevelType w:val="hybridMultilevel"/>
    <w:tmpl w:val="286AB48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4717D05"/>
    <w:multiLevelType w:val="hybridMultilevel"/>
    <w:tmpl w:val="EB0601A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5500146"/>
    <w:multiLevelType w:val="hybridMultilevel"/>
    <w:tmpl w:val="01D4854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5EF51B4"/>
    <w:multiLevelType w:val="hybridMultilevel"/>
    <w:tmpl w:val="5EA09E3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BFC0145"/>
    <w:multiLevelType w:val="hybridMultilevel"/>
    <w:tmpl w:val="D3A861D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1DB2259"/>
    <w:multiLevelType w:val="hybridMultilevel"/>
    <w:tmpl w:val="CD5820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2957C5D"/>
    <w:multiLevelType w:val="hybridMultilevel"/>
    <w:tmpl w:val="D4E28042"/>
    <w:lvl w:ilvl="0" w:tplc="0C09000B">
      <w:start w:val="1"/>
      <w:numFmt w:val="bullet"/>
      <w:lvlText w:val=""/>
      <w:lvlJc w:val="left"/>
      <w:pPr>
        <w:ind w:left="720" w:hanging="360"/>
      </w:pPr>
      <w:rPr>
        <w:rFonts w:ascii="Wingdings" w:hAnsi="Wingdings" w:hint="default"/>
      </w:rPr>
    </w:lvl>
    <w:lvl w:ilvl="1" w:tplc="D804C908">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29D44AD"/>
    <w:multiLevelType w:val="hybridMultilevel"/>
    <w:tmpl w:val="0F06AF7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3C464B6"/>
    <w:multiLevelType w:val="hybridMultilevel"/>
    <w:tmpl w:val="D4A0766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5755151"/>
    <w:multiLevelType w:val="hybridMultilevel"/>
    <w:tmpl w:val="BF26BB2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B205B4F"/>
    <w:multiLevelType w:val="hybridMultilevel"/>
    <w:tmpl w:val="6F1ABF7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39"/>
  </w:num>
  <w:num w:numId="3">
    <w:abstractNumId w:val="45"/>
  </w:num>
  <w:num w:numId="4">
    <w:abstractNumId w:val="32"/>
  </w:num>
  <w:num w:numId="5">
    <w:abstractNumId w:val="10"/>
  </w:num>
  <w:num w:numId="6">
    <w:abstractNumId w:val="17"/>
  </w:num>
  <w:num w:numId="7">
    <w:abstractNumId w:val="25"/>
  </w:num>
  <w:num w:numId="8">
    <w:abstractNumId w:val="24"/>
  </w:num>
  <w:num w:numId="9">
    <w:abstractNumId w:val="3"/>
  </w:num>
  <w:num w:numId="10">
    <w:abstractNumId w:val="37"/>
  </w:num>
  <w:num w:numId="11">
    <w:abstractNumId w:val="14"/>
  </w:num>
  <w:num w:numId="12">
    <w:abstractNumId w:val="20"/>
  </w:num>
  <w:num w:numId="13">
    <w:abstractNumId w:val="23"/>
  </w:num>
  <w:num w:numId="14">
    <w:abstractNumId w:val="36"/>
  </w:num>
  <w:num w:numId="15">
    <w:abstractNumId w:val="35"/>
  </w:num>
  <w:num w:numId="16">
    <w:abstractNumId w:val="38"/>
  </w:num>
  <w:num w:numId="17">
    <w:abstractNumId w:val="30"/>
  </w:num>
  <w:num w:numId="18">
    <w:abstractNumId w:val="28"/>
  </w:num>
  <w:num w:numId="19">
    <w:abstractNumId w:val="21"/>
  </w:num>
  <w:num w:numId="20">
    <w:abstractNumId w:val="13"/>
  </w:num>
  <w:num w:numId="21">
    <w:abstractNumId w:val="41"/>
  </w:num>
  <w:num w:numId="22">
    <w:abstractNumId w:val="26"/>
  </w:num>
  <w:num w:numId="23">
    <w:abstractNumId w:val="2"/>
  </w:num>
  <w:num w:numId="24">
    <w:abstractNumId w:val="7"/>
  </w:num>
  <w:num w:numId="25">
    <w:abstractNumId w:val="49"/>
  </w:num>
  <w:num w:numId="26">
    <w:abstractNumId w:val="34"/>
  </w:num>
  <w:num w:numId="27">
    <w:abstractNumId w:val="40"/>
  </w:num>
  <w:num w:numId="28">
    <w:abstractNumId w:val="16"/>
  </w:num>
  <w:num w:numId="29">
    <w:abstractNumId w:val="46"/>
  </w:num>
  <w:num w:numId="30">
    <w:abstractNumId w:val="27"/>
  </w:num>
  <w:num w:numId="31">
    <w:abstractNumId w:val="19"/>
  </w:num>
  <w:num w:numId="32">
    <w:abstractNumId w:val="0"/>
  </w:num>
  <w:num w:numId="33">
    <w:abstractNumId w:val="31"/>
  </w:num>
  <w:num w:numId="34">
    <w:abstractNumId w:val="18"/>
  </w:num>
  <w:num w:numId="35">
    <w:abstractNumId w:val="33"/>
  </w:num>
  <w:num w:numId="36">
    <w:abstractNumId w:val="43"/>
  </w:num>
  <w:num w:numId="37">
    <w:abstractNumId w:val="15"/>
  </w:num>
  <w:num w:numId="38">
    <w:abstractNumId w:val="5"/>
  </w:num>
  <w:num w:numId="39">
    <w:abstractNumId w:val="44"/>
  </w:num>
  <w:num w:numId="40">
    <w:abstractNumId w:val="22"/>
  </w:num>
  <w:num w:numId="41">
    <w:abstractNumId w:val="12"/>
  </w:num>
  <w:num w:numId="42">
    <w:abstractNumId w:val="1"/>
  </w:num>
  <w:num w:numId="43">
    <w:abstractNumId w:val="6"/>
  </w:num>
  <w:num w:numId="44">
    <w:abstractNumId w:val="4"/>
  </w:num>
  <w:num w:numId="45">
    <w:abstractNumId w:val="42"/>
  </w:num>
  <w:num w:numId="46">
    <w:abstractNumId w:val="48"/>
  </w:num>
  <w:num w:numId="47">
    <w:abstractNumId w:val="47"/>
  </w:num>
  <w:num w:numId="48">
    <w:abstractNumId w:val="8"/>
  </w:num>
  <w:num w:numId="49">
    <w:abstractNumId w:val="11"/>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991"/>
    <w:rsid w:val="001250CC"/>
    <w:rsid w:val="00573E03"/>
    <w:rsid w:val="00643974"/>
    <w:rsid w:val="00A75304"/>
    <w:rsid w:val="00C24991"/>
    <w:rsid w:val="00E36CD3"/>
    <w:rsid w:val="00EE78FC"/>
    <w:rsid w:val="00F65B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91"/>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24991"/>
    <w:pPr>
      <w:spacing w:after="200" w:line="276" w:lineRule="auto"/>
      <w:ind w:left="720"/>
      <w:contextualSpacing/>
    </w:pPr>
    <w:rPr>
      <w:rFonts w:ascii="Calibri" w:eastAsia="Calibri" w:hAnsi="Calibri"/>
      <w:sz w:val="22"/>
      <w:szCs w:val="22"/>
      <w:lang w:eastAsia="en-US"/>
    </w:rPr>
  </w:style>
  <w:style w:type="character" w:customStyle="1" w:styleId="A1">
    <w:name w:val="A1"/>
    <w:uiPriority w:val="99"/>
    <w:rsid w:val="00C24991"/>
    <w:rPr>
      <w:rFonts w:cs="Frutiger LT Std 55 Roman"/>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91"/>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24991"/>
    <w:pPr>
      <w:spacing w:after="200" w:line="276" w:lineRule="auto"/>
      <w:ind w:left="720"/>
      <w:contextualSpacing/>
    </w:pPr>
    <w:rPr>
      <w:rFonts w:ascii="Calibri" w:eastAsia="Calibri" w:hAnsi="Calibri"/>
      <w:sz w:val="22"/>
      <w:szCs w:val="22"/>
      <w:lang w:eastAsia="en-US"/>
    </w:rPr>
  </w:style>
  <w:style w:type="character" w:customStyle="1" w:styleId="A1">
    <w:name w:val="A1"/>
    <w:uiPriority w:val="99"/>
    <w:rsid w:val="00C24991"/>
    <w:rPr>
      <w:rFonts w:cs="Frutiger LT Std 55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6570</Words>
  <Characters>37453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NSW Ministry of Health</Company>
  <LinksUpToDate>false</LinksUpToDate>
  <CharactersWithSpaces>43936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MILAT, Andrew</dc:creator>
  <cp:lastModifiedBy>MILAT, Andrew</cp:lastModifiedBy>
  <cp:revision>6</cp:revision>
  <dcterms:created xsi:type="dcterms:W3CDTF">2015-07-26T14:00:00Z</dcterms:created>
  <dcterms:modified xsi:type="dcterms:W3CDTF">2015-07-27T00:47:00Z</dcterms:modified>
</cp:coreProperties>
</file>