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EAACB" w14:textId="08568A03" w:rsidR="00EF012F" w:rsidRPr="004A0C0B" w:rsidRDefault="00EA7F16" w:rsidP="00077085">
      <w:pPr>
        <w:spacing w:line="360" w:lineRule="auto"/>
        <w:rPr>
          <w:rFonts w:ascii="Times New Roman" w:hAnsi="Times New Roman" w:cs="Times New Roman"/>
          <w:b/>
          <w:caps/>
          <w:noProof/>
          <w:sz w:val="24"/>
          <w:szCs w:val="24"/>
        </w:rPr>
      </w:pPr>
      <w:r>
        <w:rPr>
          <w:rFonts w:ascii="Times New Roman" w:hAnsi="Times New Roman" w:cs="Times New Roman"/>
          <w:b/>
          <w:noProof/>
          <w:sz w:val="24"/>
          <w:szCs w:val="24"/>
        </w:rPr>
        <w:t xml:space="preserve">Additional File 1: Included Studies </w:t>
      </w:r>
    </w:p>
    <w:tbl>
      <w:tblPr>
        <w:tblW w:w="14560" w:type="dxa"/>
        <w:tblInd w:w="-289" w:type="dxa"/>
        <w:tblCellMar>
          <w:left w:w="70" w:type="dxa"/>
          <w:right w:w="70" w:type="dxa"/>
        </w:tblCellMar>
        <w:tblLook w:val="04A0" w:firstRow="1" w:lastRow="0" w:firstColumn="1" w:lastColumn="0" w:noHBand="0" w:noVBand="1"/>
      </w:tblPr>
      <w:tblGrid>
        <w:gridCol w:w="960"/>
        <w:gridCol w:w="13600"/>
      </w:tblGrid>
      <w:tr w:rsidR="005A2D91" w:rsidRPr="004A0C0B" w14:paraId="60D3D425" w14:textId="77777777" w:rsidTr="00534465">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B16C5" w14:textId="77777777" w:rsidR="00534465" w:rsidRPr="004A0C0B" w:rsidRDefault="00534465" w:rsidP="00534465">
            <w:pPr>
              <w:spacing w:after="0" w:line="240" w:lineRule="auto"/>
              <w:jc w:val="center"/>
              <w:rPr>
                <w:rFonts w:ascii="Times New Roman" w:eastAsia="Times New Roman" w:hAnsi="Times New Roman" w:cs="Times New Roman"/>
                <w:b/>
                <w:bCs/>
                <w:sz w:val="24"/>
                <w:szCs w:val="24"/>
                <w:lang w:val="fr-FR" w:eastAsia="fr-FR"/>
              </w:rPr>
            </w:pPr>
            <w:r w:rsidRPr="004A0C0B">
              <w:rPr>
                <w:rFonts w:ascii="Times New Roman" w:eastAsia="Times New Roman" w:hAnsi="Times New Roman" w:cs="Times New Roman"/>
                <w:b/>
                <w:bCs/>
                <w:sz w:val="24"/>
                <w:szCs w:val="24"/>
                <w:lang w:val="fr-FR" w:eastAsia="fr-FR"/>
              </w:rPr>
              <w:t>IDs</w:t>
            </w:r>
          </w:p>
        </w:tc>
        <w:tc>
          <w:tcPr>
            <w:tcW w:w="13600" w:type="dxa"/>
            <w:tcBorders>
              <w:top w:val="single" w:sz="4" w:space="0" w:color="auto"/>
              <w:left w:val="nil"/>
              <w:bottom w:val="single" w:sz="4" w:space="0" w:color="auto"/>
              <w:right w:val="single" w:sz="4" w:space="0" w:color="auto"/>
            </w:tcBorders>
            <w:shd w:val="clear" w:color="auto" w:fill="auto"/>
            <w:noWrap/>
            <w:vAlign w:val="center"/>
            <w:hideMark/>
          </w:tcPr>
          <w:p w14:paraId="165548BA" w14:textId="021D6232" w:rsidR="00534465" w:rsidRPr="004A0C0B" w:rsidRDefault="00534465" w:rsidP="00EA44A4">
            <w:pPr>
              <w:spacing w:after="0" w:line="240" w:lineRule="auto"/>
              <w:rPr>
                <w:rFonts w:ascii="Times New Roman" w:eastAsia="Times New Roman" w:hAnsi="Times New Roman" w:cs="Times New Roman"/>
                <w:b/>
                <w:bCs/>
                <w:sz w:val="24"/>
                <w:szCs w:val="24"/>
                <w:lang w:val="fr-FR" w:eastAsia="fr-FR"/>
              </w:rPr>
            </w:pPr>
            <w:bookmarkStart w:id="0" w:name="_GoBack"/>
            <w:bookmarkEnd w:id="0"/>
            <w:r w:rsidRPr="004A0C0B">
              <w:rPr>
                <w:rFonts w:ascii="Times New Roman" w:eastAsia="Times New Roman" w:hAnsi="Times New Roman" w:cs="Times New Roman"/>
                <w:b/>
                <w:bCs/>
                <w:sz w:val="24"/>
                <w:szCs w:val="24"/>
                <w:lang w:val="fr-FR" w:eastAsia="fr-FR"/>
              </w:rPr>
              <w:t>References</w:t>
            </w:r>
          </w:p>
        </w:tc>
      </w:tr>
      <w:tr w:rsidR="008749A3" w:rsidRPr="004A0C0B" w14:paraId="75DD8028"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hideMark/>
          </w:tcPr>
          <w:p w14:paraId="116BAC1D" w14:textId="7E770402" w:rsidR="008749A3" w:rsidRPr="00EB714D" w:rsidRDefault="008749A3" w:rsidP="00534465">
            <w:pPr>
              <w:spacing w:after="0" w:line="240" w:lineRule="auto"/>
              <w:jc w:val="center"/>
              <w:rPr>
                <w:rFonts w:ascii="Times New Roman" w:eastAsia="Times New Roman" w:hAnsi="Times New Roman" w:cs="Times New Roman"/>
                <w:b/>
                <w:sz w:val="24"/>
                <w:szCs w:val="24"/>
                <w:lang w:val="fr-FR" w:eastAsia="fr-FR"/>
              </w:rPr>
            </w:pPr>
            <w:r w:rsidRPr="00EB714D">
              <w:rPr>
                <w:rFonts w:ascii="Times New Roman" w:eastAsia="Times New Roman" w:hAnsi="Times New Roman" w:cs="Times New Roman"/>
                <w:b/>
                <w:color w:val="000000"/>
                <w:sz w:val="24"/>
                <w:szCs w:val="24"/>
              </w:rPr>
              <w:t>1</w:t>
            </w:r>
          </w:p>
        </w:tc>
        <w:tc>
          <w:tcPr>
            <w:tcW w:w="13600" w:type="dxa"/>
            <w:tcBorders>
              <w:top w:val="nil"/>
              <w:left w:val="nil"/>
              <w:bottom w:val="single" w:sz="4" w:space="0" w:color="auto"/>
              <w:right w:val="single" w:sz="4" w:space="0" w:color="auto"/>
            </w:tcBorders>
            <w:shd w:val="clear" w:color="auto" w:fill="auto"/>
          </w:tcPr>
          <w:p w14:paraId="6AB67CC5" w14:textId="36E1C2A7" w:rsidR="008749A3" w:rsidRPr="004A0C0B" w:rsidRDefault="008749A3" w:rsidP="00CA154E">
            <w:pPr>
              <w:spacing w:after="0" w:line="240" w:lineRule="auto"/>
              <w:rPr>
                <w:rFonts w:ascii="Times New Roman" w:eastAsia="Times New Roman" w:hAnsi="Times New Roman" w:cs="Times New Roman"/>
                <w:sz w:val="24"/>
                <w:szCs w:val="24"/>
                <w:lang w:val="en-US"/>
              </w:rPr>
            </w:pPr>
            <w:r w:rsidRPr="00EB714D">
              <w:rPr>
                <w:rFonts w:ascii="Times New Roman" w:eastAsia="Times New Roman" w:hAnsi="Times New Roman" w:cs="Times New Roman"/>
                <w:color w:val="000000"/>
                <w:sz w:val="24"/>
                <w:szCs w:val="24"/>
              </w:rPr>
              <w:t xml:space="preserve">Determann D, Lambooij MS, Gyrd-Hansen D, et al. Personal health records in the Netherlands: potential user preferences quantified by a discrete choice experiment. </w:t>
            </w:r>
            <w:r w:rsidRPr="00EB714D">
              <w:rPr>
                <w:rFonts w:ascii="Times New Roman" w:eastAsia="Times New Roman" w:hAnsi="Times New Roman" w:cs="Times New Roman"/>
                <w:i/>
                <w:iCs/>
                <w:color w:val="000000"/>
                <w:sz w:val="24"/>
                <w:szCs w:val="24"/>
              </w:rPr>
              <w:t>J Am Med Informatics Assoc</w:t>
            </w:r>
            <w:r w:rsidRPr="00EB714D">
              <w:rPr>
                <w:rFonts w:ascii="Times New Roman" w:eastAsia="Times New Roman" w:hAnsi="Times New Roman" w:cs="Times New Roman"/>
                <w:color w:val="000000"/>
                <w:sz w:val="24"/>
                <w:szCs w:val="24"/>
              </w:rPr>
              <w:t>. 2016;0(0):ocw158. doi:10.1093/jamia/ocw158.</w:t>
            </w:r>
          </w:p>
        </w:tc>
      </w:tr>
      <w:tr w:rsidR="008749A3" w:rsidRPr="004A0C0B" w14:paraId="17B73CAC"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hideMark/>
          </w:tcPr>
          <w:p w14:paraId="4D8A82A1" w14:textId="187000F8" w:rsidR="008749A3" w:rsidRPr="004C161F" w:rsidRDefault="008749A3" w:rsidP="00534465">
            <w:pPr>
              <w:spacing w:after="0" w:line="240" w:lineRule="auto"/>
              <w:jc w:val="center"/>
              <w:rPr>
                <w:rFonts w:ascii="Times New Roman" w:eastAsia="Times New Roman" w:hAnsi="Times New Roman" w:cs="Times New Roman"/>
                <w:b/>
                <w:sz w:val="24"/>
                <w:szCs w:val="24"/>
                <w:lang w:val="fr-FR" w:eastAsia="fr-FR"/>
              </w:rPr>
            </w:pPr>
            <w:r w:rsidRPr="004C161F">
              <w:rPr>
                <w:rFonts w:ascii="Times New Roman" w:eastAsia="Times New Roman" w:hAnsi="Times New Roman" w:cs="Times New Roman"/>
                <w:b/>
                <w:color w:val="000000"/>
                <w:sz w:val="24"/>
                <w:szCs w:val="24"/>
              </w:rPr>
              <w:t>2</w:t>
            </w:r>
          </w:p>
        </w:tc>
        <w:tc>
          <w:tcPr>
            <w:tcW w:w="13600" w:type="dxa"/>
            <w:tcBorders>
              <w:top w:val="nil"/>
              <w:left w:val="nil"/>
              <w:bottom w:val="single" w:sz="4" w:space="0" w:color="auto"/>
              <w:right w:val="single" w:sz="4" w:space="0" w:color="auto"/>
            </w:tcBorders>
            <w:shd w:val="clear" w:color="auto" w:fill="auto"/>
          </w:tcPr>
          <w:p w14:paraId="55C23D51" w14:textId="1BE1F8B2" w:rsidR="008749A3" w:rsidRPr="004C161F" w:rsidRDefault="008749A3" w:rsidP="00B14D94">
            <w:pPr>
              <w:spacing w:after="0" w:line="240" w:lineRule="auto"/>
              <w:rPr>
                <w:rFonts w:ascii="Times New Roman" w:eastAsia="Times New Roman" w:hAnsi="Times New Roman" w:cs="Times New Roman"/>
                <w:sz w:val="24"/>
                <w:szCs w:val="24"/>
                <w:lang w:val="en-US"/>
              </w:rPr>
            </w:pPr>
            <w:r w:rsidRPr="004C161F">
              <w:rPr>
                <w:rFonts w:ascii="Times New Roman" w:eastAsia="Times New Roman" w:hAnsi="Times New Roman" w:cs="Times New Roman"/>
                <w:color w:val="000000"/>
                <w:sz w:val="24"/>
                <w:szCs w:val="24"/>
              </w:rPr>
              <w:t xml:space="preserve">Uemura H, Matsubara N, Kimura G, et al. Patient preferences for treatment of castration-resistant prostate cancer in Japan: a discrete-choice experiment. </w:t>
            </w:r>
            <w:r w:rsidRPr="004C161F">
              <w:rPr>
                <w:rFonts w:ascii="Times New Roman" w:eastAsia="Times New Roman" w:hAnsi="Times New Roman" w:cs="Times New Roman"/>
                <w:i/>
                <w:iCs/>
                <w:color w:val="000000"/>
                <w:sz w:val="24"/>
                <w:szCs w:val="24"/>
              </w:rPr>
              <w:t>BMC Urol</w:t>
            </w:r>
            <w:r w:rsidRPr="004C161F">
              <w:rPr>
                <w:rFonts w:ascii="Times New Roman" w:eastAsia="Times New Roman" w:hAnsi="Times New Roman" w:cs="Times New Roman"/>
                <w:color w:val="000000"/>
                <w:sz w:val="24"/>
                <w:szCs w:val="24"/>
              </w:rPr>
              <w:t>. 2016;16(1):63. doi:10.1186/s12894-016-0182-2.</w:t>
            </w:r>
          </w:p>
        </w:tc>
      </w:tr>
      <w:tr w:rsidR="008749A3" w:rsidRPr="004A0C0B" w14:paraId="76D3C78D"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B9F49B4" w14:textId="14400AEE" w:rsidR="008749A3" w:rsidRPr="00D07E1D" w:rsidRDefault="008749A3" w:rsidP="00534465">
            <w:pPr>
              <w:spacing w:after="0" w:line="240" w:lineRule="auto"/>
              <w:jc w:val="center"/>
              <w:rPr>
                <w:rFonts w:ascii="Times New Roman" w:eastAsia="Times New Roman" w:hAnsi="Times New Roman" w:cs="Times New Roman"/>
                <w:b/>
                <w:sz w:val="24"/>
                <w:szCs w:val="24"/>
                <w:lang w:val="fr-FR" w:eastAsia="fr-FR"/>
              </w:rPr>
            </w:pPr>
            <w:r w:rsidRPr="00D07E1D">
              <w:rPr>
                <w:rFonts w:ascii="Times New Roman" w:eastAsia="Times New Roman" w:hAnsi="Times New Roman" w:cs="Times New Roman"/>
                <w:b/>
                <w:color w:val="000000"/>
                <w:sz w:val="24"/>
                <w:szCs w:val="24"/>
              </w:rPr>
              <w:t>3</w:t>
            </w:r>
          </w:p>
        </w:tc>
        <w:tc>
          <w:tcPr>
            <w:tcW w:w="13600" w:type="dxa"/>
            <w:tcBorders>
              <w:top w:val="nil"/>
              <w:left w:val="nil"/>
              <w:bottom w:val="single" w:sz="4" w:space="0" w:color="auto"/>
              <w:right w:val="single" w:sz="4" w:space="0" w:color="auto"/>
            </w:tcBorders>
            <w:shd w:val="clear" w:color="auto" w:fill="auto"/>
          </w:tcPr>
          <w:p w14:paraId="58DB7992" w14:textId="77F008DA" w:rsidR="008749A3" w:rsidRPr="00D07E1D" w:rsidRDefault="008749A3" w:rsidP="00534465">
            <w:pPr>
              <w:spacing w:after="0" w:line="240" w:lineRule="auto"/>
              <w:rPr>
                <w:rFonts w:ascii="Times New Roman" w:eastAsia="Times New Roman" w:hAnsi="Times New Roman" w:cs="Times New Roman"/>
                <w:sz w:val="24"/>
                <w:szCs w:val="24"/>
                <w:lang w:val="fr-FR" w:eastAsia="fr-FR"/>
              </w:rPr>
            </w:pPr>
            <w:r w:rsidRPr="00D07E1D">
              <w:rPr>
                <w:rFonts w:ascii="Times New Roman" w:eastAsia="Times New Roman" w:hAnsi="Times New Roman" w:cs="Times New Roman"/>
                <w:color w:val="000000"/>
                <w:sz w:val="24"/>
                <w:szCs w:val="24"/>
              </w:rPr>
              <w:t xml:space="preserve">Whitty JA, Spinks J, Bucknall T, Tobiano G, Chaboyer W. Patient and nurse preferences for implementation of bedside handover: Do they agree? Findings from a discrete choice experiment. </w:t>
            </w:r>
            <w:r w:rsidRPr="00D07E1D">
              <w:rPr>
                <w:rFonts w:ascii="Times New Roman" w:eastAsia="Times New Roman" w:hAnsi="Times New Roman" w:cs="Times New Roman"/>
                <w:i/>
                <w:iCs/>
                <w:color w:val="000000"/>
                <w:sz w:val="24"/>
                <w:szCs w:val="24"/>
              </w:rPr>
              <w:t>Heal Expect</w:t>
            </w:r>
            <w:r w:rsidRPr="00D07E1D">
              <w:rPr>
                <w:rFonts w:ascii="Times New Roman" w:eastAsia="Times New Roman" w:hAnsi="Times New Roman" w:cs="Times New Roman"/>
                <w:color w:val="000000"/>
                <w:sz w:val="24"/>
                <w:szCs w:val="24"/>
              </w:rPr>
              <w:t>. 2016;1(9). doi:10.1111/hex.12513.</w:t>
            </w:r>
          </w:p>
        </w:tc>
      </w:tr>
      <w:tr w:rsidR="008749A3" w:rsidRPr="004A0C0B" w14:paraId="1E6332D0"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59B738B" w14:textId="1803E961" w:rsidR="008749A3" w:rsidRPr="00D07E1D" w:rsidRDefault="008749A3" w:rsidP="00534465">
            <w:pPr>
              <w:spacing w:after="0" w:line="240" w:lineRule="auto"/>
              <w:jc w:val="center"/>
              <w:rPr>
                <w:rFonts w:ascii="Times New Roman" w:eastAsia="Times New Roman" w:hAnsi="Times New Roman" w:cs="Times New Roman"/>
                <w:b/>
                <w:sz w:val="24"/>
                <w:szCs w:val="24"/>
                <w:lang w:val="fr-FR" w:eastAsia="fr-FR"/>
              </w:rPr>
            </w:pPr>
            <w:r w:rsidRPr="00D07E1D">
              <w:rPr>
                <w:rFonts w:ascii="Times New Roman" w:eastAsia="Times New Roman" w:hAnsi="Times New Roman" w:cs="Times New Roman"/>
                <w:b/>
                <w:color w:val="000000"/>
                <w:sz w:val="24"/>
                <w:szCs w:val="24"/>
              </w:rPr>
              <w:t>4</w:t>
            </w:r>
          </w:p>
        </w:tc>
        <w:tc>
          <w:tcPr>
            <w:tcW w:w="13600" w:type="dxa"/>
            <w:tcBorders>
              <w:top w:val="nil"/>
              <w:left w:val="nil"/>
              <w:bottom w:val="single" w:sz="4" w:space="0" w:color="auto"/>
              <w:right w:val="single" w:sz="4" w:space="0" w:color="auto"/>
            </w:tcBorders>
            <w:shd w:val="clear" w:color="auto" w:fill="auto"/>
          </w:tcPr>
          <w:p w14:paraId="27AC7723" w14:textId="691CE349" w:rsidR="008749A3" w:rsidRPr="00D07E1D" w:rsidRDefault="008749A3" w:rsidP="00534465">
            <w:pPr>
              <w:spacing w:after="0" w:line="240" w:lineRule="auto"/>
              <w:rPr>
                <w:rFonts w:ascii="Times New Roman" w:eastAsia="Times New Roman" w:hAnsi="Times New Roman" w:cs="Times New Roman"/>
                <w:sz w:val="24"/>
                <w:szCs w:val="24"/>
                <w:lang w:val="fr-FR" w:eastAsia="fr-FR"/>
              </w:rPr>
            </w:pPr>
            <w:r w:rsidRPr="00D07E1D">
              <w:rPr>
                <w:rFonts w:ascii="Times New Roman" w:eastAsia="Times New Roman" w:hAnsi="Times New Roman" w:cs="Times New Roman"/>
                <w:color w:val="000000"/>
                <w:sz w:val="24"/>
                <w:szCs w:val="24"/>
              </w:rPr>
              <w:t xml:space="preserve">Johnson DC, Mueller DE, Deal AM, et al. Integrating Patient Preference into Treatment Decisions for Men with Prostate Cancer at the Point of Care. </w:t>
            </w:r>
            <w:r w:rsidRPr="00D07E1D">
              <w:rPr>
                <w:rFonts w:ascii="Times New Roman" w:eastAsia="Times New Roman" w:hAnsi="Times New Roman" w:cs="Times New Roman"/>
                <w:i/>
                <w:iCs/>
                <w:color w:val="000000"/>
                <w:sz w:val="24"/>
                <w:szCs w:val="24"/>
              </w:rPr>
              <w:t>J Urol</w:t>
            </w:r>
            <w:r w:rsidRPr="00D07E1D">
              <w:rPr>
                <w:rFonts w:ascii="Times New Roman" w:eastAsia="Times New Roman" w:hAnsi="Times New Roman" w:cs="Times New Roman"/>
                <w:color w:val="000000"/>
                <w:sz w:val="24"/>
                <w:szCs w:val="24"/>
              </w:rPr>
              <w:t>. 2016;196(6):1640-1644. doi:10.1016/j.juro.2016.06.082.</w:t>
            </w:r>
          </w:p>
        </w:tc>
      </w:tr>
      <w:tr w:rsidR="008749A3" w:rsidRPr="004A0C0B" w14:paraId="6C29E4C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EA118C6" w14:textId="36759043"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5</w:t>
            </w:r>
          </w:p>
        </w:tc>
        <w:tc>
          <w:tcPr>
            <w:tcW w:w="13600" w:type="dxa"/>
            <w:tcBorders>
              <w:top w:val="nil"/>
              <w:left w:val="nil"/>
              <w:bottom w:val="single" w:sz="4" w:space="0" w:color="auto"/>
              <w:right w:val="single" w:sz="4" w:space="0" w:color="auto"/>
            </w:tcBorders>
            <w:shd w:val="clear" w:color="auto" w:fill="auto"/>
          </w:tcPr>
          <w:p w14:paraId="65403B25" w14:textId="572C306E" w:rsidR="008749A3" w:rsidRPr="004A0C0B" w:rsidRDefault="008749A3"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Gong CL, Hay JW, Meeker D, Doctor JN. Prescriber preferences for behavioural economics interventions to improve treatment of acute respiratory infections: a discrete choice experiment. </w:t>
            </w:r>
            <w:r w:rsidRPr="004A0C0B">
              <w:rPr>
                <w:rFonts w:ascii="Times New Roman" w:eastAsia="Times New Roman" w:hAnsi="Times New Roman" w:cs="Times New Roman"/>
                <w:i/>
                <w:iCs/>
                <w:color w:val="000000"/>
                <w:sz w:val="24"/>
                <w:szCs w:val="24"/>
              </w:rPr>
              <w:t>BMJ Open</w:t>
            </w:r>
            <w:r w:rsidRPr="004A0C0B">
              <w:rPr>
                <w:rFonts w:ascii="Times New Roman" w:eastAsia="Times New Roman" w:hAnsi="Times New Roman" w:cs="Times New Roman"/>
                <w:color w:val="000000"/>
                <w:sz w:val="24"/>
                <w:szCs w:val="24"/>
              </w:rPr>
              <w:t>. 2016;6(9):e012739. doi:10.1136/bmjopen-2016-012739.</w:t>
            </w:r>
          </w:p>
        </w:tc>
      </w:tr>
      <w:tr w:rsidR="008749A3" w:rsidRPr="004A0C0B" w14:paraId="4DC94D5B"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E3A0361" w14:textId="34A0CC75" w:rsidR="008749A3" w:rsidRPr="000079ED" w:rsidRDefault="008749A3" w:rsidP="00534465">
            <w:pPr>
              <w:spacing w:after="0" w:line="240" w:lineRule="auto"/>
              <w:jc w:val="center"/>
              <w:rPr>
                <w:rFonts w:ascii="Times New Roman" w:eastAsia="Times New Roman" w:hAnsi="Times New Roman" w:cs="Times New Roman"/>
                <w:b/>
                <w:sz w:val="24"/>
                <w:szCs w:val="24"/>
                <w:lang w:val="fr-FR" w:eastAsia="fr-FR"/>
              </w:rPr>
            </w:pPr>
            <w:r w:rsidRPr="000079ED">
              <w:rPr>
                <w:rFonts w:ascii="Times New Roman" w:eastAsia="Times New Roman" w:hAnsi="Times New Roman" w:cs="Times New Roman"/>
                <w:b/>
                <w:color w:val="000000"/>
                <w:sz w:val="24"/>
                <w:szCs w:val="24"/>
              </w:rPr>
              <w:t>6</w:t>
            </w:r>
          </w:p>
        </w:tc>
        <w:tc>
          <w:tcPr>
            <w:tcW w:w="13600" w:type="dxa"/>
            <w:tcBorders>
              <w:top w:val="nil"/>
              <w:left w:val="nil"/>
              <w:bottom w:val="single" w:sz="4" w:space="0" w:color="auto"/>
              <w:right w:val="single" w:sz="4" w:space="0" w:color="auto"/>
            </w:tcBorders>
            <w:shd w:val="clear" w:color="auto" w:fill="auto"/>
          </w:tcPr>
          <w:p w14:paraId="32A06181" w14:textId="17D0865D"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0079ED">
              <w:rPr>
                <w:rFonts w:ascii="Times New Roman" w:eastAsia="Times New Roman" w:hAnsi="Times New Roman" w:cs="Times New Roman"/>
                <w:color w:val="000000"/>
                <w:sz w:val="24"/>
                <w:szCs w:val="24"/>
              </w:rPr>
              <w:t xml:space="preserve">Ammi M, Peyron C. Heterogeneity in general practitioners’ preferences for quality improvement programs: a choice experiment and policy simulation in France. </w:t>
            </w:r>
            <w:r w:rsidRPr="000079ED">
              <w:rPr>
                <w:rFonts w:ascii="Times New Roman" w:eastAsia="Times New Roman" w:hAnsi="Times New Roman" w:cs="Times New Roman"/>
                <w:i/>
                <w:iCs/>
                <w:color w:val="000000"/>
                <w:sz w:val="24"/>
                <w:szCs w:val="24"/>
              </w:rPr>
              <w:t>Health Econ Rev</w:t>
            </w:r>
            <w:r w:rsidRPr="000079ED">
              <w:rPr>
                <w:rFonts w:ascii="Times New Roman" w:eastAsia="Times New Roman" w:hAnsi="Times New Roman" w:cs="Times New Roman"/>
                <w:color w:val="000000"/>
                <w:sz w:val="24"/>
                <w:szCs w:val="24"/>
              </w:rPr>
              <w:t>. 2016;6(1):44. doi:10.1186/s13561-016-0121-7.</w:t>
            </w:r>
          </w:p>
        </w:tc>
      </w:tr>
      <w:tr w:rsidR="008749A3" w:rsidRPr="004A0C0B" w14:paraId="34E213F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EA97E71" w14:textId="08E4FA46" w:rsidR="008749A3" w:rsidRPr="000079ED" w:rsidRDefault="008749A3" w:rsidP="00534465">
            <w:pPr>
              <w:spacing w:after="0" w:line="240" w:lineRule="auto"/>
              <w:jc w:val="center"/>
              <w:rPr>
                <w:rFonts w:ascii="Times New Roman" w:eastAsia="Times New Roman" w:hAnsi="Times New Roman" w:cs="Times New Roman"/>
                <w:b/>
                <w:sz w:val="24"/>
                <w:szCs w:val="24"/>
                <w:lang w:val="fr-FR" w:eastAsia="fr-FR"/>
              </w:rPr>
            </w:pPr>
            <w:r w:rsidRPr="000079ED">
              <w:rPr>
                <w:rFonts w:ascii="Times New Roman" w:eastAsia="Times New Roman" w:hAnsi="Times New Roman" w:cs="Times New Roman"/>
                <w:b/>
                <w:color w:val="000000"/>
                <w:sz w:val="24"/>
                <w:szCs w:val="24"/>
              </w:rPr>
              <w:t>7</w:t>
            </w:r>
          </w:p>
        </w:tc>
        <w:tc>
          <w:tcPr>
            <w:tcW w:w="13600" w:type="dxa"/>
            <w:tcBorders>
              <w:top w:val="nil"/>
              <w:left w:val="nil"/>
              <w:bottom w:val="single" w:sz="4" w:space="0" w:color="auto"/>
              <w:right w:val="single" w:sz="4" w:space="0" w:color="auto"/>
            </w:tcBorders>
            <w:shd w:val="clear" w:color="auto" w:fill="auto"/>
          </w:tcPr>
          <w:p w14:paraId="07647B7D" w14:textId="5361F904"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0079ED">
              <w:rPr>
                <w:rFonts w:ascii="Times New Roman" w:eastAsia="Times New Roman" w:hAnsi="Times New Roman" w:cs="Times New Roman"/>
                <w:color w:val="000000"/>
                <w:sz w:val="24"/>
                <w:szCs w:val="24"/>
              </w:rPr>
              <w:t xml:space="preserve">Shiratori S, Agyekum EO, Shibanuma A, et al. Motivation and incentive preferences of community health officers in Ghana: an economic behavioral experiment approach. </w:t>
            </w:r>
            <w:r w:rsidRPr="000079ED">
              <w:rPr>
                <w:rFonts w:ascii="Times New Roman" w:eastAsia="Times New Roman" w:hAnsi="Times New Roman" w:cs="Times New Roman"/>
                <w:i/>
                <w:iCs/>
                <w:color w:val="000000"/>
                <w:sz w:val="24"/>
                <w:szCs w:val="24"/>
              </w:rPr>
              <w:t>Hum Resour Health</w:t>
            </w:r>
            <w:r w:rsidRPr="000079ED">
              <w:rPr>
                <w:rFonts w:ascii="Times New Roman" w:eastAsia="Times New Roman" w:hAnsi="Times New Roman" w:cs="Times New Roman"/>
                <w:color w:val="000000"/>
                <w:sz w:val="24"/>
                <w:szCs w:val="24"/>
              </w:rPr>
              <w:t>. 2016;14(1):53. doi:10.1186/s12960-016-0148-1.</w:t>
            </w:r>
          </w:p>
        </w:tc>
      </w:tr>
      <w:tr w:rsidR="008749A3" w:rsidRPr="004A0C0B" w14:paraId="18B0CE45"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025F035" w14:textId="00B78377" w:rsidR="008749A3" w:rsidRPr="003F3D0D" w:rsidRDefault="008749A3" w:rsidP="00534465">
            <w:pPr>
              <w:spacing w:after="0" w:line="240" w:lineRule="auto"/>
              <w:jc w:val="center"/>
              <w:rPr>
                <w:rFonts w:ascii="Times New Roman" w:eastAsia="Times New Roman" w:hAnsi="Times New Roman" w:cs="Times New Roman"/>
                <w:b/>
                <w:sz w:val="24"/>
                <w:szCs w:val="24"/>
                <w:lang w:val="fr-FR" w:eastAsia="fr-FR"/>
              </w:rPr>
            </w:pPr>
            <w:r w:rsidRPr="003F3D0D">
              <w:rPr>
                <w:rFonts w:ascii="Times New Roman" w:eastAsia="Times New Roman" w:hAnsi="Times New Roman" w:cs="Times New Roman"/>
                <w:b/>
                <w:color w:val="000000"/>
                <w:sz w:val="24"/>
                <w:szCs w:val="24"/>
              </w:rPr>
              <w:t>8</w:t>
            </w:r>
          </w:p>
        </w:tc>
        <w:tc>
          <w:tcPr>
            <w:tcW w:w="13600" w:type="dxa"/>
            <w:tcBorders>
              <w:top w:val="nil"/>
              <w:left w:val="nil"/>
              <w:bottom w:val="single" w:sz="4" w:space="0" w:color="auto"/>
              <w:right w:val="single" w:sz="4" w:space="0" w:color="auto"/>
            </w:tcBorders>
            <w:shd w:val="clear" w:color="auto" w:fill="auto"/>
          </w:tcPr>
          <w:p w14:paraId="2A7D018A" w14:textId="1B3B2F72"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3F3D0D">
              <w:rPr>
                <w:rFonts w:ascii="Times New Roman" w:eastAsia="Times New Roman" w:hAnsi="Times New Roman" w:cs="Times New Roman"/>
                <w:color w:val="000000"/>
                <w:sz w:val="24"/>
                <w:szCs w:val="24"/>
              </w:rPr>
              <w:t xml:space="preserve">Barrett AN, Advani HV, Chitty LS, et al. Evaluation of preferences of women and healthcare professionals in Singapore for implementation of noninvasive prenatal testing for Down syndrome. </w:t>
            </w:r>
            <w:r w:rsidRPr="003F3D0D">
              <w:rPr>
                <w:rFonts w:ascii="Times New Roman" w:eastAsia="Times New Roman" w:hAnsi="Times New Roman" w:cs="Times New Roman"/>
                <w:i/>
                <w:iCs/>
                <w:color w:val="000000"/>
                <w:sz w:val="24"/>
                <w:szCs w:val="24"/>
              </w:rPr>
              <w:t>Singapore Med J</w:t>
            </w:r>
            <w:r w:rsidRPr="003F3D0D">
              <w:rPr>
                <w:rFonts w:ascii="Times New Roman" w:eastAsia="Times New Roman" w:hAnsi="Times New Roman" w:cs="Times New Roman"/>
                <w:color w:val="000000"/>
                <w:sz w:val="24"/>
                <w:szCs w:val="24"/>
              </w:rPr>
              <w:t>. 2016;(June 2016):1-31. doi:10.11622/smedj.2016114.</w:t>
            </w:r>
          </w:p>
        </w:tc>
      </w:tr>
      <w:tr w:rsidR="008749A3" w:rsidRPr="004A0C0B" w14:paraId="026C4F07"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1E5FD50" w14:textId="0476FB88"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9</w:t>
            </w:r>
          </w:p>
        </w:tc>
        <w:tc>
          <w:tcPr>
            <w:tcW w:w="13600" w:type="dxa"/>
            <w:tcBorders>
              <w:top w:val="nil"/>
              <w:left w:val="nil"/>
              <w:bottom w:val="single" w:sz="4" w:space="0" w:color="auto"/>
              <w:right w:val="single" w:sz="4" w:space="0" w:color="auto"/>
            </w:tcBorders>
            <w:shd w:val="clear" w:color="auto" w:fill="auto"/>
          </w:tcPr>
          <w:p w14:paraId="7F33D481" w14:textId="639C48E6"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Morel T, Aymé S, Cassiman D, et al. Quantifying benefit-risk preferences for new medicines in rare disease patients and caregivers. </w:t>
            </w:r>
            <w:r w:rsidRPr="004A0C0B">
              <w:rPr>
                <w:rFonts w:ascii="Times New Roman" w:eastAsia="Times New Roman" w:hAnsi="Times New Roman" w:cs="Times New Roman"/>
                <w:i/>
                <w:iCs/>
                <w:color w:val="000000"/>
                <w:sz w:val="24"/>
                <w:szCs w:val="24"/>
              </w:rPr>
              <w:t>Orphanet J Rare Dis</w:t>
            </w:r>
            <w:r w:rsidRPr="004A0C0B">
              <w:rPr>
                <w:rFonts w:ascii="Times New Roman" w:eastAsia="Times New Roman" w:hAnsi="Times New Roman" w:cs="Times New Roman"/>
                <w:color w:val="000000"/>
                <w:sz w:val="24"/>
                <w:szCs w:val="24"/>
              </w:rPr>
              <w:t>. 2016;11(1):70. doi:10.1186/s13023-016-0444-9.</w:t>
            </w:r>
          </w:p>
        </w:tc>
      </w:tr>
      <w:tr w:rsidR="008749A3" w:rsidRPr="004A0C0B" w14:paraId="7137C6A7"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0208441" w14:textId="55AF69FE" w:rsidR="008749A3" w:rsidRPr="000079ED" w:rsidRDefault="008749A3" w:rsidP="00534465">
            <w:pPr>
              <w:spacing w:after="0" w:line="240" w:lineRule="auto"/>
              <w:jc w:val="center"/>
              <w:rPr>
                <w:rFonts w:ascii="Times New Roman" w:eastAsia="Times New Roman" w:hAnsi="Times New Roman" w:cs="Times New Roman"/>
                <w:b/>
                <w:sz w:val="24"/>
                <w:szCs w:val="24"/>
                <w:lang w:val="fr-FR" w:eastAsia="fr-FR"/>
              </w:rPr>
            </w:pPr>
            <w:r w:rsidRPr="000079ED">
              <w:rPr>
                <w:rFonts w:ascii="Times New Roman" w:eastAsia="Times New Roman" w:hAnsi="Times New Roman" w:cs="Times New Roman"/>
                <w:b/>
                <w:color w:val="000000"/>
                <w:sz w:val="24"/>
                <w:szCs w:val="24"/>
              </w:rPr>
              <w:t>10</w:t>
            </w:r>
          </w:p>
        </w:tc>
        <w:tc>
          <w:tcPr>
            <w:tcW w:w="13600" w:type="dxa"/>
            <w:tcBorders>
              <w:top w:val="nil"/>
              <w:left w:val="nil"/>
              <w:bottom w:val="single" w:sz="4" w:space="0" w:color="auto"/>
              <w:right w:val="single" w:sz="4" w:space="0" w:color="auto"/>
            </w:tcBorders>
            <w:shd w:val="clear" w:color="auto" w:fill="auto"/>
          </w:tcPr>
          <w:p w14:paraId="4A7E7ABF" w14:textId="45821C99"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0079ED">
              <w:rPr>
                <w:rFonts w:ascii="Times New Roman" w:eastAsia="Times New Roman" w:hAnsi="Times New Roman" w:cs="Times New Roman"/>
                <w:color w:val="000000"/>
                <w:sz w:val="24"/>
                <w:szCs w:val="24"/>
              </w:rPr>
              <w:t xml:space="preserve">Harrison M, Marra CA, Bansback N. Preferences for “New” Treatments Diminish in the Face of Ambiguity. </w:t>
            </w:r>
            <w:r w:rsidRPr="000079ED">
              <w:rPr>
                <w:rFonts w:ascii="Times New Roman" w:eastAsia="Times New Roman" w:hAnsi="Times New Roman" w:cs="Times New Roman"/>
                <w:i/>
                <w:iCs/>
                <w:color w:val="000000"/>
                <w:sz w:val="24"/>
                <w:szCs w:val="24"/>
              </w:rPr>
              <w:t>Health Economics (United Kingdom)</w:t>
            </w:r>
            <w:r w:rsidRPr="000079ED">
              <w:rPr>
                <w:rFonts w:ascii="Times New Roman" w:eastAsia="Times New Roman" w:hAnsi="Times New Roman" w:cs="Times New Roman"/>
                <w:color w:val="000000"/>
                <w:sz w:val="24"/>
                <w:szCs w:val="24"/>
              </w:rPr>
              <w:t>. http://doi.wiley.com/10.1002/hec.3353. Published 2016. Accessed February 1, 2017.</w:t>
            </w:r>
          </w:p>
        </w:tc>
      </w:tr>
      <w:tr w:rsidR="008749A3" w:rsidRPr="004A0C0B" w14:paraId="12AB473D"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03CCE9A3" w14:textId="2B9005EE"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11</w:t>
            </w:r>
          </w:p>
        </w:tc>
        <w:tc>
          <w:tcPr>
            <w:tcW w:w="13600" w:type="dxa"/>
            <w:tcBorders>
              <w:top w:val="nil"/>
              <w:left w:val="nil"/>
              <w:bottom w:val="single" w:sz="4" w:space="0" w:color="auto"/>
              <w:right w:val="single" w:sz="4" w:space="0" w:color="auto"/>
            </w:tcBorders>
            <w:shd w:val="clear" w:color="auto" w:fill="auto"/>
          </w:tcPr>
          <w:p w14:paraId="672BB428" w14:textId="4F4047F6"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Herman PM, Ingram M, Cunningham CE, et al. A Comparison of Methods for Capturing Patient Preferences for Delivery of Mental Health Services to Low-Income Hispanics Engaged in Primary Care. </w:t>
            </w:r>
            <w:r w:rsidRPr="004A0C0B">
              <w:rPr>
                <w:rFonts w:ascii="Times New Roman" w:eastAsia="Times New Roman" w:hAnsi="Times New Roman" w:cs="Times New Roman"/>
                <w:i/>
                <w:iCs/>
                <w:color w:val="000000"/>
                <w:sz w:val="24"/>
                <w:szCs w:val="24"/>
              </w:rPr>
              <w:t>Patient</w:t>
            </w:r>
            <w:r w:rsidRPr="004A0C0B">
              <w:rPr>
                <w:rFonts w:ascii="Times New Roman" w:eastAsia="Times New Roman" w:hAnsi="Times New Roman" w:cs="Times New Roman"/>
                <w:color w:val="000000"/>
                <w:sz w:val="24"/>
                <w:szCs w:val="24"/>
              </w:rPr>
              <w:t>. 2016;9(4):293-301. doi:10.1007/s40271-015-0155-7.</w:t>
            </w:r>
          </w:p>
        </w:tc>
      </w:tr>
      <w:tr w:rsidR="008749A3" w:rsidRPr="004A0C0B" w14:paraId="0F360EDC"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4FD8A76E" w14:textId="701593A9"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12</w:t>
            </w:r>
          </w:p>
        </w:tc>
        <w:tc>
          <w:tcPr>
            <w:tcW w:w="13600" w:type="dxa"/>
            <w:tcBorders>
              <w:top w:val="nil"/>
              <w:left w:val="nil"/>
              <w:bottom w:val="single" w:sz="4" w:space="0" w:color="auto"/>
              <w:right w:val="single" w:sz="4" w:space="0" w:color="auto"/>
            </w:tcBorders>
            <w:shd w:val="clear" w:color="auto" w:fill="auto"/>
          </w:tcPr>
          <w:p w14:paraId="459C109C" w14:textId="06CEBECC"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Chen T-T, Lai M-S, Chung K-P. Participating physician preferences regarding a pay-for-performance incentive design: a discrete choice experiment. </w:t>
            </w:r>
            <w:r w:rsidRPr="004A0C0B">
              <w:rPr>
                <w:rFonts w:ascii="Times New Roman" w:eastAsia="Times New Roman" w:hAnsi="Times New Roman" w:cs="Times New Roman"/>
                <w:i/>
                <w:iCs/>
                <w:color w:val="000000"/>
                <w:sz w:val="24"/>
                <w:szCs w:val="24"/>
              </w:rPr>
              <w:t>Int J Qual Heal Care</w:t>
            </w:r>
            <w:r w:rsidRPr="004A0C0B">
              <w:rPr>
                <w:rFonts w:ascii="Times New Roman" w:eastAsia="Times New Roman" w:hAnsi="Times New Roman" w:cs="Times New Roman"/>
                <w:color w:val="000000"/>
                <w:sz w:val="24"/>
                <w:szCs w:val="24"/>
              </w:rPr>
              <w:t>. 2016;28(1):40-46. doi:10.1093/intqhc/mzv098.</w:t>
            </w:r>
          </w:p>
        </w:tc>
      </w:tr>
      <w:tr w:rsidR="008749A3" w:rsidRPr="004A0C0B" w14:paraId="67B4F3EB" w14:textId="77777777" w:rsidTr="00733E64">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27E4CDC3" w14:textId="447A4A16" w:rsidR="008749A3" w:rsidRPr="00B83DB0" w:rsidRDefault="008749A3" w:rsidP="00534465">
            <w:pPr>
              <w:spacing w:after="0" w:line="240" w:lineRule="auto"/>
              <w:jc w:val="center"/>
              <w:rPr>
                <w:rFonts w:ascii="Times New Roman" w:eastAsia="Times New Roman" w:hAnsi="Times New Roman" w:cs="Times New Roman"/>
                <w:b/>
                <w:sz w:val="24"/>
                <w:szCs w:val="24"/>
                <w:lang w:val="fr-FR" w:eastAsia="fr-FR"/>
              </w:rPr>
            </w:pPr>
            <w:r w:rsidRPr="00B83DB0">
              <w:rPr>
                <w:rFonts w:ascii="Times New Roman" w:eastAsia="Times New Roman" w:hAnsi="Times New Roman" w:cs="Times New Roman"/>
                <w:b/>
                <w:color w:val="000000"/>
                <w:sz w:val="24"/>
                <w:szCs w:val="24"/>
              </w:rPr>
              <w:t>13</w:t>
            </w:r>
          </w:p>
        </w:tc>
        <w:tc>
          <w:tcPr>
            <w:tcW w:w="13600" w:type="dxa"/>
            <w:tcBorders>
              <w:top w:val="single" w:sz="4" w:space="0" w:color="auto"/>
              <w:left w:val="single" w:sz="4" w:space="0" w:color="auto"/>
              <w:bottom w:val="single" w:sz="4" w:space="0" w:color="auto"/>
              <w:right w:val="single" w:sz="4" w:space="0" w:color="auto"/>
            </w:tcBorders>
            <w:shd w:val="clear" w:color="auto" w:fill="auto"/>
          </w:tcPr>
          <w:p w14:paraId="0FB68264" w14:textId="22790DC1"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B83DB0">
              <w:rPr>
                <w:rFonts w:ascii="Times New Roman" w:eastAsia="Times New Roman" w:hAnsi="Times New Roman" w:cs="Times New Roman"/>
                <w:color w:val="000000"/>
                <w:sz w:val="24"/>
                <w:szCs w:val="24"/>
              </w:rPr>
              <w:t xml:space="preserve">Lock J, de Bekker-Grob EW, Urhan G, et al. Facilitating the implementation of pharmacokinetic-guided dosing of prophylaxis in haemophilia care by discrete choice experiment. </w:t>
            </w:r>
            <w:r w:rsidRPr="00B83DB0">
              <w:rPr>
                <w:rFonts w:ascii="Times New Roman" w:eastAsia="Times New Roman" w:hAnsi="Times New Roman" w:cs="Times New Roman"/>
                <w:i/>
                <w:iCs/>
                <w:color w:val="000000"/>
                <w:sz w:val="24"/>
                <w:szCs w:val="24"/>
              </w:rPr>
              <w:t>Haemophilia</w:t>
            </w:r>
            <w:r w:rsidRPr="00B83DB0">
              <w:rPr>
                <w:rFonts w:ascii="Times New Roman" w:eastAsia="Times New Roman" w:hAnsi="Times New Roman" w:cs="Times New Roman"/>
                <w:color w:val="000000"/>
                <w:sz w:val="24"/>
                <w:szCs w:val="24"/>
              </w:rPr>
              <w:t>. 2016;22(1):e1-e10. doi:10.1111/hae.12851.</w:t>
            </w:r>
          </w:p>
        </w:tc>
      </w:tr>
      <w:tr w:rsidR="008749A3" w:rsidRPr="004A0C0B" w14:paraId="4D6707FF" w14:textId="77777777" w:rsidTr="00733E64">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23FE640D" w14:textId="19115DD6"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lastRenderedPageBreak/>
              <w:t>14</w:t>
            </w:r>
          </w:p>
        </w:tc>
        <w:tc>
          <w:tcPr>
            <w:tcW w:w="13600" w:type="dxa"/>
            <w:tcBorders>
              <w:top w:val="single" w:sz="4" w:space="0" w:color="auto"/>
              <w:left w:val="nil"/>
              <w:bottom w:val="single" w:sz="4" w:space="0" w:color="auto"/>
              <w:right w:val="single" w:sz="4" w:space="0" w:color="auto"/>
            </w:tcBorders>
            <w:shd w:val="clear" w:color="auto" w:fill="auto"/>
          </w:tcPr>
          <w:p w14:paraId="71510CDA" w14:textId="4A49A179" w:rsidR="008749A3" w:rsidRPr="004A0C0B" w:rsidRDefault="008749A3"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Hill M, Johnson J-A, Langlois S, et al. Preferences for prenatal tests for Down syndrome: an international comparison of the views of pregnant women and health professionals. </w:t>
            </w:r>
            <w:r w:rsidRPr="004A0C0B">
              <w:rPr>
                <w:rFonts w:ascii="Times New Roman" w:eastAsia="Times New Roman" w:hAnsi="Times New Roman" w:cs="Times New Roman"/>
                <w:i/>
                <w:iCs/>
                <w:color w:val="000000"/>
                <w:sz w:val="24"/>
                <w:szCs w:val="24"/>
              </w:rPr>
              <w:t>Eur J Hum Genet</w:t>
            </w:r>
            <w:r w:rsidRPr="004A0C0B">
              <w:rPr>
                <w:rFonts w:ascii="Times New Roman" w:eastAsia="Times New Roman" w:hAnsi="Times New Roman" w:cs="Times New Roman"/>
                <w:color w:val="000000"/>
                <w:sz w:val="24"/>
                <w:szCs w:val="24"/>
              </w:rPr>
              <w:t>. 2016;24(7):968-975. doi:10.1038/ejhg.2015.249.</w:t>
            </w:r>
          </w:p>
        </w:tc>
      </w:tr>
      <w:tr w:rsidR="008749A3" w:rsidRPr="004A0C0B" w14:paraId="40B2FC1B"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04AAA4C5" w14:textId="05C48AC8"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15</w:t>
            </w:r>
          </w:p>
        </w:tc>
        <w:tc>
          <w:tcPr>
            <w:tcW w:w="13600" w:type="dxa"/>
            <w:tcBorders>
              <w:top w:val="nil"/>
              <w:left w:val="nil"/>
              <w:bottom w:val="single" w:sz="4" w:space="0" w:color="auto"/>
              <w:right w:val="single" w:sz="4" w:space="0" w:color="auto"/>
            </w:tcBorders>
            <w:shd w:val="clear" w:color="auto" w:fill="auto"/>
          </w:tcPr>
          <w:p w14:paraId="217FD8F5" w14:textId="600CDCBE"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Tang EC, Galea JT, Kinsler JJ, et al. Using conjoint analysis to determine the impact of product and user characteristics on acceptability of rectal microbicides for HIV prevention among Peruvian men who have sex with men. </w:t>
            </w:r>
            <w:r w:rsidRPr="004A0C0B">
              <w:rPr>
                <w:rFonts w:ascii="Times New Roman" w:eastAsia="Times New Roman" w:hAnsi="Times New Roman" w:cs="Times New Roman"/>
                <w:i/>
                <w:iCs/>
                <w:color w:val="000000"/>
                <w:sz w:val="24"/>
                <w:szCs w:val="24"/>
              </w:rPr>
              <w:t>Sex Transm Infect</w:t>
            </w:r>
            <w:r w:rsidRPr="004A0C0B">
              <w:rPr>
                <w:rFonts w:ascii="Times New Roman" w:eastAsia="Times New Roman" w:hAnsi="Times New Roman" w:cs="Times New Roman"/>
                <w:color w:val="000000"/>
                <w:sz w:val="24"/>
                <w:szCs w:val="24"/>
              </w:rPr>
              <w:t>. 2016;92(3):200-205. doi:10.1136/sextrans-2015-052028.</w:t>
            </w:r>
          </w:p>
        </w:tc>
      </w:tr>
      <w:tr w:rsidR="008749A3" w:rsidRPr="004A0C0B" w14:paraId="31EFE55A"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D7E6E21" w14:textId="687D46CD"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16</w:t>
            </w:r>
          </w:p>
        </w:tc>
        <w:tc>
          <w:tcPr>
            <w:tcW w:w="13600" w:type="dxa"/>
            <w:tcBorders>
              <w:top w:val="nil"/>
              <w:left w:val="nil"/>
              <w:bottom w:val="single" w:sz="4" w:space="0" w:color="auto"/>
              <w:right w:val="single" w:sz="4" w:space="0" w:color="auto"/>
            </w:tcBorders>
            <w:shd w:val="clear" w:color="auto" w:fill="auto"/>
          </w:tcPr>
          <w:p w14:paraId="6653A50E" w14:textId="29122840"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Spinks J, Janda M, Soyer HP, Whitty JA. Consumer preferences for teledermoscopy screening to detect melanoma early. </w:t>
            </w:r>
            <w:r w:rsidRPr="004A0C0B">
              <w:rPr>
                <w:rFonts w:ascii="Times New Roman" w:eastAsia="Times New Roman" w:hAnsi="Times New Roman" w:cs="Times New Roman"/>
                <w:i/>
                <w:iCs/>
                <w:color w:val="000000"/>
                <w:sz w:val="24"/>
                <w:szCs w:val="24"/>
              </w:rPr>
              <w:t>J Telemed Telecare</w:t>
            </w:r>
            <w:r w:rsidRPr="004A0C0B">
              <w:rPr>
                <w:rFonts w:ascii="Times New Roman" w:eastAsia="Times New Roman" w:hAnsi="Times New Roman" w:cs="Times New Roman"/>
                <w:color w:val="000000"/>
                <w:sz w:val="24"/>
                <w:szCs w:val="24"/>
              </w:rPr>
              <w:t>. 2016;22(1):39-46. doi:10.1177/1357633X15586701.</w:t>
            </w:r>
          </w:p>
        </w:tc>
      </w:tr>
      <w:tr w:rsidR="008749A3" w:rsidRPr="004A0C0B" w14:paraId="70EECB14"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B3E6A50" w14:textId="389EE9CE" w:rsidR="008749A3" w:rsidRPr="00B44049" w:rsidRDefault="008749A3" w:rsidP="00534465">
            <w:pPr>
              <w:spacing w:after="0" w:line="240" w:lineRule="auto"/>
              <w:jc w:val="center"/>
              <w:rPr>
                <w:rFonts w:ascii="Times New Roman" w:eastAsia="Times New Roman" w:hAnsi="Times New Roman" w:cs="Times New Roman"/>
                <w:b/>
                <w:sz w:val="24"/>
                <w:szCs w:val="24"/>
                <w:lang w:val="fr-FR" w:eastAsia="fr-FR"/>
              </w:rPr>
            </w:pPr>
            <w:r w:rsidRPr="00B44049">
              <w:rPr>
                <w:rFonts w:ascii="Times New Roman" w:eastAsia="Times New Roman" w:hAnsi="Times New Roman" w:cs="Times New Roman"/>
                <w:b/>
                <w:color w:val="000000"/>
                <w:sz w:val="24"/>
                <w:szCs w:val="24"/>
              </w:rPr>
              <w:t>17</w:t>
            </w:r>
          </w:p>
        </w:tc>
        <w:tc>
          <w:tcPr>
            <w:tcW w:w="13600" w:type="dxa"/>
            <w:tcBorders>
              <w:top w:val="nil"/>
              <w:left w:val="nil"/>
              <w:bottom w:val="single" w:sz="4" w:space="0" w:color="auto"/>
              <w:right w:val="single" w:sz="4" w:space="0" w:color="auto"/>
            </w:tcBorders>
            <w:shd w:val="clear" w:color="auto" w:fill="auto"/>
          </w:tcPr>
          <w:p w14:paraId="048156E2" w14:textId="437C5369"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B44049">
              <w:rPr>
                <w:rFonts w:ascii="Times New Roman" w:eastAsia="Times New Roman" w:hAnsi="Times New Roman" w:cs="Times New Roman"/>
                <w:color w:val="000000"/>
                <w:sz w:val="24"/>
                <w:szCs w:val="24"/>
              </w:rPr>
              <w:t xml:space="preserve">Becker MPE, Christensen BK, Cunningham CE, et al. Preferences for Early Intervention Mental Health Services: A Discrete-Choice Conjoint Experiment. </w:t>
            </w:r>
            <w:r w:rsidRPr="00B44049">
              <w:rPr>
                <w:rFonts w:ascii="Times New Roman" w:eastAsia="Times New Roman" w:hAnsi="Times New Roman" w:cs="Times New Roman"/>
                <w:i/>
                <w:iCs/>
                <w:color w:val="000000"/>
                <w:sz w:val="24"/>
                <w:szCs w:val="24"/>
              </w:rPr>
              <w:t>Psychiatr Serv</w:t>
            </w:r>
            <w:r w:rsidRPr="00B44049">
              <w:rPr>
                <w:rFonts w:ascii="Times New Roman" w:eastAsia="Times New Roman" w:hAnsi="Times New Roman" w:cs="Times New Roman"/>
                <w:color w:val="000000"/>
                <w:sz w:val="24"/>
                <w:szCs w:val="24"/>
              </w:rPr>
              <w:t>. 2016;67(2):184-191. doi:10.1176/appi.ps.201400306.</w:t>
            </w:r>
          </w:p>
        </w:tc>
      </w:tr>
      <w:tr w:rsidR="008749A3" w:rsidRPr="004A0C0B" w14:paraId="5E21DD11"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3F1BA33" w14:textId="1398B93D"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18</w:t>
            </w:r>
          </w:p>
        </w:tc>
        <w:tc>
          <w:tcPr>
            <w:tcW w:w="13600" w:type="dxa"/>
            <w:tcBorders>
              <w:top w:val="nil"/>
              <w:left w:val="nil"/>
              <w:bottom w:val="single" w:sz="4" w:space="0" w:color="auto"/>
              <w:right w:val="single" w:sz="4" w:space="0" w:color="auto"/>
            </w:tcBorders>
            <w:shd w:val="clear" w:color="auto" w:fill="auto"/>
          </w:tcPr>
          <w:p w14:paraId="3B80FACA" w14:textId="650727AF"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Kasteng F, Settumba S, Källander K, et al. Valuing the work of unpaid community health workers and exploring the incentives to volunteering in rural Africa. </w:t>
            </w:r>
            <w:r w:rsidRPr="004A0C0B">
              <w:rPr>
                <w:rFonts w:ascii="Times New Roman" w:eastAsia="Times New Roman" w:hAnsi="Times New Roman" w:cs="Times New Roman"/>
                <w:i/>
                <w:iCs/>
                <w:color w:val="000000"/>
                <w:sz w:val="24"/>
                <w:szCs w:val="24"/>
              </w:rPr>
              <w:t>Health Policy Plan</w:t>
            </w:r>
            <w:r w:rsidRPr="004A0C0B">
              <w:rPr>
                <w:rFonts w:ascii="Times New Roman" w:eastAsia="Times New Roman" w:hAnsi="Times New Roman" w:cs="Times New Roman"/>
                <w:color w:val="000000"/>
                <w:sz w:val="24"/>
                <w:szCs w:val="24"/>
              </w:rPr>
              <w:t>. 2016;31(2):205-216. doi:10.1093/heapol/czv042.</w:t>
            </w:r>
          </w:p>
        </w:tc>
      </w:tr>
      <w:tr w:rsidR="008749A3" w:rsidRPr="004A0C0B" w14:paraId="3816332C"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42AAC2B" w14:textId="5E8A4C33"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19</w:t>
            </w:r>
          </w:p>
        </w:tc>
        <w:tc>
          <w:tcPr>
            <w:tcW w:w="13600" w:type="dxa"/>
            <w:tcBorders>
              <w:top w:val="nil"/>
              <w:left w:val="nil"/>
              <w:bottom w:val="single" w:sz="4" w:space="0" w:color="auto"/>
              <w:right w:val="single" w:sz="4" w:space="0" w:color="auto"/>
            </w:tcBorders>
            <w:shd w:val="clear" w:color="auto" w:fill="auto"/>
          </w:tcPr>
          <w:p w14:paraId="041BC30B" w14:textId="7A9A2261"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Bailey K, Cunningham C, Pemberton J, Rimas H, Morrison KM. Understanding Academic Clinicians’ Decision Making for the Treatment of Childhood Obesity. doi:10.1089/chi.2015.0031.</w:t>
            </w:r>
          </w:p>
        </w:tc>
      </w:tr>
      <w:tr w:rsidR="008749A3" w:rsidRPr="004A0C0B" w14:paraId="5AF0FD4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46B5DEF9" w14:textId="0625EBFC"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20</w:t>
            </w:r>
          </w:p>
        </w:tc>
        <w:tc>
          <w:tcPr>
            <w:tcW w:w="13600" w:type="dxa"/>
            <w:tcBorders>
              <w:top w:val="nil"/>
              <w:left w:val="nil"/>
              <w:bottom w:val="single" w:sz="4" w:space="0" w:color="auto"/>
              <w:right w:val="single" w:sz="4" w:space="0" w:color="auto"/>
            </w:tcBorders>
            <w:shd w:val="clear" w:color="auto" w:fill="auto"/>
          </w:tcPr>
          <w:p w14:paraId="4A37D4F1" w14:textId="77DAE90D" w:rsidR="008749A3" w:rsidRPr="004A0C0B" w:rsidRDefault="008749A3"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Grudniewicz A, Bhattacharyya O, Mckibbon KA, Straus SE. Redesigning printed educational materials for primary care physicians: design improvements increase usability. </w:t>
            </w:r>
            <w:r w:rsidRPr="004A0C0B">
              <w:rPr>
                <w:rFonts w:ascii="Times New Roman" w:eastAsia="Times New Roman" w:hAnsi="Times New Roman" w:cs="Times New Roman"/>
                <w:i/>
                <w:iCs/>
                <w:color w:val="000000"/>
                <w:sz w:val="24"/>
                <w:szCs w:val="24"/>
              </w:rPr>
              <w:t>Implement Sci</w:t>
            </w:r>
            <w:r w:rsidRPr="004A0C0B">
              <w:rPr>
                <w:rFonts w:ascii="Times New Roman" w:eastAsia="Times New Roman" w:hAnsi="Times New Roman" w:cs="Times New Roman"/>
                <w:color w:val="000000"/>
                <w:sz w:val="24"/>
                <w:szCs w:val="24"/>
              </w:rPr>
              <w:t>. 2012;10:13. doi:10.1186/s13012-015-0339-5.</w:t>
            </w:r>
          </w:p>
        </w:tc>
      </w:tr>
      <w:tr w:rsidR="008749A3" w:rsidRPr="004A0C0B" w14:paraId="172819A0"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A30D9C4" w14:textId="242B9501"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21</w:t>
            </w:r>
          </w:p>
        </w:tc>
        <w:tc>
          <w:tcPr>
            <w:tcW w:w="13600" w:type="dxa"/>
            <w:tcBorders>
              <w:top w:val="nil"/>
              <w:left w:val="nil"/>
              <w:bottom w:val="single" w:sz="4" w:space="0" w:color="auto"/>
              <w:right w:val="single" w:sz="4" w:space="0" w:color="auto"/>
            </w:tcBorders>
            <w:shd w:val="clear" w:color="auto" w:fill="auto"/>
          </w:tcPr>
          <w:p w14:paraId="6F1F19A7" w14:textId="370015D0"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Powell G, Holmes EAF, Plumpton CO, et al. Pharmacogenetic testing prior to carbamazepine treatment of epilepsy: patients’ and physicians’ preferences for testing and service delivery. </w:t>
            </w:r>
            <w:r w:rsidRPr="004A0C0B">
              <w:rPr>
                <w:rFonts w:ascii="Times New Roman" w:eastAsia="Times New Roman" w:hAnsi="Times New Roman" w:cs="Times New Roman"/>
                <w:i/>
                <w:iCs/>
                <w:color w:val="000000"/>
                <w:sz w:val="24"/>
                <w:szCs w:val="24"/>
              </w:rPr>
              <w:t>Br J Clin Pharmacol</w:t>
            </w:r>
            <w:r w:rsidRPr="004A0C0B">
              <w:rPr>
                <w:rFonts w:ascii="Times New Roman" w:eastAsia="Times New Roman" w:hAnsi="Times New Roman" w:cs="Times New Roman"/>
                <w:color w:val="000000"/>
                <w:sz w:val="24"/>
                <w:szCs w:val="24"/>
              </w:rPr>
              <w:t>. 2015;80(5):1149-1159. doi:10.1111/bcp.12715.</w:t>
            </w:r>
          </w:p>
        </w:tc>
      </w:tr>
      <w:tr w:rsidR="008749A3" w:rsidRPr="004A0C0B" w14:paraId="17DE02C4"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786BCFA3" w14:textId="1951AD39"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22</w:t>
            </w:r>
          </w:p>
        </w:tc>
        <w:tc>
          <w:tcPr>
            <w:tcW w:w="13600" w:type="dxa"/>
            <w:tcBorders>
              <w:top w:val="nil"/>
              <w:left w:val="nil"/>
              <w:bottom w:val="single" w:sz="4" w:space="0" w:color="auto"/>
              <w:right w:val="single" w:sz="4" w:space="0" w:color="auto"/>
            </w:tcBorders>
            <w:shd w:val="clear" w:color="auto" w:fill="auto"/>
          </w:tcPr>
          <w:p w14:paraId="5B09891D" w14:textId="6D6F2352"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Agyei-Baffour P, Boahemaa MY, Addy EA. Contraceptive preferences and use among auto artisanal workers in the informal sector of Kumasi, Ghana: a discrete choice experiment. </w:t>
            </w:r>
            <w:r w:rsidRPr="004A0C0B">
              <w:rPr>
                <w:rFonts w:ascii="Times New Roman" w:eastAsia="Times New Roman" w:hAnsi="Times New Roman" w:cs="Times New Roman"/>
                <w:i/>
                <w:iCs/>
                <w:color w:val="000000"/>
                <w:sz w:val="24"/>
                <w:szCs w:val="24"/>
              </w:rPr>
              <w:t>Reprod Health</w:t>
            </w:r>
            <w:r w:rsidRPr="004A0C0B">
              <w:rPr>
                <w:rFonts w:ascii="Times New Roman" w:eastAsia="Times New Roman" w:hAnsi="Times New Roman" w:cs="Times New Roman"/>
                <w:color w:val="000000"/>
                <w:sz w:val="24"/>
                <w:szCs w:val="24"/>
              </w:rPr>
              <w:t>. 2015;12:32. doi:10.1186/s12978-015-0022-y.</w:t>
            </w:r>
          </w:p>
        </w:tc>
      </w:tr>
      <w:tr w:rsidR="008749A3" w:rsidRPr="004A0C0B" w14:paraId="1035AF4D"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B1CDBE4" w14:textId="5BAAE2CB"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23</w:t>
            </w:r>
          </w:p>
        </w:tc>
        <w:tc>
          <w:tcPr>
            <w:tcW w:w="13600" w:type="dxa"/>
            <w:tcBorders>
              <w:top w:val="nil"/>
              <w:left w:val="nil"/>
              <w:bottom w:val="single" w:sz="4" w:space="0" w:color="auto"/>
              <w:right w:val="single" w:sz="4" w:space="0" w:color="auto"/>
            </w:tcBorders>
            <w:shd w:val="clear" w:color="auto" w:fill="auto"/>
          </w:tcPr>
          <w:p w14:paraId="5D2C86A1" w14:textId="45CB7610" w:rsidR="008749A3" w:rsidRPr="004A0C0B" w:rsidRDefault="008749A3"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Kristian Kjaer N, Halling A, Bjørnskov Pedersen L. General practitioners’ preferences for future continuous professional development: evidence from a Danish discrete choice experiment. </w:t>
            </w:r>
            <w:r w:rsidRPr="004A0C0B">
              <w:rPr>
                <w:rFonts w:ascii="Times New Roman" w:eastAsia="Times New Roman" w:hAnsi="Times New Roman" w:cs="Times New Roman"/>
                <w:i/>
                <w:iCs/>
                <w:color w:val="000000"/>
                <w:sz w:val="24"/>
                <w:szCs w:val="24"/>
              </w:rPr>
              <w:t>Educ Prim Care</w:t>
            </w:r>
            <w:r w:rsidRPr="004A0C0B">
              <w:rPr>
                <w:rFonts w:ascii="Times New Roman" w:eastAsia="Times New Roman" w:hAnsi="Times New Roman" w:cs="Times New Roman"/>
                <w:color w:val="000000"/>
                <w:sz w:val="24"/>
                <w:szCs w:val="24"/>
              </w:rPr>
              <w:t>. 2015;26(1):4-10. doi:10.1080/14739879.2015.11494300.</w:t>
            </w:r>
          </w:p>
        </w:tc>
      </w:tr>
      <w:tr w:rsidR="008749A3" w:rsidRPr="004A0C0B" w14:paraId="72B0483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7692C428" w14:textId="297D285E" w:rsidR="008749A3" w:rsidRPr="00521239" w:rsidRDefault="008749A3" w:rsidP="00534465">
            <w:pPr>
              <w:spacing w:after="0" w:line="240" w:lineRule="auto"/>
              <w:jc w:val="center"/>
              <w:rPr>
                <w:rFonts w:ascii="Times New Roman" w:eastAsia="Times New Roman" w:hAnsi="Times New Roman" w:cs="Times New Roman"/>
                <w:b/>
                <w:sz w:val="24"/>
                <w:szCs w:val="24"/>
                <w:lang w:val="fr-FR" w:eastAsia="fr-FR"/>
              </w:rPr>
            </w:pPr>
            <w:r w:rsidRPr="00521239">
              <w:rPr>
                <w:rFonts w:ascii="Times New Roman" w:eastAsia="Times New Roman" w:hAnsi="Times New Roman" w:cs="Times New Roman"/>
                <w:b/>
                <w:color w:val="000000"/>
                <w:sz w:val="24"/>
                <w:szCs w:val="24"/>
              </w:rPr>
              <w:t>24</w:t>
            </w:r>
          </w:p>
        </w:tc>
        <w:tc>
          <w:tcPr>
            <w:tcW w:w="13600" w:type="dxa"/>
            <w:tcBorders>
              <w:top w:val="nil"/>
              <w:left w:val="nil"/>
              <w:bottom w:val="single" w:sz="4" w:space="0" w:color="auto"/>
              <w:right w:val="single" w:sz="4" w:space="0" w:color="auto"/>
            </w:tcBorders>
            <w:shd w:val="clear" w:color="auto" w:fill="auto"/>
          </w:tcPr>
          <w:p w14:paraId="777C32A8" w14:textId="41826ED9"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521239">
              <w:rPr>
                <w:rFonts w:ascii="Times New Roman" w:eastAsia="Times New Roman" w:hAnsi="Times New Roman" w:cs="Times New Roman"/>
                <w:color w:val="000000"/>
                <w:sz w:val="24"/>
                <w:szCs w:val="24"/>
              </w:rPr>
              <w:t xml:space="preserve">Zickafoose JS, DeCamp LR, Prosser LA, et al. Parents’ Preferences for Enhanced Access in the Pediatric Medical Home. </w:t>
            </w:r>
            <w:r w:rsidRPr="00521239">
              <w:rPr>
                <w:rFonts w:ascii="Times New Roman" w:eastAsia="Times New Roman" w:hAnsi="Times New Roman" w:cs="Times New Roman"/>
                <w:i/>
                <w:iCs/>
                <w:color w:val="000000"/>
                <w:sz w:val="24"/>
                <w:szCs w:val="24"/>
              </w:rPr>
              <w:t>JAMA Pediatr</w:t>
            </w:r>
            <w:r w:rsidRPr="00521239">
              <w:rPr>
                <w:rFonts w:ascii="Times New Roman" w:eastAsia="Times New Roman" w:hAnsi="Times New Roman" w:cs="Times New Roman"/>
                <w:color w:val="000000"/>
                <w:sz w:val="24"/>
                <w:szCs w:val="24"/>
              </w:rPr>
              <w:t>. 2015;169(4):358. doi:10.1001/jamapediatrics.2014.3534.</w:t>
            </w:r>
          </w:p>
        </w:tc>
      </w:tr>
      <w:tr w:rsidR="008749A3" w:rsidRPr="004A0C0B" w14:paraId="68E4710E"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FD08468" w14:textId="43E3465C" w:rsidR="008749A3" w:rsidRPr="009564CA" w:rsidRDefault="008749A3" w:rsidP="00534465">
            <w:pPr>
              <w:spacing w:after="0" w:line="240" w:lineRule="auto"/>
              <w:jc w:val="center"/>
              <w:rPr>
                <w:rFonts w:ascii="Times New Roman" w:eastAsia="Times New Roman" w:hAnsi="Times New Roman" w:cs="Times New Roman"/>
                <w:b/>
                <w:sz w:val="24"/>
                <w:szCs w:val="24"/>
                <w:lang w:val="fr-FR" w:eastAsia="fr-FR"/>
              </w:rPr>
            </w:pPr>
            <w:r w:rsidRPr="009564CA">
              <w:rPr>
                <w:rFonts w:ascii="Times New Roman" w:eastAsia="Times New Roman" w:hAnsi="Times New Roman" w:cs="Times New Roman"/>
                <w:b/>
                <w:color w:val="000000"/>
                <w:sz w:val="24"/>
                <w:szCs w:val="24"/>
              </w:rPr>
              <w:t>25</w:t>
            </w:r>
          </w:p>
        </w:tc>
        <w:tc>
          <w:tcPr>
            <w:tcW w:w="13600" w:type="dxa"/>
            <w:tcBorders>
              <w:top w:val="nil"/>
              <w:left w:val="nil"/>
              <w:bottom w:val="single" w:sz="4" w:space="0" w:color="auto"/>
              <w:right w:val="single" w:sz="4" w:space="0" w:color="auto"/>
            </w:tcBorders>
            <w:shd w:val="clear" w:color="auto" w:fill="auto"/>
          </w:tcPr>
          <w:p w14:paraId="2D747CCC" w14:textId="010F14DD"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9564CA">
              <w:rPr>
                <w:rFonts w:ascii="Times New Roman" w:eastAsia="Times New Roman" w:hAnsi="Times New Roman" w:cs="Times New Roman"/>
                <w:color w:val="000000"/>
                <w:sz w:val="24"/>
                <w:szCs w:val="24"/>
              </w:rPr>
              <w:t xml:space="preserve">Holte JH, Kjaer T, Abelsen B, Olsen JA. The impact of pecuniary and non-pecuniary incentives for attracting young doctors to rural general practice. </w:t>
            </w:r>
            <w:r w:rsidRPr="009564CA">
              <w:rPr>
                <w:rFonts w:ascii="Times New Roman" w:eastAsia="Times New Roman" w:hAnsi="Times New Roman" w:cs="Times New Roman"/>
                <w:i/>
                <w:iCs/>
                <w:color w:val="000000"/>
                <w:sz w:val="24"/>
                <w:szCs w:val="24"/>
              </w:rPr>
              <w:t>Soc Sci Med</w:t>
            </w:r>
            <w:r w:rsidRPr="009564CA">
              <w:rPr>
                <w:rFonts w:ascii="Times New Roman" w:eastAsia="Times New Roman" w:hAnsi="Times New Roman" w:cs="Times New Roman"/>
                <w:color w:val="000000"/>
                <w:sz w:val="24"/>
                <w:szCs w:val="24"/>
              </w:rPr>
              <w:t>. 2015;128:1-9. doi:10.1016/j.socscimed.2014.12.022.</w:t>
            </w:r>
          </w:p>
        </w:tc>
      </w:tr>
      <w:tr w:rsidR="008749A3" w:rsidRPr="004A0C0B" w14:paraId="723598B0"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ED202D9" w14:textId="3AA002CE"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26</w:t>
            </w:r>
          </w:p>
        </w:tc>
        <w:tc>
          <w:tcPr>
            <w:tcW w:w="13600" w:type="dxa"/>
            <w:tcBorders>
              <w:top w:val="nil"/>
              <w:left w:val="nil"/>
              <w:bottom w:val="single" w:sz="4" w:space="0" w:color="auto"/>
              <w:right w:val="single" w:sz="4" w:space="0" w:color="auto"/>
            </w:tcBorders>
            <w:shd w:val="clear" w:color="auto" w:fill="auto"/>
          </w:tcPr>
          <w:p w14:paraId="79C413B9" w14:textId="27986C3C" w:rsidR="008749A3" w:rsidRPr="004A0C0B" w:rsidRDefault="008749A3"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Hollin IL, Peay HL, Bridges JFP. Caregiver Preferences for Emerging Duchenne Muscular Dystrophy Treatments: A Comparison of Best-Worst Scaling and Conjoint Analysis. </w:t>
            </w:r>
            <w:r w:rsidRPr="004A0C0B">
              <w:rPr>
                <w:rFonts w:ascii="Times New Roman" w:eastAsia="Times New Roman" w:hAnsi="Times New Roman" w:cs="Times New Roman"/>
                <w:i/>
                <w:iCs/>
                <w:color w:val="000000"/>
                <w:sz w:val="24"/>
                <w:szCs w:val="24"/>
              </w:rPr>
              <w:t>Patient - Patient-Centered Outcomes Res</w:t>
            </w:r>
            <w:r w:rsidRPr="004A0C0B">
              <w:rPr>
                <w:rFonts w:ascii="Times New Roman" w:eastAsia="Times New Roman" w:hAnsi="Times New Roman" w:cs="Times New Roman"/>
                <w:color w:val="000000"/>
                <w:sz w:val="24"/>
                <w:szCs w:val="24"/>
              </w:rPr>
              <w:t>. 2015;8(1):19-27. doi:10.1007/s40271-014-0104-x.</w:t>
            </w:r>
          </w:p>
        </w:tc>
      </w:tr>
      <w:tr w:rsidR="008749A3" w:rsidRPr="004A0C0B" w14:paraId="456500A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0D2F9B24" w14:textId="1D7CFF1C"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27</w:t>
            </w:r>
          </w:p>
        </w:tc>
        <w:tc>
          <w:tcPr>
            <w:tcW w:w="13600" w:type="dxa"/>
            <w:tcBorders>
              <w:top w:val="nil"/>
              <w:left w:val="nil"/>
              <w:bottom w:val="single" w:sz="4" w:space="0" w:color="auto"/>
              <w:right w:val="single" w:sz="4" w:space="0" w:color="auto"/>
            </w:tcBorders>
            <w:shd w:val="clear" w:color="auto" w:fill="auto"/>
          </w:tcPr>
          <w:p w14:paraId="765F69A6" w14:textId="5F538952"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Paolucci F, Mentzakis E, Defechereux T, Niessen LW. Equity and efficiency preferences of health policy makers in China—a stated preference analysis. </w:t>
            </w:r>
            <w:r w:rsidRPr="004A0C0B">
              <w:rPr>
                <w:rFonts w:ascii="Times New Roman" w:eastAsia="Times New Roman" w:hAnsi="Times New Roman" w:cs="Times New Roman"/>
                <w:i/>
                <w:iCs/>
                <w:color w:val="000000"/>
                <w:sz w:val="24"/>
                <w:szCs w:val="24"/>
              </w:rPr>
              <w:t>Health Policy Plan</w:t>
            </w:r>
            <w:r w:rsidRPr="004A0C0B">
              <w:rPr>
                <w:rFonts w:ascii="Times New Roman" w:eastAsia="Times New Roman" w:hAnsi="Times New Roman" w:cs="Times New Roman"/>
                <w:color w:val="000000"/>
                <w:sz w:val="24"/>
                <w:szCs w:val="24"/>
              </w:rPr>
              <w:t>. 2015;30(8):1059-1066. doi:10.1093/heapol/czu123.</w:t>
            </w:r>
          </w:p>
        </w:tc>
      </w:tr>
      <w:tr w:rsidR="008749A3" w:rsidRPr="004A0C0B" w14:paraId="45C65DBE" w14:textId="77777777" w:rsidTr="00733E64">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4ED64674" w14:textId="22C7F8D1"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28</w:t>
            </w:r>
          </w:p>
        </w:tc>
        <w:tc>
          <w:tcPr>
            <w:tcW w:w="13600" w:type="dxa"/>
            <w:tcBorders>
              <w:top w:val="single" w:sz="4" w:space="0" w:color="auto"/>
              <w:left w:val="single" w:sz="4" w:space="0" w:color="auto"/>
              <w:bottom w:val="single" w:sz="4" w:space="0" w:color="auto"/>
              <w:right w:val="single" w:sz="4" w:space="0" w:color="auto"/>
            </w:tcBorders>
            <w:shd w:val="clear" w:color="auto" w:fill="auto"/>
          </w:tcPr>
          <w:p w14:paraId="0D59B6CC" w14:textId="6CA11E39"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Nicaise P, Soto VE, Dubois V, Lorant V. Users’ and Health Professionals’ Values in Relation to a Psychiatric Intervention: The Case of Psychiatric Advance Directives. </w:t>
            </w:r>
            <w:r w:rsidRPr="004A0C0B">
              <w:rPr>
                <w:rFonts w:ascii="Times New Roman" w:eastAsia="Times New Roman" w:hAnsi="Times New Roman" w:cs="Times New Roman"/>
                <w:i/>
                <w:iCs/>
                <w:color w:val="000000"/>
                <w:sz w:val="24"/>
                <w:szCs w:val="24"/>
              </w:rPr>
              <w:t>Adm Policy Ment Heal Ment Heal Serv Res</w:t>
            </w:r>
            <w:r w:rsidRPr="004A0C0B">
              <w:rPr>
                <w:rFonts w:ascii="Times New Roman" w:eastAsia="Times New Roman" w:hAnsi="Times New Roman" w:cs="Times New Roman"/>
                <w:color w:val="000000"/>
                <w:sz w:val="24"/>
                <w:szCs w:val="24"/>
              </w:rPr>
              <w:t>. 2015;42(4):384-393. doi:10.1007/s10488-014-0580-2.</w:t>
            </w:r>
          </w:p>
        </w:tc>
      </w:tr>
      <w:tr w:rsidR="008749A3" w:rsidRPr="004A0C0B" w14:paraId="4C3BEDB7" w14:textId="77777777" w:rsidTr="00733E64">
        <w:trPr>
          <w:trHeight w:val="555"/>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66070D40" w14:textId="7C1168AA"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lastRenderedPageBreak/>
              <w:t>29</w:t>
            </w:r>
          </w:p>
        </w:tc>
        <w:tc>
          <w:tcPr>
            <w:tcW w:w="13600" w:type="dxa"/>
            <w:tcBorders>
              <w:top w:val="single" w:sz="4" w:space="0" w:color="auto"/>
              <w:left w:val="nil"/>
              <w:bottom w:val="single" w:sz="4" w:space="0" w:color="auto"/>
              <w:right w:val="single" w:sz="4" w:space="0" w:color="auto"/>
            </w:tcBorders>
            <w:shd w:val="clear" w:color="auto" w:fill="auto"/>
          </w:tcPr>
          <w:p w14:paraId="3794382D" w14:textId="42E93A9E"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Dixon PR, Grant RC, Urbach DR. The Impact of Marketing Language on Patient Preference for Robot-Assisted Surgery. </w:t>
            </w:r>
            <w:r w:rsidRPr="004A0C0B">
              <w:rPr>
                <w:rFonts w:ascii="Times New Roman" w:eastAsia="Times New Roman" w:hAnsi="Times New Roman" w:cs="Times New Roman"/>
                <w:i/>
                <w:iCs/>
                <w:color w:val="000000"/>
                <w:sz w:val="24"/>
                <w:szCs w:val="24"/>
              </w:rPr>
              <w:t>Surg Innov</w:t>
            </w:r>
            <w:r w:rsidRPr="004A0C0B">
              <w:rPr>
                <w:rFonts w:ascii="Times New Roman" w:eastAsia="Times New Roman" w:hAnsi="Times New Roman" w:cs="Times New Roman"/>
                <w:color w:val="000000"/>
                <w:sz w:val="24"/>
                <w:szCs w:val="24"/>
              </w:rPr>
              <w:t>. 2015;22(1):15-19. doi:10.1177/1553350614537562.</w:t>
            </w:r>
          </w:p>
        </w:tc>
      </w:tr>
      <w:tr w:rsidR="008749A3" w:rsidRPr="004A0C0B" w14:paraId="71B815D8"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21B5761" w14:textId="087A98CB"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30</w:t>
            </w:r>
          </w:p>
        </w:tc>
        <w:tc>
          <w:tcPr>
            <w:tcW w:w="13600" w:type="dxa"/>
            <w:tcBorders>
              <w:top w:val="nil"/>
              <w:left w:val="nil"/>
              <w:bottom w:val="single" w:sz="4" w:space="0" w:color="auto"/>
              <w:right w:val="single" w:sz="4" w:space="0" w:color="auto"/>
            </w:tcBorders>
            <w:shd w:val="clear" w:color="auto" w:fill="auto"/>
          </w:tcPr>
          <w:p w14:paraId="5DF3EC2B" w14:textId="62444B9B"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Honda A, Ryan M, van Niekerk R, McIntyre D. Improving the public health sector in South Africa: eliciting public preferences using a discrete choice experiment. </w:t>
            </w:r>
            <w:r w:rsidRPr="004A0C0B">
              <w:rPr>
                <w:rFonts w:ascii="Times New Roman" w:eastAsia="Times New Roman" w:hAnsi="Times New Roman" w:cs="Times New Roman"/>
                <w:i/>
                <w:iCs/>
                <w:color w:val="000000"/>
                <w:sz w:val="24"/>
                <w:szCs w:val="24"/>
              </w:rPr>
              <w:t>Health Policy Plan</w:t>
            </w:r>
            <w:r w:rsidRPr="004A0C0B">
              <w:rPr>
                <w:rFonts w:ascii="Times New Roman" w:eastAsia="Times New Roman" w:hAnsi="Times New Roman" w:cs="Times New Roman"/>
                <w:color w:val="000000"/>
                <w:sz w:val="24"/>
                <w:szCs w:val="24"/>
              </w:rPr>
              <w:t>. 2015;30(5):600-611. doi:10.1093/heapol/czu038.</w:t>
            </w:r>
          </w:p>
        </w:tc>
      </w:tr>
      <w:tr w:rsidR="008749A3" w:rsidRPr="004A0C0B" w14:paraId="7C1D779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E2AF2B5" w14:textId="71156B6C"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31</w:t>
            </w:r>
          </w:p>
        </w:tc>
        <w:tc>
          <w:tcPr>
            <w:tcW w:w="13600" w:type="dxa"/>
            <w:tcBorders>
              <w:top w:val="nil"/>
              <w:left w:val="nil"/>
              <w:bottom w:val="single" w:sz="4" w:space="0" w:color="auto"/>
              <w:right w:val="single" w:sz="4" w:space="0" w:color="auto"/>
            </w:tcBorders>
            <w:shd w:val="clear" w:color="auto" w:fill="auto"/>
          </w:tcPr>
          <w:p w14:paraId="10ADF1AF" w14:textId="5DC70093"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Fraenkel L, Cunningham M, Peters E. Subjective numeracy and preference to stay with the status quo. </w:t>
            </w:r>
            <w:r w:rsidRPr="004A0C0B">
              <w:rPr>
                <w:rFonts w:ascii="Times New Roman" w:eastAsia="Times New Roman" w:hAnsi="Times New Roman" w:cs="Times New Roman"/>
                <w:i/>
                <w:iCs/>
                <w:color w:val="000000"/>
                <w:sz w:val="24"/>
                <w:szCs w:val="24"/>
              </w:rPr>
              <w:t>Med Decis Making</w:t>
            </w:r>
            <w:r w:rsidRPr="004A0C0B">
              <w:rPr>
                <w:rFonts w:ascii="Times New Roman" w:eastAsia="Times New Roman" w:hAnsi="Times New Roman" w:cs="Times New Roman"/>
                <w:color w:val="000000"/>
                <w:sz w:val="24"/>
                <w:szCs w:val="24"/>
              </w:rPr>
              <w:t>. 2015;35(1):6-11. doi:10.1177/0272989X14532531.</w:t>
            </w:r>
          </w:p>
        </w:tc>
      </w:tr>
      <w:tr w:rsidR="008749A3" w:rsidRPr="004A0C0B" w14:paraId="11FE4F09"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1813AAA" w14:textId="366DE86F"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32</w:t>
            </w:r>
          </w:p>
        </w:tc>
        <w:tc>
          <w:tcPr>
            <w:tcW w:w="13600" w:type="dxa"/>
            <w:tcBorders>
              <w:top w:val="nil"/>
              <w:left w:val="nil"/>
              <w:bottom w:val="single" w:sz="4" w:space="0" w:color="auto"/>
              <w:right w:val="single" w:sz="4" w:space="0" w:color="auto"/>
            </w:tcBorders>
            <w:shd w:val="clear" w:color="auto" w:fill="auto"/>
          </w:tcPr>
          <w:p w14:paraId="25B453C4" w14:textId="317ACCC8"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Song K, Scott A, Sivey P, Meng Q. Improving Chinese primary care providers’ recruitment and retention: a discrete choice experiment. </w:t>
            </w:r>
            <w:r w:rsidRPr="004A0C0B">
              <w:rPr>
                <w:rFonts w:ascii="Times New Roman" w:eastAsia="Times New Roman" w:hAnsi="Times New Roman" w:cs="Times New Roman"/>
                <w:i/>
                <w:iCs/>
                <w:color w:val="000000"/>
                <w:sz w:val="24"/>
                <w:szCs w:val="24"/>
              </w:rPr>
              <w:t>Health Policy Plan</w:t>
            </w:r>
            <w:r w:rsidRPr="004A0C0B">
              <w:rPr>
                <w:rFonts w:ascii="Times New Roman" w:eastAsia="Times New Roman" w:hAnsi="Times New Roman" w:cs="Times New Roman"/>
                <w:color w:val="000000"/>
                <w:sz w:val="24"/>
                <w:szCs w:val="24"/>
              </w:rPr>
              <w:t>. 2015;30(1):68-77. doi:10.1093/heapol/czt098.</w:t>
            </w:r>
          </w:p>
        </w:tc>
      </w:tr>
      <w:tr w:rsidR="008749A3" w:rsidRPr="004A0C0B" w14:paraId="2B9395CA"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42AD506" w14:textId="4F0EE20E"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33</w:t>
            </w:r>
          </w:p>
        </w:tc>
        <w:tc>
          <w:tcPr>
            <w:tcW w:w="13600" w:type="dxa"/>
            <w:tcBorders>
              <w:top w:val="nil"/>
              <w:left w:val="nil"/>
              <w:bottom w:val="single" w:sz="4" w:space="0" w:color="auto"/>
              <w:right w:val="single" w:sz="4" w:space="0" w:color="auto"/>
            </w:tcBorders>
            <w:shd w:val="clear" w:color="auto" w:fill="auto"/>
          </w:tcPr>
          <w:p w14:paraId="5A3B2F54" w14:textId="09032548"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Bocoum FY, Koné E, Kouanda S, Yaméogo ME, Bado AR. Which incentive package will retain regionalized health personnel in Burkina Faso: a discrete choice experiment. doi:10.1186/1478-4491-12-S1-S7.</w:t>
            </w:r>
          </w:p>
        </w:tc>
      </w:tr>
      <w:tr w:rsidR="008749A3" w:rsidRPr="004A0C0B" w14:paraId="2203F64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7E62BEA" w14:textId="58B9E7BD" w:rsidR="008749A3" w:rsidRPr="004A0C0B" w:rsidRDefault="008749A3" w:rsidP="00534465">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34</w:t>
            </w:r>
          </w:p>
        </w:tc>
        <w:tc>
          <w:tcPr>
            <w:tcW w:w="13600" w:type="dxa"/>
            <w:tcBorders>
              <w:top w:val="nil"/>
              <w:left w:val="nil"/>
              <w:bottom w:val="single" w:sz="4" w:space="0" w:color="auto"/>
              <w:right w:val="single" w:sz="4" w:space="0" w:color="auto"/>
            </w:tcBorders>
            <w:shd w:val="clear" w:color="auto" w:fill="auto"/>
          </w:tcPr>
          <w:p w14:paraId="342F9F6D" w14:textId="6EFC1A6B" w:rsidR="008749A3" w:rsidRPr="004A0C0B" w:rsidRDefault="008749A3"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Li J, Scott A, McGrail M, Humphreys J, Witt J. Retaining rural doctors: Doctors’ preferences for rural medical workforce incentives. </w:t>
            </w:r>
            <w:r w:rsidRPr="004A0C0B">
              <w:rPr>
                <w:rFonts w:ascii="Times New Roman" w:eastAsia="Times New Roman" w:hAnsi="Times New Roman" w:cs="Times New Roman"/>
                <w:i/>
                <w:iCs/>
                <w:color w:val="000000"/>
                <w:sz w:val="24"/>
                <w:szCs w:val="24"/>
              </w:rPr>
              <w:t>Soc Sci Med</w:t>
            </w:r>
            <w:r w:rsidRPr="004A0C0B">
              <w:rPr>
                <w:rFonts w:ascii="Times New Roman" w:eastAsia="Times New Roman" w:hAnsi="Times New Roman" w:cs="Times New Roman"/>
                <w:color w:val="000000"/>
                <w:sz w:val="24"/>
                <w:szCs w:val="24"/>
              </w:rPr>
              <w:t>. 2014;121:56-64. doi:10.1016/j.socscimed.2014.09.053.</w:t>
            </w:r>
          </w:p>
        </w:tc>
      </w:tr>
      <w:tr w:rsidR="00C901A9" w:rsidRPr="004A0C0B" w14:paraId="0980B588" w14:textId="77777777" w:rsidTr="00C34EBC">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CF9D351" w14:textId="577351A5" w:rsidR="00C901A9" w:rsidRPr="004A0C0B" w:rsidRDefault="00C901A9" w:rsidP="00C901A9">
            <w:pPr>
              <w:spacing w:after="0" w:line="240" w:lineRule="auto"/>
              <w:jc w:val="center"/>
              <w:rPr>
                <w:rFonts w:ascii="Times New Roman" w:eastAsia="Times New Roman" w:hAnsi="Times New Roman" w:cs="Times New Roman"/>
                <w:b/>
                <w:sz w:val="24"/>
                <w:szCs w:val="24"/>
                <w:lang w:val="fr-FR" w:eastAsia="fr-FR"/>
              </w:rPr>
            </w:pPr>
            <w:r w:rsidRPr="004A0C0B">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5</w:t>
            </w:r>
          </w:p>
        </w:tc>
        <w:tc>
          <w:tcPr>
            <w:tcW w:w="13600" w:type="dxa"/>
            <w:tcBorders>
              <w:top w:val="nil"/>
              <w:left w:val="nil"/>
              <w:bottom w:val="single" w:sz="4" w:space="0" w:color="auto"/>
              <w:right w:val="single" w:sz="4" w:space="0" w:color="auto"/>
            </w:tcBorders>
            <w:shd w:val="clear" w:color="auto" w:fill="auto"/>
          </w:tcPr>
          <w:p w14:paraId="772CB74B" w14:textId="77777777" w:rsidR="00C901A9" w:rsidRPr="004A0C0B" w:rsidRDefault="00C901A9" w:rsidP="00C34EBC">
            <w:pPr>
              <w:spacing w:after="0" w:line="240" w:lineRule="auto"/>
              <w:rPr>
                <w:rFonts w:ascii="Times New Roman" w:eastAsia="Times New Roman" w:hAnsi="Times New Roman" w:cs="Times New Roman"/>
                <w:sz w:val="24"/>
                <w:szCs w:val="24"/>
                <w:lang w:val="de-DE" w:eastAsia="fr-FR"/>
              </w:rPr>
            </w:pPr>
            <w:r w:rsidRPr="004A0C0B">
              <w:rPr>
                <w:rFonts w:ascii="Times New Roman" w:eastAsia="Times New Roman" w:hAnsi="Times New Roman" w:cs="Times New Roman"/>
                <w:color w:val="000000"/>
                <w:sz w:val="24"/>
                <w:szCs w:val="24"/>
              </w:rPr>
              <w:t xml:space="preserve">Veldwijk J, Lambooij MS, Bruijning-Verhagen PCJ, Smit HA, Wit GA de. Parental preferences for rotavirus vaccination in young children: A discrete choice experiment. </w:t>
            </w:r>
            <w:r w:rsidRPr="004A0C0B">
              <w:rPr>
                <w:rFonts w:ascii="Times New Roman" w:eastAsia="Times New Roman" w:hAnsi="Times New Roman" w:cs="Times New Roman"/>
                <w:i/>
                <w:iCs/>
                <w:color w:val="000000"/>
                <w:sz w:val="24"/>
                <w:szCs w:val="24"/>
              </w:rPr>
              <w:t>Vaccine</w:t>
            </w:r>
            <w:r w:rsidRPr="004A0C0B">
              <w:rPr>
                <w:rFonts w:ascii="Times New Roman" w:eastAsia="Times New Roman" w:hAnsi="Times New Roman" w:cs="Times New Roman"/>
                <w:color w:val="000000"/>
                <w:sz w:val="24"/>
                <w:szCs w:val="24"/>
              </w:rPr>
              <w:t>. 2014;32(47):6277-6283. doi:10.1016/j.vaccine.2014.09.004.</w:t>
            </w:r>
          </w:p>
        </w:tc>
      </w:tr>
      <w:tr w:rsidR="00C901A9" w:rsidRPr="004A0C0B" w14:paraId="59DBB69F" w14:textId="77777777" w:rsidTr="00C901A9">
        <w:trPr>
          <w:trHeight w:val="360"/>
        </w:trPr>
        <w:tc>
          <w:tcPr>
            <w:tcW w:w="960" w:type="dxa"/>
            <w:tcBorders>
              <w:top w:val="nil"/>
              <w:left w:val="single" w:sz="4" w:space="0" w:color="auto"/>
              <w:bottom w:val="single" w:sz="4" w:space="0" w:color="auto"/>
              <w:right w:val="single" w:sz="4" w:space="0" w:color="auto"/>
            </w:tcBorders>
            <w:shd w:val="clear" w:color="auto" w:fill="auto"/>
            <w:noWrap/>
          </w:tcPr>
          <w:p w14:paraId="4C996070" w14:textId="4798E337" w:rsidR="00C901A9" w:rsidRPr="004A0C0B" w:rsidRDefault="00C901A9" w:rsidP="00534465">
            <w:pPr>
              <w:spacing w:after="0" w:line="240" w:lineRule="auto"/>
              <w:jc w:val="center"/>
              <w:rPr>
                <w:rFonts w:ascii="Times New Roman" w:eastAsia="Times New Roman" w:hAnsi="Times New Roman" w:cs="Times New Roman"/>
                <w:b/>
                <w:color w:val="000000"/>
                <w:sz w:val="24"/>
                <w:szCs w:val="24"/>
              </w:rPr>
            </w:pPr>
            <w:r w:rsidRPr="004A0C0B">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6</w:t>
            </w:r>
          </w:p>
        </w:tc>
        <w:tc>
          <w:tcPr>
            <w:tcW w:w="13600" w:type="dxa"/>
            <w:tcBorders>
              <w:top w:val="nil"/>
              <w:left w:val="nil"/>
              <w:bottom w:val="single" w:sz="4" w:space="0" w:color="auto"/>
              <w:right w:val="single" w:sz="4" w:space="0" w:color="auto"/>
            </w:tcBorders>
            <w:shd w:val="clear" w:color="auto" w:fill="auto"/>
          </w:tcPr>
          <w:p w14:paraId="33157950" w14:textId="68B898BA" w:rsidR="00C901A9" w:rsidRPr="004A0C0B" w:rsidRDefault="00C901A9" w:rsidP="00534465">
            <w:pPr>
              <w:spacing w:after="0" w:line="240" w:lineRule="auto"/>
              <w:rPr>
                <w:rFonts w:ascii="Times New Roman" w:eastAsia="Times New Roman" w:hAnsi="Times New Roman" w:cs="Times New Roman"/>
                <w:color w:val="000000"/>
                <w:sz w:val="24"/>
                <w:szCs w:val="24"/>
              </w:rPr>
            </w:pPr>
            <w:r w:rsidRPr="004A0C0B">
              <w:rPr>
                <w:rFonts w:ascii="Times New Roman" w:eastAsia="Times New Roman" w:hAnsi="Times New Roman" w:cs="Times New Roman"/>
                <w:color w:val="000000"/>
                <w:sz w:val="24"/>
                <w:szCs w:val="24"/>
              </w:rPr>
              <w:t xml:space="preserve">Erdem S, Thompson C. Prioritising health service innovation investments using public preferences: a discrete choice experiment. </w:t>
            </w:r>
            <w:r w:rsidRPr="004A0C0B">
              <w:rPr>
                <w:rFonts w:ascii="Times New Roman" w:eastAsia="Times New Roman" w:hAnsi="Times New Roman" w:cs="Times New Roman"/>
                <w:i/>
                <w:iCs/>
                <w:color w:val="000000"/>
                <w:sz w:val="24"/>
                <w:szCs w:val="24"/>
              </w:rPr>
              <w:t>Erdem Thompson BMC Heal Serv Res</w:t>
            </w:r>
            <w:r w:rsidRPr="004A0C0B">
              <w:rPr>
                <w:rFonts w:ascii="Times New Roman" w:eastAsia="Times New Roman" w:hAnsi="Times New Roman" w:cs="Times New Roman"/>
                <w:color w:val="000000"/>
                <w:sz w:val="24"/>
                <w:szCs w:val="24"/>
              </w:rPr>
              <w:t>. 2014;14. doi:10.1186/1472-6963-14-360.</w:t>
            </w:r>
          </w:p>
        </w:tc>
      </w:tr>
      <w:tr w:rsidR="00C901A9" w:rsidRPr="004A0C0B" w14:paraId="502C7221" w14:textId="77777777" w:rsidTr="00733E64">
        <w:trPr>
          <w:trHeight w:val="360"/>
        </w:trPr>
        <w:tc>
          <w:tcPr>
            <w:tcW w:w="960" w:type="dxa"/>
            <w:tcBorders>
              <w:top w:val="nil"/>
              <w:left w:val="single" w:sz="4" w:space="0" w:color="auto"/>
              <w:bottom w:val="single" w:sz="4" w:space="0" w:color="auto"/>
              <w:right w:val="single" w:sz="4" w:space="0" w:color="auto"/>
            </w:tcBorders>
            <w:shd w:val="clear" w:color="auto" w:fill="auto"/>
            <w:noWrap/>
          </w:tcPr>
          <w:p w14:paraId="0D0B1DC4" w14:textId="7F550646" w:rsidR="00C901A9" w:rsidRPr="004A0C0B" w:rsidRDefault="00C901A9" w:rsidP="00C901A9">
            <w:pPr>
              <w:spacing w:after="0" w:line="240" w:lineRule="auto"/>
              <w:jc w:val="center"/>
              <w:rPr>
                <w:rFonts w:ascii="Times New Roman" w:eastAsia="Times New Roman" w:hAnsi="Times New Roman" w:cs="Times New Roman"/>
                <w:b/>
                <w:sz w:val="24"/>
                <w:szCs w:val="24"/>
                <w:lang w:val="fr-FR" w:eastAsia="fr-FR"/>
              </w:rPr>
            </w:pPr>
            <w:r w:rsidRPr="009564CA">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7</w:t>
            </w:r>
          </w:p>
        </w:tc>
        <w:tc>
          <w:tcPr>
            <w:tcW w:w="13600" w:type="dxa"/>
            <w:tcBorders>
              <w:top w:val="nil"/>
              <w:left w:val="nil"/>
              <w:bottom w:val="single" w:sz="4" w:space="0" w:color="auto"/>
              <w:right w:val="single" w:sz="4" w:space="0" w:color="auto"/>
            </w:tcBorders>
            <w:shd w:val="clear" w:color="auto" w:fill="auto"/>
          </w:tcPr>
          <w:p w14:paraId="7E81AF3B" w14:textId="2B3BEC9A"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9564CA">
              <w:rPr>
                <w:rFonts w:ascii="Times New Roman" w:eastAsia="Times New Roman" w:hAnsi="Times New Roman" w:cs="Times New Roman"/>
                <w:color w:val="000000"/>
                <w:sz w:val="24"/>
                <w:szCs w:val="24"/>
              </w:rPr>
              <w:t>Hl Struik M, Koster F, Schuit AJ, Nugteren R, Veldwijk J, Lambooij MS. The preferences of users of electronic medical records in hospitals: quantifying the relative importance of barriers and facilitators of an innovation. doi:10.1186/1748-5908-9-69.</w:t>
            </w:r>
          </w:p>
        </w:tc>
      </w:tr>
      <w:tr w:rsidR="00C901A9" w:rsidRPr="004A0C0B" w14:paraId="3DFE3497"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7B7F63DF" w14:textId="259C97EF" w:rsidR="00C901A9" w:rsidRPr="009564CA"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38</w:t>
            </w:r>
          </w:p>
        </w:tc>
        <w:tc>
          <w:tcPr>
            <w:tcW w:w="13600" w:type="dxa"/>
            <w:tcBorders>
              <w:top w:val="nil"/>
              <w:left w:val="nil"/>
              <w:bottom w:val="single" w:sz="4" w:space="0" w:color="auto"/>
              <w:right w:val="single" w:sz="4" w:space="0" w:color="auto"/>
            </w:tcBorders>
            <w:shd w:val="clear" w:color="auto" w:fill="auto"/>
          </w:tcPr>
          <w:p w14:paraId="61275BEB" w14:textId="62C297B2"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Deal K, Keshavjee K, Troyan S, Kyba R, Holbrook AM. Physician and patient willingness to pay for electronic cardiovascular disease management. </w:t>
            </w:r>
            <w:r w:rsidRPr="004A0C0B">
              <w:rPr>
                <w:rFonts w:ascii="Times New Roman" w:eastAsia="Times New Roman" w:hAnsi="Times New Roman" w:cs="Times New Roman"/>
                <w:i/>
                <w:iCs/>
                <w:color w:val="000000"/>
                <w:sz w:val="24"/>
                <w:szCs w:val="24"/>
              </w:rPr>
              <w:t>Int J Med Inform</w:t>
            </w:r>
            <w:r w:rsidRPr="004A0C0B">
              <w:rPr>
                <w:rFonts w:ascii="Times New Roman" w:eastAsia="Times New Roman" w:hAnsi="Times New Roman" w:cs="Times New Roman"/>
                <w:color w:val="000000"/>
                <w:sz w:val="24"/>
                <w:szCs w:val="24"/>
              </w:rPr>
              <w:t>. 2014;83(7):517-528. doi:10.1016/j.ijmedinf.2014.04.007.</w:t>
            </w:r>
          </w:p>
        </w:tc>
      </w:tr>
      <w:tr w:rsidR="00C901A9" w:rsidRPr="004A0C0B" w14:paraId="2AE543C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C34661C" w14:textId="7BE61CD5" w:rsidR="00C901A9" w:rsidRPr="009564CA"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39</w:t>
            </w:r>
          </w:p>
        </w:tc>
        <w:tc>
          <w:tcPr>
            <w:tcW w:w="13600" w:type="dxa"/>
            <w:tcBorders>
              <w:top w:val="nil"/>
              <w:left w:val="nil"/>
              <w:bottom w:val="single" w:sz="4" w:space="0" w:color="auto"/>
              <w:right w:val="single" w:sz="4" w:space="0" w:color="auto"/>
            </w:tcBorders>
            <w:shd w:val="clear" w:color="auto" w:fill="auto"/>
          </w:tcPr>
          <w:p w14:paraId="613E3788" w14:textId="15347CF7"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Pechey R, Burge P, Mentzakis E, Suhrcke M, Marteau TM. </w:t>
            </w:r>
            <w:r w:rsidRPr="004A0C0B">
              <w:rPr>
                <w:rFonts w:ascii="Times New Roman" w:eastAsia="Times New Roman" w:hAnsi="Times New Roman" w:cs="Times New Roman"/>
                <w:i/>
                <w:iCs/>
                <w:color w:val="000000"/>
                <w:sz w:val="24"/>
                <w:szCs w:val="24"/>
              </w:rPr>
              <w:t>Public Acceptability of Population-Level Interventions to Reduce Alcohol Consumption: A Discrete Choice Experiment</w:t>
            </w:r>
            <w:r w:rsidRPr="004A0C0B">
              <w:rPr>
                <w:rFonts w:ascii="Times New Roman" w:eastAsia="Times New Roman" w:hAnsi="Times New Roman" w:cs="Times New Roman"/>
                <w:color w:val="000000"/>
                <w:sz w:val="24"/>
                <w:szCs w:val="24"/>
              </w:rPr>
              <w:t>. Vol 113.; 2014. doi:10.1016/j.socscimed.2014.05.010.</w:t>
            </w:r>
          </w:p>
        </w:tc>
      </w:tr>
      <w:tr w:rsidR="00C901A9" w:rsidRPr="004A0C0B" w14:paraId="3DEA3788"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8672927" w14:textId="30B7A305"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40</w:t>
            </w:r>
          </w:p>
        </w:tc>
        <w:tc>
          <w:tcPr>
            <w:tcW w:w="13600" w:type="dxa"/>
            <w:tcBorders>
              <w:top w:val="nil"/>
              <w:left w:val="nil"/>
              <w:bottom w:val="single" w:sz="4" w:space="0" w:color="auto"/>
              <w:right w:val="single" w:sz="4" w:space="0" w:color="auto"/>
            </w:tcBorders>
            <w:shd w:val="clear" w:color="auto" w:fill="auto"/>
          </w:tcPr>
          <w:p w14:paraId="68A2858C" w14:textId="485C6D39"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Baxter J-AB, Roth DE, Al Mahmud A, Ahmed T, Islam M, Zlotkin SH. Tablets Are Preferred and More Acceptable Than Powdered Prenatal Calcium Supplements among Pregnant Women in Dhaka, Bangladesh. </w:t>
            </w:r>
            <w:r w:rsidRPr="004A0C0B">
              <w:rPr>
                <w:rFonts w:ascii="Times New Roman" w:eastAsia="Times New Roman" w:hAnsi="Times New Roman" w:cs="Times New Roman"/>
                <w:i/>
                <w:iCs/>
                <w:color w:val="000000"/>
                <w:sz w:val="24"/>
                <w:szCs w:val="24"/>
              </w:rPr>
              <w:t>J Nutr</w:t>
            </w:r>
            <w:r w:rsidRPr="004A0C0B">
              <w:rPr>
                <w:rFonts w:ascii="Times New Roman" w:eastAsia="Times New Roman" w:hAnsi="Times New Roman" w:cs="Times New Roman"/>
                <w:color w:val="000000"/>
                <w:sz w:val="24"/>
                <w:szCs w:val="24"/>
              </w:rPr>
              <w:t>. 2014;144(7):1106-1112. doi:10.3945/jn.113.188524.</w:t>
            </w:r>
          </w:p>
        </w:tc>
      </w:tr>
      <w:tr w:rsidR="00C901A9" w:rsidRPr="004A0C0B" w14:paraId="00AF605C" w14:textId="77777777" w:rsidTr="00733E64">
        <w:trPr>
          <w:trHeight w:val="375"/>
        </w:trPr>
        <w:tc>
          <w:tcPr>
            <w:tcW w:w="960" w:type="dxa"/>
            <w:tcBorders>
              <w:top w:val="nil"/>
              <w:left w:val="single" w:sz="4" w:space="0" w:color="auto"/>
              <w:bottom w:val="single" w:sz="4" w:space="0" w:color="auto"/>
              <w:right w:val="single" w:sz="4" w:space="0" w:color="auto"/>
            </w:tcBorders>
            <w:shd w:val="clear" w:color="auto" w:fill="auto"/>
            <w:noWrap/>
          </w:tcPr>
          <w:p w14:paraId="5D6136EB" w14:textId="619DCDDE"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41</w:t>
            </w:r>
          </w:p>
        </w:tc>
        <w:tc>
          <w:tcPr>
            <w:tcW w:w="13600" w:type="dxa"/>
            <w:tcBorders>
              <w:top w:val="nil"/>
              <w:left w:val="nil"/>
              <w:bottom w:val="single" w:sz="4" w:space="0" w:color="auto"/>
              <w:right w:val="single" w:sz="4" w:space="0" w:color="auto"/>
            </w:tcBorders>
            <w:shd w:val="clear" w:color="auto" w:fill="auto"/>
          </w:tcPr>
          <w:p w14:paraId="7584BF64" w14:textId="041361FE"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Cunningham CE, Barwick M, Short K, et al. Modeling the Mental Health Practice Change Preferences of Educators: A Discrete-Choice Conjoint Experiment. </w:t>
            </w:r>
            <w:r w:rsidRPr="004A0C0B">
              <w:rPr>
                <w:rFonts w:ascii="Times New Roman" w:eastAsia="Times New Roman" w:hAnsi="Times New Roman" w:cs="Times New Roman"/>
                <w:i/>
                <w:iCs/>
                <w:color w:val="000000"/>
                <w:sz w:val="24"/>
                <w:szCs w:val="24"/>
              </w:rPr>
              <w:t>School Ment Health</w:t>
            </w:r>
            <w:r w:rsidRPr="004A0C0B">
              <w:rPr>
                <w:rFonts w:ascii="Times New Roman" w:eastAsia="Times New Roman" w:hAnsi="Times New Roman" w:cs="Times New Roman"/>
                <w:color w:val="000000"/>
                <w:sz w:val="24"/>
                <w:szCs w:val="24"/>
              </w:rPr>
              <w:t>. 2014;6(1):1-14. doi:10.1007/s12310-013-9110-8.</w:t>
            </w:r>
          </w:p>
        </w:tc>
      </w:tr>
      <w:tr w:rsidR="00C901A9" w:rsidRPr="004A0C0B" w14:paraId="7A28AABB"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31054CE" w14:textId="709E0E03"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42</w:t>
            </w:r>
          </w:p>
        </w:tc>
        <w:tc>
          <w:tcPr>
            <w:tcW w:w="13600" w:type="dxa"/>
            <w:tcBorders>
              <w:top w:val="nil"/>
              <w:left w:val="nil"/>
              <w:bottom w:val="single" w:sz="4" w:space="0" w:color="auto"/>
              <w:right w:val="single" w:sz="4" w:space="0" w:color="auto"/>
            </w:tcBorders>
            <w:shd w:val="clear" w:color="auto" w:fill="auto"/>
          </w:tcPr>
          <w:p w14:paraId="04924333" w14:textId="1ABD965B"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Burton CR, Fargher E, Plumpton C, Roberts GW, Owen H, Roberts E. Investigating preferences for support with life after stroke: a discrete choice experiment. </w:t>
            </w:r>
            <w:r w:rsidRPr="004A0C0B">
              <w:rPr>
                <w:rFonts w:ascii="Times New Roman" w:eastAsia="Times New Roman" w:hAnsi="Times New Roman" w:cs="Times New Roman"/>
                <w:i/>
                <w:iCs/>
                <w:color w:val="000000"/>
                <w:sz w:val="24"/>
                <w:szCs w:val="24"/>
              </w:rPr>
              <w:t>BMC Health Serv Res</w:t>
            </w:r>
            <w:r w:rsidRPr="004A0C0B">
              <w:rPr>
                <w:rFonts w:ascii="Times New Roman" w:eastAsia="Times New Roman" w:hAnsi="Times New Roman" w:cs="Times New Roman"/>
                <w:color w:val="000000"/>
                <w:sz w:val="24"/>
                <w:szCs w:val="24"/>
              </w:rPr>
              <w:t>. 2014;14(1):63. doi:10.1186/1472-6963-14-63.</w:t>
            </w:r>
          </w:p>
        </w:tc>
      </w:tr>
      <w:tr w:rsidR="00C901A9" w:rsidRPr="004A0C0B" w14:paraId="0F8972F0" w14:textId="77777777" w:rsidTr="00110252">
        <w:trPr>
          <w:trHeight w:val="555"/>
        </w:trPr>
        <w:tc>
          <w:tcPr>
            <w:tcW w:w="960" w:type="dxa"/>
            <w:tcBorders>
              <w:top w:val="single" w:sz="4" w:space="0" w:color="auto"/>
              <w:left w:val="single" w:sz="4" w:space="0" w:color="auto"/>
              <w:right w:val="single" w:sz="4" w:space="0" w:color="auto"/>
            </w:tcBorders>
            <w:shd w:val="clear" w:color="auto" w:fill="auto"/>
            <w:noWrap/>
          </w:tcPr>
          <w:p w14:paraId="052AB269" w14:textId="7B176407"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43</w:t>
            </w:r>
          </w:p>
        </w:tc>
        <w:tc>
          <w:tcPr>
            <w:tcW w:w="13600" w:type="dxa"/>
            <w:tcBorders>
              <w:top w:val="single" w:sz="4" w:space="0" w:color="auto"/>
              <w:left w:val="nil"/>
              <w:right w:val="single" w:sz="4" w:space="0" w:color="auto"/>
            </w:tcBorders>
            <w:shd w:val="clear" w:color="auto" w:fill="auto"/>
          </w:tcPr>
          <w:p w14:paraId="520B1DF7" w14:textId="61C21E38"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Seghieri C, Mengoni A, Nuti S. Applying discrete choice modelling in a priority setting: An investigation of public preferences for primary care models. </w:t>
            </w:r>
            <w:r w:rsidRPr="004A0C0B">
              <w:rPr>
                <w:rFonts w:ascii="Times New Roman" w:eastAsia="Times New Roman" w:hAnsi="Times New Roman" w:cs="Times New Roman"/>
                <w:i/>
                <w:iCs/>
                <w:color w:val="000000"/>
                <w:sz w:val="24"/>
                <w:szCs w:val="24"/>
              </w:rPr>
              <w:t>Eur J Heal Econ</w:t>
            </w:r>
            <w:r w:rsidRPr="004A0C0B">
              <w:rPr>
                <w:rFonts w:ascii="Times New Roman" w:eastAsia="Times New Roman" w:hAnsi="Times New Roman" w:cs="Times New Roman"/>
                <w:color w:val="000000"/>
                <w:sz w:val="24"/>
                <w:szCs w:val="24"/>
              </w:rPr>
              <w:t>. 2014;15(7):773-785. doi:10.1007/s10198-013-0542-8.</w:t>
            </w:r>
          </w:p>
        </w:tc>
      </w:tr>
      <w:tr w:rsidR="00C901A9" w:rsidRPr="004A0C0B" w14:paraId="7E83FDE8" w14:textId="77777777" w:rsidTr="00556245">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70B0B60" w14:textId="0851F2C3"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lastRenderedPageBreak/>
              <w:t>44</w:t>
            </w:r>
          </w:p>
        </w:tc>
        <w:tc>
          <w:tcPr>
            <w:tcW w:w="13600" w:type="dxa"/>
            <w:tcBorders>
              <w:top w:val="nil"/>
              <w:left w:val="nil"/>
              <w:bottom w:val="single" w:sz="4" w:space="0" w:color="auto"/>
              <w:right w:val="single" w:sz="4" w:space="0" w:color="auto"/>
            </w:tcBorders>
            <w:shd w:val="clear" w:color="auto" w:fill="auto"/>
          </w:tcPr>
          <w:p w14:paraId="6DC01F77" w14:textId="3A7289CF"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Deuchert E, Kauer L, Meisen Zannol F. Would you train me with my mental illness? Evidence from a discrete choice experiment. </w:t>
            </w:r>
            <w:r w:rsidRPr="004A0C0B">
              <w:rPr>
                <w:rFonts w:ascii="Times New Roman" w:eastAsia="Times New Roman" w:hAnsi="Times New Roman" w:cs="Times New Roman"/>
                <w:i/>
                <w:iCs/>
                <w:color w:val="000000"/>
                <w:sz w:val="24"/>
                <w:szCs w:val="24"/>
              </w:rPr>
              <w:t>J Ment Health Policy Econ</w:t>
            </w:r>
            <w:r w:rsidRPr="004A0C0B">
              <w:rPr>
                <w:rFonts w:ascii="Times New Roman" w:eastAsia="Times New Roman" w:hAnsi="Times New Roman" w:cs="Times New Roman"/>
                <w:color w:val="000000"/>
                <w:sz w:val="24"/>
                <w:szCs w:val="24"/>
              </w:rPr>
              <w:t>. 2013;16(2):67-80. http://www.ncbi.nlm.nih.gov/pubmed/23999204. Accessed February 1, 2017.</w:t>
            </w:r>
          </w:p>
        </w:tc>
      </w:tr>
      <w:tr w:rsidR="00C901A9" w:rsidRPr="004A0C0B" w14:paraId="3817CFC0" w14:textId="77777777" w:rsidTr="00C44A66">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8B099DB" w14:textId="48EF4C80"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45</w:t>
            </w:r>
          </w:p>
        </w:tc>
        <w:tc>
          <w:tcPr>
            <w:tcW w:w="13600" w:type="dxa"/>
            <w:tcBorders>
              <w:top w:val="nil"/>
              <w:left w:val="nil"/>
              <w:bottom w:val="single" w:sz="4" w:space="0" w:color="auto"/>
              <w:right w:val="single" w:sz="4" w:space="0" w:color="auto"/>
            </w:tcBorders>
            <w:shd w:val="clear" w:color="auto" w:fill="auto"/>
          </w:tcPr>
          <w:p w14:paraId="1A0B21AE" w14:textId="5B7B2780"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Farley K, Thompson C, Hanbury A, Chambers D. Exploring the feasibility of Conjoint Analysis as a tool for prioritizing innovations for implementation. </w:t>
            </w:r>
            <w:r w:rsidRPr="004A0C0B">
              <w:rPr>
                <w:rFonts w:ascii="Times New Roman" w:eastAsia="Times New Roman" w:hAnsi="Times New Roman" w:cs="Times New Roman"/>
                <w:i/>
                <w:iCs/>
                <w:color w:val="000000"/>
                <w:sz w:val="24"/>
                <w:szCs w:val="24"/>
              </w:rPr>
              <w:t>Implement Sci</w:t>
            </w:r>
            <w:r w:rsidRPr="004A0C0B">
              <w:rPr>
                <w:rFonts w:ascii="Times New Roman" w:eastAsia="Times New Roman" w:hAnsi="Times New Roman" w:cs="Times New Roman"/>
                <w:color w:val="000000"/>
                <w:sz w:val="24"/>
                <w:szCs w:val="24"/>
              </w:rPr>
              <w:t>. 2013;8:56. doi:10.1186/1748-5908-8-56.</w:t>
            </w:r>
          </w:p>
        </w:tc>
      </w:tr>
      <w:tr w:rsidR="00C901A9" w:rsidRPr="004A0C0B" w14:paraId="1C93FEA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0489D3CB" w14:textId="5CD9AD86"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46</w:t>
            </w:r>
          </w:p>
        </w:tc>
        <w:tc>
          <w:tcPr>
            <w:tcW w:w="13600" w:type="dxa"/>
            <w:tcBorders>
              <w:top w:val="nil"/>
              <w:left w:val="nil"/>
              <w:bottom w:val="single" w:sz="4" w:space="0" w:color="auto"/>
              <w:right w:val="single" w:sz="4" w:space="0" w:color="auto"/>
            </w:tcBorders>
            <w:shd w:val="clear" w:color="auto" w:fill="auto"/>
          </w:tcPr>
          <w:p w14:paraId="368EBA76" w14:textId="6851634D"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Linley WG, Hughes DA. Decision-makers’ preferences for approving new medicines in wales: A discrete-choice experiment with assessment of external validity. </w:t>
            </w:r>
            <w:r w:rsidRPr="004A0C0B">
              <w:rPr>
                <w:rFonts w:ascii="Times New Roman" w:eastAsia="Times New Roman" w:hAnsi="Times New Roman" w:cs="Times New Roman"/>
                <w:i/>
                <w:iCs/>
                <w:color w:val="000000"/>
                <w:sz w:val="24"/>
                <w:szCs w:val="24"/>
              </w:rPr>
              <w:t>Pharmacoeconomics</w:t>
            </w:r>
            <w:r w:rsidRPr="004A0C0B">
              <w:rPr>
                <w:rFonts w:ascii="Times New Roman" w:eastAsia="Times New Roman" w:hAnsi="Times New Roman" w:cs="Times New Roman"/>
                <w:color w:val="000000"/>
                <w:sz w:val="24"/>
                <w:szCs w:val="24"/>
              </w:rPr>
              <w:t>. 2013;31(4):345-355. doi:10.1007/s40273-013-0030-0.</w:t>
            </w:r>
          </w:p>
        </w:tc>
      </w:tr>
      <w:tr w:rsidR="00C901A9" w:rsidRPr="004A0C0B" w14:paraId="47A0FD60"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749E53CA" w14:textId="07C52E3A"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47</w:t>
            </w:r>
          </w:p>
        </w:tc>
        <w:tc>
          <w:tcPr>
            <w:tcW w:w="13600" w:type="dxa"/>
            <w:tcBorders>
              <w:top w:val="nil"/>
              <w:left w:val="nil"/>
              <w:bottom w:val="single" w:sz="4" w:space="0" w:color="auto"/>
              <w:right w:val="single" w:sz="4" w:space="0" w:color="auto"/>
            </w:tcBorders>
            <w:shd w:val="clear" w:color="auto" w:fill="auto"/>
          </w:tcPr>
          <w:p w14:paraId="790172E0" w14:textId="438738ED"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Wheelock A, Eisingerich AB, Ananworanich J, et al. Are Thai MSM Willing to Take PrEP for HIV Prevention? An Analysis of Attitudes, Preferences and Acceptance. </w:t>
            </w:r>
            <w:r w:rsidRPr="004A0C0B">
              <w:rPr>
                <w:rFonts w:ascii="Times New Roman" w:eastAsia="Times New Roman" w:hAnsi="Times New Roman" w:cs="Times New Roman"/>
                <w:i/>
                <w:iCs/>
                <w:color w:val="000000"/>
                <w:sz w:val="24"/>
                <w:szCs w:val="24"/>
              </w:rPr>
              <w:t>PLoS One</w:t>
            </w:r>
            <w:r w:rsidRPr="004A0C0B">
              <w:rPr>
                <w:rFonts w:ascii="Times New Roman" w:eastAsia="Times New Roman" w:hAnsi="Times New Roman" w:cs="Times New Roman"/>
                <w:color w:val="000000"/>
                <w:sz w:val="24"/>
                <w:szCs w:val="24"/>
              </w:rPr>
              <w:t>. 2013;8(1):e54288. doi:10.1371/journal.pone.0054288.</w:t>
            </w:r>
          </w:p>
        </w:tc>
      </w:tr>
      <w:tr w:rsidR="00C901A9" w:rsidRPr="004A0C0B" w14:paraId="0947B440"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06252B6A" w14:textId="1BA63422"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48</w:t>
            </w:r>
          </w:p>
        </w:tc>
        <w:tc>
          <w:tcPr>
            <w:tcW w:w="13600" w:type="dxa"/>
            <w:tcBorders>
              <w:top w:val="nil"/>
              <w:left w:val="nil"/>
              <w:bottom w:val="single" w:sz="4" w:space="0" w:color="auto"/>
              <w:right w:val="single" w:sz="4" w:space="0" w:color="auto"/>
            </w:tcBorders>
            <w:shd w:val="clear" w:color="auto" w:fill="auto"/>
          </w:tcPr>
          <w:p w14:paraId="5AFF2552" w14:textId="1E6A1CC6"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8E40E1">
              <w:rPr>
                <w:rFonts w:ascii="Times New Roman" w:eastAsia="Times New Roman" w:hAnsi="Times New Roman" w:cs="Times New Roman"/>
                <w:color w:val="000000"/>
                <w:sz w:val="24"/>
                <w:szCs w:val="24"/>
              </w:rPr>
              <w:t xml:space="preserve">Huicho L, Miranda JJ, Diez-Canseco F, et al. Job Preferences of Nurses and Midwives for Taking Up a Rural Job in Peru: A Discrete Choice Experiment. Fort AL, ed. </w:t>
            </w:r>
            <w:r w:rsidRPr="008E40E1">
              <w:rPr>
                <w:rFonts w:ascii="Times New Roman" w:eastAsia="Times New Roman" w:hAnsi="Times New Roman" w:cs="Times New Roman"/>
                <w:i/>
                <w:iCs/>
                <w:color w:val="000000"/>
                <w:sz w:val="24"/>
                <w:szCs w:val="24"/>
              </w:rPr>
              <w:t>PLoS One</w:t>
            </w:r>
            <w:r w:rsidRPr="008E40E1">
              <w:rPr>
                <w:rFonts w:ascii="Times New Roman" w:eastAsia="Times New Roman" w:hAnsi="Times New Roman" w:cs="Times New Roman"/>
                <w:color w:val="000000"/>
                <w:sz w:val="24"/>
                <w:szCs w:val="24"/>
              </w:rPr>
              <w:t>. 2012;7(12):e50315. doi:10.1371/journal.pone.0050315.</w:t>
            </w:r>
          </w:p>
        </w:tc>
      </w:tr>
      <w:tr w:rsidR="00C901A9" w:rsidRPr="004A0C0B" w14:paraId="6D30204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EDABF96" w14:textId="4A3DCE79"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49</w:t>
            </w:r>
          </w:p>
        </w:tc>
        <w:tc>
          <w:tcPr>
            <w:tcW w:w="13600" w:type="dxa"/>
            <w:tcBorders>
              <w:top w:val="nil"/>
              <w:left w:val="nil"/>
              <w:bottom w:val="single" w:sz="4" w:space="0" w:color="auto"/>
              <w:right w:val="single" w:sz="4" w:space="0" w:color="auto"/>
            </w:tcBorders>
            <w:shd w:val="clear" w:color="auto" w:fill="auto"/>
          </w:tcPr>
          <w:p w14:paraId="48F4AA25" w14:textId="40E65FA3"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Miranda JJ, Diez-Canseco F, Lema C, et al. Stated Preferences of Doctors for Choosing a Job in Rural Areas of Peru: A Discrete Choice Experiment. Fort AL, ed. </w:t>
            </w:r>
            <w:r w:rsidRPr="004A0C0B">
              <w:rPr>
                <w:rFonts w:ascii="Times New Roman" w:eastAsia="Times New Roman" w:hAnsi="Times New Roman" w:cs="Times New Roman"/>
                <w:i/>
                <w:iCs/>
                <w:color w:val="000000"/>
                <w:sz w:val="24"/>
                <w:szCs w:val="24"/>
              </w:rPr>
              <w:t>PLoS One</w:t>
            </w:r>
            <w:r w:rsidRPr="004A0C0B">
              <w:rPr>
                <w:rFonts w:ascii="Times New Roman" w:eastAsia="Times New Roman" w:hAnsi="Times New Roman" w:cs="Times New Roman"/>
                <w:color w:val="000000"/>
                <w:sz w:val="24"/>
                <w:szCs w:val="24"/>
              </w:rPr>
              <w:t>. 2012;7(12):e50567. doi:10.1371/journal.pone.0050567.</w:t>
            </w:r>
          </w:p>
        </w:tc>
      </w:tr>
      <w:tr w:rsidR="00C901A9" w:rsidRPr="004A0C0B" w14:paraId="0DF0676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774A850D" w14:textId="2C14B33D" w:rsidR="00C901A9" w:rsidRPr="008E40E1"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50</w:t>
            </w:r>
          </w:p>
        </w:tc>
        <w:tc>
          <w:tcPr>
            <w:tcW w:w="13600" w:type="dxa"/>
            <w:tcBorders>
              <w:top w:val="nil"/>
              <w:left w:val="nil"/>
              <w:bottom w:val="single" w:sz="4" w:space="0" w:color="auto"/>
              <w:right w:val="single" w:sz="4" w:space="0" w:color="auto"/>
            </w:tcBorders>
            <w:shd w:val="clear" w:color="auto" w:fill="auto"/>
          </w:tcPr>
          <w:p w14:paraId="00DF3492" w14:textId="3B084590" w:rsidR="00C901A9" w:rsidRPr="004A0C0B" w:rsidRDefault="00C901A9"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Rennie L, Porteous T, Ryan M. Preferences for Managing Symptoms of Differing Severity: A Discrete Choice Experiment. </w:t>
            </w:r>
            <w:r w:rsidRPr="004A0C0B">
              <w:rPr>
                <w:rFonts w:ascii="Times New Roman" w:eastAsia="Times New Roman" w:hAnsi="Times New Roman" w:cs="Times New Roman"/>
                <w:i/>
                <w:iCs/>
                <w:color w:val="000000"/>
                <w:sz w:val="24"/>
                <w:szCs w:val="24"/>
              </w:rPr>
              <w:t>Value Heal</w:t>
            </w:r>
            <w:r w:rsidRPr="004A0C0B">
              <w:rPr>
                <w:rFonts w:ascii="Times New Roman" w:eastAsia="Times New Roman" w:hAnsi="Times New Roman" w:cs="Times New Roman"/>
                <w:color w:val="000000"/>
                <w:sz w:val="24"/>
                <w:szCs w:val="24"/>
              </w:rPr>
              <w:t>. 2012;15(8):1069-1076. doi:10.1016/j.jval.2012.06.013.</w:t>
            </w:r>
          </w:p>
        </w:tc>
      </w:tr>
      <w:tr w:rsidR="00C901A9" w:rsidRPr="004A0C0B" w14:paraId="1094842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ABCCF1C" w14:textId="2750C0BC"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51</w:t>
            </w:r>
          </w:p>
        </w:tc>
        <w:tc>
          <w:tcPr>
            <w:tcW w:w="13600" w:type="dxa"/>
            <w:tcBorders>
              <w:top w:val="nil"/>
              <w:left w:val="nil"/>
              <w:bottom w:val="single" w:sz="4" w:space="0" w:color="auto"/>
              <w:right w:val="single" w:sz="4" w:space="0" w:color="auto"/>
            </w:tcBorders>
            <w:shd w:val="clear" w:color="auto" w:fill="auto"/>
          </w:tcPr>
          <w:p w14:paraId="18625CF3" w14:textId="0C7360B6"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Hill M, Fisher J, Chitty LS, Morris S. Women’s and health professionals’ preferences for prenatal tests for Down syndrome: a discrete choice experiment to contrast noninvasive prenatal diagnosis with current invasive tests. </w:t>
            </w:r>
            <w:r w:rsidRPr="004A0C0B">
              <w:rPr>
                <w:rFonts w:ascii="Times New Roman" w:eastAsia="Times New Roman" w:hAnsi="Times New Roman" w:cs="Times New Roman"/>
                <w:i/>
                <w:iCs/>
                <w:color w:val="000000"/>
                <w:sz w:val="24"/>
                <w:szCs w:val="24"/>
              </w:rPr>
              <w:t>Genet Med</w:t>
            </w:r>
            <w:r w:rsidRPr="004A0C0B">
              <w:rPr>
                <w:rFonts w:ascii="Times New Roman" w:eastAsia="Times New Roman" w:hAnsi="Times New Roman" w:cs="Times New Roman"/>
                <w:color w:val="000000"/>
                <w:sz w:val="24"/>
                <w:szCs w:val="24"/>
              </w:rPr>
              <w:t>. 2012;14(11):905-913. doi:10.1038/gim.2012.68.</w:t>
            </w:r>
          </w:p>
        </w:tc>
      </w:tr>
      <w:tr w:rsidR="00C901A9" w:rsidRPr="004A0C0B" w14:paraId="536A3529"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C9DEC7C" w14:textId="486F07A4"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52</w:t>
            </w:r>
          </w:p>
        </w:tc>
        <w:tc>
          <w:tcPr>
            <w:tcW w:w="13600" w:type="dxa"/>
            <w:tcBorders>
              <w:top w:val="nil"/>
              <w:left w:val="nil"/>
              <w:bottom w:val="single" w:sz="4" w:space="0" w:color="auto"/>
              <w:right w:val="single" w:sz="4" w:space="0" w:color="auto"/>
            </w:tcBorders>
            <w:shd w:val="clear" w:color="auto" w:fill="auto"/>
          </w:tcPr>
          <w:p w14:paraId="41862C9C" w14:textId="744254B7"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A90284">
              <w:rPr>
                <w:rFonts w:ascii="Times New Roman" w:eastAsia="Times New Roman" w:hAnsi="Times New Roman" w:cs="Times New Roman"/>
                <w:color w:val="000000"/>
                <w:sz w:val="24"/>
                <w:szCs w:val="24"/>
              </w:rPr>
              <w:t>Benning TM, Kimman ML, Dirksen CD, Boersma LJ, Dellaert BGC. Combining Individual-Level Discrete Choice Experiment Estimates and Costs to Inform Health Care Management Decisions about Customized Care: The Case of Follow-Up Strategies after Breast Cancer Treatment.</w:t>
            </w:r>
            <w:r w:rsidR="00F747B1">
              <w:rPr>
                <w:rFonts w:ascii="Times New Roman" w:eastAsia="Times New Roman" w:hAnsi="Times New Roman" w:cs="Times New Roman"/>
                <w:color w:val="000000"/>
                <w:sz w:val="24"/>
                <w:szCs w:val="24"/>
              </w:rPr>
              <w:t xml:space="preserve"> </w:t>
            </w:r>
            <w:r w:rsidR="00F747B1" w:rsidRPr="004A0C0B">
              <w:rPr>
                <w:rFonts w:ascii="Times New Roman" w:eastAsia="Times New Roman" w:hAnsi="Times New Roman" w:cs="Times New Roman"/>
                <w:i/>
                <w:iCs/>
                <w:color w:val="000000"/>
                <w:sz w:val="24"/>
                <w:szCs w:val="24"/>
              </w:rPr>
              <w:t>Value Heal</w:t>
            </w:r>
            <w:r w:rsidR="00F747B1">
              <w:rPr>
                <w:rFonts w:ascii="Times New Roman" w:eastAsia="Times New Roman" w:hAnsi="Times New Roman" w:cs="Times New Roman"/>
                <w:color w:val="000000"/>
                <w:sz w:val="24"/>
                <w:szCs w:val="24"/>
              </w:rPr>
              <w:t>. 2012.</w:t>
            </w:r>
            <w:r w:rsidRPr="00A90284">
              <w:rPr>
                <w:rFonts w:ascii="Times New Roman" w:eastAsia="Times New Roman" w:hAnsi="Times New Roman" w:cs="Times New Roman"/>
                <w:color w:val="000000"/>
                <w:sz w:val="24"/>
                <w:szCs w:val="24"/>
              </w:rPr>
              <w:t xml:space="preserve"> doi:10.1016/j.jval.2012.04.007.</w:t>
            </w:r>
          </w:p>
        </w:tc>
      </w:tr>
      <w:tr w:rsidR="00C901A9" w:rsidRPr="004A0C0B" w14:paraId="48720082"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C865397" w14:textId="17B3819B"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53</w:t>
            </w:r>
          </w:p>
        </w:tc>
        <w:tc>
          <w:tcPr>
            <w:tcW w:w="13600" w:type="dxa"/>
            <w:tcBorders>
              <w:top w:val="nil"/>
              <w:left w:val="nil"/>
              <w:bottom w:val="single" w:sz="4" w:space="0" w:color="auto"/>
              <w:right w:val="single" w:sz="4" w:space="0" w:color="auto"/>
            </w:tcBorders>
            <w:shd w:val="clear" w:color="auto" w:fill="auto"/>
          </w:tcPr>
          <w:p w14:paraId="38419EB3" w14:textId="54099227"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Naik-Panvelkar P, Armour C, Rose JM, Saini B. Patient Preferences for Community Pharmacy Asthma Services. </w:t>
            </w:r>
            <w:r w:rsidRPr="004A0C0B">
              <w:rPr>
                <w:rFonts w:ascii="Times New Roman" w:eastAsia="Times New Roman" w:hAnsi="Times New Roman" w:cs="Times New Roman"/>
                <w:i/>
                <w:iCs/>
                <w:color w:val="000000"/>
                <w:sz w:val="24"/>
                <w:szCs w:val="24"/>
              </w:rPr>
              <w:t>Pharmacoeconomics</w:t>
            </w:r>
            <w:r w:rsidRPr="004A0C0B">
              <w:rPr>
                <w:rFonts w:ascii="Times New Roman" w:eastAsia="Times New Roman" w:hAnsi="Times New Roman" w:cs="Times New Roman"/>
                <w:color w:val="000000"/>
                <w:sz w:val="24"/>
                <w:szCs w:val="24"/>
              </w:rPr>
              <w:t>. 2012;30(10):961-976. doi:10.2165/11594350-000000000-00000.</w:t>
            </w:r>
          </w:p>
        </w:tc>
      </w:tr>
      <w:tr w:rsidR="00C901A9" w:rsidRPr="004A0C0B" w14:paraId="2C16484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88A6001" w14:textId="2D17B841" w:rsidR="00C901A9" w:rsidRPr="00A90284"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54</w:t>
            </w:r>
          </w:p>
        </w:tc>
        <w:tc>
          <w:tcPr>
            <w:tcW w:w="13600" w:type="dxa"/>
            <w:tcBorders>
              <w:top w:val="nil"/>
              <w:left w:val="nil"/>
              <w:bottom w:val="single" w:sz="4" w:space="0" w:color="auto"/>
              <w:right w:val="single" w:sz="4" w:space="0" w:color="auto"/>
            </w:tcBorders>
            <w:shd w:val="clear" w:color="auto" w:fill="auto"/>
          </w:tcPr>
          <w:p w14:paraId="4F91EBF7" w14:textId="2FBE29ED" w:rsidR="00C901A9" w:rsidRPr="004A0C0B" w:rsidRDefault="00C901A9" w:rsidP="00A90284">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Lagarde M, Blaauw D, Cairns J. Cost-effectiveness analysis of human resources policy interventions to address the shortage of nurses in rural South Africa. </w:t>
            </w:r>
            <w:r w:rsidRPr="004A0C0B">
              <w:rPr>
                <w:rFonts w:ascii="Times New Roman" w:eastAsia="Times New Roman" w:hAnsi="Times New Roman" w:cs="Times New Roman"/>
                <w:i/>
                <w:iCs/>
                <w:color w:val="000000"/>
                <w:sz w:val="24"/>
                <w:szCs w:val="24"/>
              </w:rPr>
              <w:t>Soc Sci Med</w:t>
            </w:r>
            <w:r w:rsidRPr="004A0C0B">
              <w:rPr>
                <w:rFonts w:ascii="Times New Roman" w:eastAsia="Times New Roman" w:hAnsi="Times New Roman" w:cs="Times New Roman"/>
                <w:color w:val="000000"/>
                <w:sz w:val="24"/>
                <w:szCs w:val="24"/>
              </w:rPr>
              <w:t>. 2012;75(5):801-806. doi:10.1016/j.socscimed.2012.05.005.</w:t>
            </w:r>
          </w:p>
        </w:tc>
      </w:tr>
      <w:tr w:rsidR="00C901A9" w:rsidRPr="004A0C0B" w14:paraId="58C55A28"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DDEEA89" w14:textId="7CF2C0CE"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55</w:t>
            </w:r>
          </w:p>
        </w:tc>
        <w:tc>
          <w:tcPr>
            <w:tcW w:w="13600" w:type="dxa"/>
            <w:tcBorders>
              <w:top w:val="nil"/>
              <w:left w:val="nil"/>
              <w:bottom w:val="single" w:sz="4" w:space="0" w:color="auto"/>
              <w:right w:val="single" w:sz="4" w:space="0" w:color="auto"/>
            </w:tcBorders>
            <w:shd w:val="clear" w:color="auto" w:fill="auto"/>
          </w:tcPr>
          <w:p w14:paraId="1BD86C74" w14:textId="10CBBC81"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17625E">
              <w:rPr>
                <w:rFonts w:ascii="Times New Roman" w:eastAsia="Times New Roman" w:hAnsi="Times New Roman" w:cs="Times New Roman"/>
                <w:color w:val="000000"/>
                <w:sz w:val="24"/>
                <w:szCs w:val="24"/>
              </w:rPr>
              <w:t xml:space="preserve">Philips H, Mahr D, Remmen R, Weverbergh M, De Graeve D, Van Royen P. Predicting the place of out-of-hours care-A market simulation based on discrete choice analysis. </w:t>
            </w:r>
            <w:r w:rsidRPr="0017625E">
              <w:rPr>
                <w:rFonts w:ascii="Times New Roman" w:eastAsia="Times New Roman" w:hAnsi="Times New Roman" w:cs="Times New Roman"/>
                <w:i/>
                <w:iCs/>
                <w:color w:val="000000"/>
                <w:sz w:val="24"/>
                <w:szCs w:val="24"/>
              </w:rPr>
              <w:t>Health Policy (New York)</w:t>
            </w:r>
            <w:r w:rsidRPr="0017625E">
              <w:rPr>
                <w:rFonts w:ascii="Times New Roman" w:eastAsia="Times New Roman" w:hAnsi="Times New Roman" w:cs="Times New Roman"/>
                <w:color w:val="000000"/>
                <w:sz w:val="24"/>
                <w:szCs w:val="24"/>
              </w:rPr>
              <w:t>. 2012;106(3):284-290. doi:10.1016/j.healthpol.2012.04.010.</w:t>
            </w:r>
          </w:p>
        </w:tc>
      </w:tr>
      <w:tr w:rsidR="00C901A9" w:rsidRPr="004A0C0B" w14:paraId="5F00FACD"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6209D54" w14:textId="0D072731"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56</w:t>
            </w:r>
          </w:p>
        </w:tc>
        <w:tc>
          <w:tcPr>
            <w:tcW w:w="13600" w:type="dxa"/>
            <w:tcBorders>
              <w:top w:val="nil"/>
              <w:left w:val="nil"/>
              <w:bottom w:val="single" w:sz="4" w:space="0" w:color="auto"/>
              <w:right w:val="single" w:sz="4" w:space="0" w:color="auto"/>
            </w:tcBorders>
            <w:shd w:val="clear" w:color="auto" w:fill="auto"/>
          </w:tcPr>
          <w:p w14:paraId="4C406F77" w14:textId="33F08C11"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Bridges JFP, Searle SC, Selck FW, Martinson NA. Designing family-centered male circumcision services: A conjoint analysis approach. </w:t>
            </w:r>
            <w:r w:rsidRPr="004A0C0B">
              <w:rPr>
                <w:rFonts w:ascii="Times New Roman" w:eastAsia="Times New Roman" w:hAnsi="Times New Roman" w:cs="Times New Roman"/>
                <w:i/>
                <w:iCs/>
                <w:color w:val="000000"/>
                <w:sz w:val="24"/>
                <w:szCs w:val="24"/>
              </w:rPr>
              <w:t>Patient</w:t>
            </w:r>
            <w:r w:rsidRPr="004A0C0B">
              <w:rPr>
                <w:rFonts w:ascii="Times New Roman" w:eastAsia="Times New Roman" w:hAnsi="Times New Roman" w:cs="Times New Roman"/>
                <w:color w:val="000000"/>
                <w:sz w:val="24"/>
                <w:szCs w:val="24"/>
              </w:rPr>
              <w:t>. 2012;5(2):101-111. doi:10.2165/11592970-000000000-00000.</w:t>
            </w:r>
          </w:p>
        </w:tc>
      </w:tr>
      <w:tr w:rsidR="00C901A9" w:rsidRPr="004A0C0B" w14:paraId="47BBF249"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43A26AC1" w14:textId="06953187" w:rsidR="00C901A9" w:rsidRPr="0017625E"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57</w:t>
            </w:r>
          </w:p>
        </w:tc>
        <w:tc>
          <w:tcPr>
            <w:tcW w:w="13600" w:type="dxa"/>
            <w:tcBorders>
              <w:top w:val="nil"/>
              <w:left w:val="nil"/>
              <w:bottom w:val="single" w:sz="4" w:space="0" w:color="auto"/>
              <w:right w:val="single" w:sz="4" w:space="0" w:color="auto"/>
            </w:tcBorders>
            <w:shd w:val="clear" w:color="auto" w:fill="auto"/>
          </w:tcPr>
          <w:p w14:paraId="48E6579D" w14:textId="30463C47"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Naik-Panvelkar P, Armour C, Rose JM, Saini B. Patients’ value of asthma services in Australian pharmacies: the way ahead for asthma care. </w:t>
            </w:r>
            <w:r w:rsidRPr="004A0C0B">
              <w:rPr>
                <w:rFonts w:ascii="Times New Roman" w:eastAsia="Times New Roman" w:hAnsi="Times New Roman" w:cs="Times New Roman"/>
                <w:i/>
                <w:iCs/>
                <w:color w:val="000000"/>
                <w:sz w:val="24"/>
                <w:szCs w:val="24"/>
              </w:rPr>
              <w:t>J Asthma</w:t>
            </w:r>
            <w:r w:rsidRPr="004A0C0B">
              <w:rPr>
                <w:rFonts w:ascii="Times New Roman" w:eastAsia="Times New Roman" w:hAnsi="Times New Roman" w:cs="Times New Roman"/>
                <w:color w:val="000000"/>
                <w:sz w:val="24"/>
                <w:szCs w:val="24"/>
              </w:rPr>
              <w:t>. 2012;49(3):310-316. doi:10.3109/02770903.2012.658130.</w:t>
            </w:r>
          </w:p>
        </w:tc>
      </w:tr>
      <w:tr w:rsidR="00C901A9" w:rsidRPr="004A0C0B" w14:paraId="0D180D06"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04AA29B" w14:textId="3AE67607"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58</w:t>
            </w:r>
          </w:p>
        </w:tc>
        <w:tc>
          <w:tcPr>
            <w:tcW w:w="13600" w:type="dxa"/>
            <w:tcBorders>
              <w:top w:val="nil"/>
              <w:left w:val="nil"/>
              <w:bottom w:val="single" w:sz="4" w:space="0" w:color="auto"/>
              <w:right w:val="single" w:sz="4" w:space="0" w:color="auto"/>
            </w:tcBorders>
            <w:shd w:val="clear" w:color="auto" w:fill="auto"/>
          </w:tcPr>
          <w:p w14:paraId="1A4CBDBF" w14:textId="20EC4DA6"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Cunningham CE, Henderson J, Niccols A, et al. Preferences for evidence-based practice dissemination in addiction agencies serving women: A discrete-choice conjoint experiment. </w:t>
            </w:r>
            <w:r w:rsidRPr="004A0C0B">
              <w:rPr>
                <w:rFonts w:ascii="Times New Roman" w:eastAsia="Times New Roman" w:hAnsi="Times New Roman" w:cs="Times New Roman"/>
                <w:i/>
                <w:iCs/>
                <w:color w:val="000000"/>
                <w:sz w:val="24"/>
                <w:szCs w:val="24"/>
              </w:rPr>
              <w:t>Addiction</w:t>
            </w:r>
            <w:r w:rsidRPr="004A0C0B">
              <w:rPr>
                <w:rFonts w:ascii="Times New Roman" w:eastAsia="Times New Roman" w:hAnsi="Times New Roman" w:cs="Times New Roman"/>
                <w:color w:val="000000"/>
                <w:sz w:val="24"/>
                <w:szCs w:val="24"/>
              </w:rPr>
              <w:t>. 2012;107(8):1512-1524. doi:10.1111/j.1360-0443.2012.03832.x.</w:t>
            </w:r>
          </w:p>
        </w:tc>
      </w:tr>
      <w:tr w:rsidR="00C901A9" w:rsidRPr="004A0C0B" w14:paraId="3AD48D80"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6EB86157" w14:textId="6ED54454"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lastRenderedPageBreak/>
              <w:t>59</w:t>
            </w:r>
          </w:p>
        </w:tc>
        <w:tc>
          <w:tcPr>
            <w:tcW w:w="13600" w:type="dxa"/>
            <w:tcBorders>
              <w:top w:val="nil"/>
              <w:left w:val="nil"/>
              <w:bottom w:val="single" w:sz="4" w:space="0" w:color="auto"/>
              <w:right w:val="single" w:sz="4" w:space="0" w:color="auto"/>
            </w:tcBorders>
            <w:shd w:val="clear" w:color="auto" w:fill="auto"/>
          </w:tcPr>
          <w:p w14:paraId="327B2F5B" w14:textId="141214A7"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17625E">
              <w:rPr>
                <w:rFonts w:ascii="Times New Roman" w:eastAsia="Times New Roman" w:hAnsi="Times New Roman" w:cs="Times New Roman"/>
                <w:color w:val="000000"/>
                <w:sz w:val="24"/>
                <w:szCs w:val="24"/>
              </w:rPr>
              <w:t xml:space="preserve">Eisingerich AB, Wheelock A, Gomez GB, et al. Attitudes and Acceptance of Oral and Parenteral HIV Preexposure Prophylaxis among Potential User Groups: A Multinational Study. Tachedjian G, ed. </w:t>
            </w:r>
            <w:r w:rsidRPr="0017625E">
              <w:rPr>
                <w:rFonts w:ascii="Times New Roman" w:eastAsia="Times New Roman" w:hAnsi="Times New Roman" w:cs="Times New Roman"/>
                <w:i/>
                <w:iCs/>
                <w:color w:val="000000"/>
                <w:sz w:val="24"/>
                <w:szCs w:val="24"/>
              </w:rPr>
              <w:t>PLoS One</w:t>
            </w:r>
            <w:r w:rsidRPr="0017625E">
              <w:rPr>
                <w:rFonts w:ascii="Times New Roman" w:eastAsia="Times New Roman" w:hAnsi="Times New Roman" w:cs="Times New Roman"/>
                <w:color w:val="000000"/>
                <w:sz w:val="24"/>
                <w:szCs w:val="24"/>
              </w:rPr>
              <w:t>. 2012;7(1):e28238. doi:10.1371/journal.pone.0028238.</w:t>
            </w:r>
          </w:p>
        </w:tc>
      </w:tr>
      <w:tr w:rsidR="00C901A9" w:rsidRPr="004A0C0B" w14:paraId="05C7B49C"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0745405E" w14:textId="73E2AC13"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60</w:t>
            </w:r>
          </w:p>
        </w:tc>
        <w:tc>
          <w:tcPr>
            <w:tcW w:w="13600" w:type="dxa"/>
            <w:tcBorders>
              <w:top w:val="nil"/>
              <w:left w:val="nil"/>
              <w:bottom w:val="single" w:sz="4" w:space="0" w:color="auto"/>
              <w:right w:val="single" w:sz="4" w:space="0" w:color="auto"/>
            </w:tcBorders>
            <w:shd w:val="clear" w:color="auto" w:fill="auto"/>
          </w:tcPr>
          <w:p w14:paraId="06C319F6" w14:textId="4ECC3447"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Lagarde M, Smith Paintain L, Antwi G, et al. Evaluating Health Workers’ Potential Resistance to New Interventions: A Role for Discrete Choice Experiments. Nosten F, ed. </w:t>
            </w:r>
            <w:r w:rsidRPr="004A0C0B">
              <w:rPr>
                <w:rFonts w:ascii="Times New Roman" w:eastAsia="Times New Roman" w:hAnsi="Times New Roman" w:cs="Times New Roman"/>
                <w:i/>
                <w:iCs/>
                <w:color w:val="000000"/>
                <w:sz w:val="24"/>
                <w:szCs w:val="24"/>
              </w:rPr>
              <w:t>PLoS One</w:t>
            </w:r>
            <w:r w:rsidRPr="004A0C0B">
              <w:rPr>
                <w:rFonts w:ascii="Times New Roman" w:eastAsia="Times New Roman" w:hAnsi="Times New Roman" w:cs="Times New Roman"/>
                <w:color w:val="000000"/>
                <w:sz w:val="24"/>
                <w:szCs w:val="24"/>
              </w:rPr>
              <w:t>. 2011;6(8):e23588. doi:10.1371/journal.pone.0023588.</w:t>
            </w:r>
          </w:p>
        </w:tc>
      </w:tr>
      <w:tr w:rsidR="00C901A9" w:rsidRPr="004A0C0B" w14:paraId="4765F0C4"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96867AA" w14:textId="71BBF89F" w:rsidR="00C901A9" w:rsidRPr="0017625E"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61</w:t>
            </w:r>
          </w:p>
        </w:tc>
        <w:tc>
          <w:tcPr>
            <w:tcW w:w="13600" w:type="dxa"/>
            <w:tcBorders>
              <w:top w:val="nil"/>
              <w:left w:val="nil"/>
              <w:bottom w:val="single" w:sz="4" w:space="0" w:color="auto"/>
              <w:right w:val="single" w:sz="4" w:space="0" w:color="auto"/>
            </w:tcBorders>
            <w:shd w:val="clear" w:color="auto" w:fill="auto"/>
          </w:tcPr>
          <w:p w14:paraId="155DB7EE" w14:textId="140EE79A"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Wen K-Y, Gustafson DH, Hawkins RP, et al. Developing and validating a model to predict the success of an IHCS implementation: the Readiness for Implementation Model. </w:t>
            </w:r>
            <w:r w:rsidRPr="004A0C0B">
              <w:rPr>
                <w:rFonts w:ascii="Times New Roman" w:eastAsia="Times New Roman" w:hAnsi="Times New Roman" w:cs="Times New Roman"/>
                <w:i/>
                <w:iCs/>
                <w:color w:val="000000"/>
                <w:sz w:val="24"/>
                <w:szCs w:val="24"/>
              </w:rPr>
              <w:t>J Am Med Informatics Assoc</w:t>
            </w:r>
            <w:r w:rsidRPr="004A0C0B">
              <w:rPr>
                <w:rFonts w:ascii="Times New Roman" w:eastAsia="Times New Roman" w:hAnsi="Times New Roman" w:cs="Times New Roman"/>
                <w:color w:val="000000"/>
                <w:sz w:val="24"/>
                <w:szCs w:val="24"/>
              </w:rPr>
              <w:t>. 2010;17(6):707-713. doi:10.1136/jamia.2010.005546.</w:t>
            </w:r>
          </w:p>
        </w:tc>
      </w:tr>
      <w:tr w:rsidR="00C901A9" w:rsidRPr="004A0C0B" w14:paraId="734198C4"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CD257BC" w14:textId="093ED84E"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62</w:t>
            </w:r>
          </w:p>
        </w:tc>
        <w:tc>
          <w:tcPr>
            <w:tcW w:w="13600" w:type="dxa"/>
            <w:tcBorders>
              <w:top w:val="nil"/>
              <w:left w:val="nil"/>
              <w:bottom w:val="single" w:sz="4" w:space="0" w:color="auto"/>
              <w:right w:val="single" w:sz="4" w:space="0" w:color="auto"/>
            </w:tcBorders>
            <w:shd w:val="clear" w:color="auto" w:fill="auto"/>
          </w:tcPr>
          <w:p w14:paraId="1C7C9A8B" w14:textId="6C42A64E"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667E78">
              <w:rPr>
                <w:rFonts w:ascii="Times New Roman" w:eastAsia="Times New Roman" w:hAnsi="Times New Roman" w:cs="Times New Roman"/>
                <w:color w:val="000000"/>
                <w:sz w:val="24"/>
                <w:szCs w:val="24"/>
              </w:rPr>
              <w:t xml:space="preserve">Grindrod KA, Marra CA, Colley L, Tsuyuki RT, Lynd LD. Pharmacists’ Preferences for Providing Patient-Centered Services: A Discrete Choice Experiment to Guide Health Policy. </w:t>
            </w:r>
            <w:r w:rsidRPr="00667E78">
              <w:rPr>
                <w:rFonts w:ascii="Times New Roman" w:eastAsia="Times New Roman" w:hAnsi="Times New Roman" w:cs="Times New Roman"/>
                <w:i/>
                <w:iCs/>
                <w:color w:val="000000"/>
                <w:sz w:val="24"/>
                <w:szCs w:val="24"/>
              </w:rPr>
              <w:t>Ann Pharmacother</w:t>
            </w:r>
            <w:r w:rsidRPr="00667E78">
              <w:rPr>
                <w:rFonts w:ascii="Times New Roman" w:eastAsia="Times New Roman" w:hAnsi="Times New Roman" w:cs="Times New Roman"/>
                <w:color w:val="000000"/>
                <w:sz w:val="24"/>
                <w:szCs w:val="24"/>
              </w:rPr>
              <w:t>. 2010;44(10):1554-1564. doi:10.1345/aph.1P228.</w:t>
            </w:r>
          </w:p>
        </w:tc>
      </w:tr>
      <w:tr w:rsidR="00C901A9" w:rsidRPr="004A0C0B" w14:paraId="3D81C8AC"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68E81FA" w14:textId="64388D53"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63</w:t>
            </w:r>
          </w:p>
        </w:tc>
        <w:tc>
          <w:tcPr>
            <w:tcW w:w="13600" w:type="dxa"/>
            <w:tcBorders>
              <w:top w:val="nil"/>
              <w:left w:val="nil"/>
              <w:bottom w:val="single" w:sz="4" w:space="0" w:color="auto"/>
              <w:right w:val="single" w:sz="4" w:space="0" w:color="auto"/>
            </w:tcBorders>
            <w:shd w:val="clear" w:color="auto" w:fill="auto"/>
          </w:tcPr>
          <w:p w14:paraId="141D2785" w14:textId="2A60309F"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Youngkong S, Baltussen R, Tantivess S, Koolman X, Teerawattananon Y. Criteria for priority setting of HIV/AIDS interventions in Thailand: a discrete choice experiment. </w:t>
            </w:r>
            <w:r w:rsidRPr="004A0C0B">
              <w:rPr>
                <w:rFonts w:ascii="Times New Roman" w:eastAsia="Times New Roman" w:hAnsi="Times New Roman" w:cs="Times New Roman"/>
                <w:i/>
                <w:iCs/>
                <w:color w:val="000000"/>
                <w:sz w:val="24"/>
                <w:szCs w:val="24"/>
              </w:rPr>
              <w:t>BMC Health Serv Res</w:t>
            </w:r>
            <w:r w:rsidRPr="004A0C0B">
              <w:rPr>
                <w:rFonts w:ascii="Times New Roman" w:eastAsia="Times New Roman" w:hAnsi="Times New Roman" w:cs="Times New Roman"/>
                <w:color w:val="000000"/>
                <w:sz w:val="24"/>
                <w:szCs w:val="24"/>
              </w:rPr>
              <w:t>. 2010;10(1):197-197 1p. doi:10.1186/1472-6963-10-197.</w:t>
            </w:r>
          </w:p>
        </w:tc>
      </w:tr>
      <w:tr w:rsidR="00C901A9" w:rsidRPr="004A0C0B" w14:paraId="0BA0986B"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6FC4088" w14:textId="5986E71F" w:rsidR="00C901A9" w:rsidRPr="00667E78"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64</w:t>
            </w:r>
          </w:p>
        </w:tc>
        <w:tc>
          <w:tcPr>
            <w:tcW w:w="13600" w:type="dxa"/>
            <w:tcBorders>
              <w:top w:val="nil"/>
              <w:left w:val="nil"/>
              <w:bottom w:val="single" w:sz="4" w:space="0" w:color="auto"/>
              <w:right w:val="single" w:sz="4" w:space="0" w:color="auto"/>
            </w:tcBorders>
            <w:shd w:val="clear" w:color="auto" w:fill="auto"/>
          </w:tcPr>
          <w:p w14:paraId="06447747" w14:textId="1B88D03D"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Hinoul P, Goossens A, Roovers JP. Factors determining the adoption of innovative needle suspension techniques with mesh to treat urogenital prolapse: a conjoint analysis study. </w:t>
            </w:r>
            <w:r w:rsidRPr="004A0C0B">
              <w:rPr>
                <w:rFonts w:ascii="Times New Roman" w:eastAsia="Times New Roman" w:hAnsi="Times New Roman" w:cs="Times New Roman"/>
                <w:i/>
                <w:iCs/>
                <w:color w:val="000000"/>
                <w:sz w:val="24"/>
                <w:szCs w:val="24"/>
              </w:rPr>
              <w:t>Eur J Obstet Gynecol Reprod Biol</w:t>
            </w:r>
            <w:r w:rsidRPr="004A0C0B">
              <w:rPr>
                <w:rFonts w:ascii="Times New Roman" w:eastAsia="Times New Roman" w:hAnsi="Times New Roman" w:cs="Times New Roman"/>
                <w:color w:val="000000"/>
                <w:sz w:val="24"/>
                <w:szCs w:val="24"/>
              </w:rPr>
              <w:t>. 2010;151(2):212-216. doi:10.1016/j.ejogrb.2010.03.026.</w:t>
            </w:r>
          </w:p>
        </w:tc>
      </w:tr>
      <w:tr w:rsidR="00C901A9" w:rsidRPr="004A0C0B" w14:paraId="5BE6AF9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B03E823" w14:textId="49B8AB35"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65</w:t>
            </w:r>
          </w:p>
        </w:tc>
        <w:tc>
          <w:tcPr>
            <w:tcW w:w="13600" w:type="dxa"/>
            <w:tcBorders>
              <w:top w:val="nil"/>
              <w:left w:val="nil"/>
              <w:bottom w:val="single" w:sz="4" w:space="0" w:color="auto"/>
              <w:right w:val="single" w:sz="4" w:space="0" w:color="auto"/>
            </w:tcBorders>
            <w:shd w:val="clear" w:color="auto" w:fill="auto"/>
          </w:tcPr>
          <w:p w14:paraId="4FED4115" w14:textId="491C389B"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Davison SN, Kromm SK, Currie GR. Patient and health professional preferences for organ allocation and procurement, end-of-life care and organization of care for patients with chronic kidney disease using a discrete choice experiment. </w:t>
            </w:r>
            <w:r w:rsidRPr="004A0C0B">
              <w:rPr>
                <w:rFonts w:ascii="Times New Roman" w:eastAsia="Times New Roman" w:hAnsi="Times New Roman" w:cs="Times New Roman"/>
                <w:i/>
                <w:iCs/>
                <w:color w:val="000000"/>
                <w:sz w:val="24"/>
                <w:szCs w:val="24"/>
              </w:rPr>
              <w:t>Nephrol Dial Transplant</w:t>
            </w:r>
            <w:r w:rsidRPr="004A0C0B">
              <w:rPr>
                <w:rFonts w:ascii="Times New Roman" w:eastAsia="Times New Roman" w:hAnsi="Times New Roman" w:cs="Times New Roman"/>
                <w:color w:val="000000"/>
                <w:sz w:val="24"/>
                <w:szCs w:val="24"/>
              </w:rPr>
              <w:t>. 2010;25(7):2334-2341. doi:10.1093/ndt/gfq072.</w:t>
            </w:r>
          </w:p>
        </w:tc>
      </w:tr>
      <w:tr w:rsidR="00C901A9" w:rsidRPr="004A0C0B" w14:paraId="2BD7EDA7"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BEA784A" w14:textId="5425D617"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66</w:t>
            </w:r>
          </w:p>
        </w:tc>
        <w:tc>
          <w:tcPr>
            <w:tcW w:w="13600" w:type="dxa"/>
            <w:tcBorders>
              <w:top w:val="nil"/>
              <w:left w:val="nil"/>
              <w:bottom w:val="single" w:sz="4" w:space="0" w:color="auto"/>
              <w:right w:val="single" w:sz="4" w:space="0" w:color="auto"/>
            </w:tcBorders>
            <w:shd w:val="clear" w:color="auto" w:fill="auto"/>
          </w:tcPr>
          <w:p w14:paraId="2D157937" w14:textId="5323D556"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Bridges JFP, Searle SC, Selck FW, Martinson NA. Engaging Families in the Choice of Social Marketing Strategies for Male Circumcision Services in Johannesburg, South Africa. </w:t>
            </w:r>
            <w:r w:rsidRPr="004A0C0B">
              <w:rPr>
                <w:rFonts w:ascii="Times New Roman" w:eastAsia="Times New Roman" w:hAnsi="Times New Roman" w:cs="Times New Roman"/>
                <w:i/>
                <w:iCs/>
                <w:color w:val="000000"/>
                <w:sz w:val="24"/>
                <w:szCs w:val="24"/>
              </w:rPr>
              <w:t>Soc Mar Q</w:t>
            </w:r>
            <w:r w:rsidRPr="004A0C0B">
              <w:rPr>
                <w:rFonts w:ascii="Times New Roman" w:eastAsia="Times New Roman" w:hAnsi="Times New Roman" w:cs="Times New Roman"/>
                <w:color w:val="000000"/>
                <w:sz w:val="24"/>
                <w:szCs w:val="24"/>
              </w:rPr>
              <w:t>. 2010;16(3):60-76. doi:10.1080/15245004.2010.500443.</w:t>
            </w:r>
          </w:p>
        </w:tc>
      </w:tr>
      <w:tr w:rsidR="00C901A9" w:rsidRPr="004A0C0B" w14:paraId="087D375B"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5C4DBC3" w14:textId="3614B33E"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67</w:t>
            </w:r>
          </w:p>
        </w:tc>
        <w:tc>
          <w:tcPr>
            <w:tcW w:w="13600" w:type="dxa"/>
            <w:tcBorders>
              <w:top w:val="nil"/>
              <w:left w:val="nil"/>
              <w:bottom w:val="single" w:sz="4" w:space="0" w:color="auto"/>
              <w:right w:val="single" w:sz="4" w:space="0" w:color="auto"/>
            </w:tcBorders>
            <w:shd w:val="clear" w:color="auto" w:fill="auto"/>
          </w:tcPr>
          <w:p w14:paraId="3C2F953E" w14:textId="0EDE5E88"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van Helvoort-Postulart D, van der Weijden T, Dellaert BGC, de Kok M, von Meyenfeldt MF, Dirksen CD. Investigating the complementary value of discrete choice experiments for the evaluation of barriers and facilitators in implementation research: a questionnaire survey. </w:t>
            </w:r>
            <w:r w:rsidRPr="004A0C0B">
              <w:rPr>
                <w:rFonts w:ascii="Times New Roman" w:eastAsia="Times New Roman" w:hAnsi="Times New Roman" w:cs="Times New Roman"/>
                <w:i/>
                <w:iCs/>
                <w:color w:val="000000"/>
                <w:sz w:val="24"/>
                <w:szCs w:val="24"/>
              </w:rPr>
              <w:t>Implement Sci</w:t>
            </w:r>
            <w:r w:rsidRPr="004A0C0B">
              <w:rPr>
                <w:rFonts w:ascii="Times New Roman" w:eastAsia="Times New Roman" w:hAnsi="Times New Roman" w:cs="Times New Roman"/>
                <w:color w:val="000000"/>
                <w:sz w:val="24"/>
                <w:szCs w:val="24"/>
              </w:rPr>
              <w:t>. 2009;4:10. doi:10.1186/1748-5908-4-10.</w:t>
            </w:r>
          </w:p>
        </w:tc>
      </w:tr>
      <w:tr w:rsidR="00C901A9" w:rsidRPr="004A0C0B" w14:paraId="7DB8A87F"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46C14AA4" w14:textId="04280004"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68</w:t>
            </w:r>
          </w:p>
        </w:tc>
        <w:tc>
          <w:tcPr>
            <w:tcW w:w="13600" w:type="dxa"/>
            <w:tcBorders>
              <w:top w:val="nil"/>
              <w:left w:val="nil"/>
              <w:bottom w:val="single" w:sz="4" w:space="0" w:color="auto"/>
              <w:right w:val="single" w:sz="4" w:space="0" w:color="auto"/>
            </w:tcBorders>
            <w:shd w:val="clear" w:color="auto" w:fill="auto"/>
          </w:tcPr>
          <w:p w14:paraId="00595258" w14:textId="6F031336"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van Helvoort-Postulart D, Dellaert BGC, van der Weijden T, von Meyenfeldt MF, Dirksen CD. Discrete choice experiments for complex health-care decisions: does hierarchical information integration offer a solution? </w:t>
            </w:r>
            <w:r w:rsidRPr="004A0C0B">
              <w:rPr>
                <w:rFonts w:ascii="Times New Roman" w:eastAsia="Times New Roman" w:hAnsi="Times New Roman" w:cs="Times New Roman"/>
                <w:i/>
                <w:iCs/>
                <w:color w:val="000000"/>
                <w:sz w:val="24"/>
                <w:szCs w:val="24"/>
              </w:rPr>
              <w:t>Health Econ</w:t>
            </w:r>
            <w:r w:rsidRPr="004A0C0B">
              <w:rPr>
                <w:rFonts w:ascii="Times New Roman" w:eastAsia="Times New Roman" w:hAnsi="Times New Roman" w:cs="Times New Roman"/>
                <w:color w:val="000000"/>
                <w:sz w:val="24"/>
                <w:szCs w:val="24"/>
              </w:rPr>
              <w:t>. 2009;18(8):903-920. doi:10.1002/hec.1411.</w:t>
            </w:r>
          </w:p>
        </w:tc>
      </w:tr>
      <w:tr w:rsidR="00C901A9" w:rsidRPr="004A0C0B" w14:paraId="07BAE89E"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302508A0" w14:textId="34DA4AF1"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69</w:t>
            </w:r>
          </w:p>
        </w:tc>
        <w:tc>
          <w:tcPr>
            <w:tcW w:w="13600" w:type="dxa"/>
            <w:tcBorders>
              <w:top w:val="nil"/>
              <w:left w:val="nil"/>
              <w:bottom w:val="single" w:sz="4" w:space="0" w:color="auto"/>
              <w:right w:val="single" w:sz="4" w:space="0" w:color="auto"/>
            </w:tcBorders>
            <w:shd w:val="clear" w:color="auto" w:fill="auto"/>
          </w:tcPr>
          <w:p w14:paraId="17C8A6FD" w14:textId="08564458"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Goossens A, Bossuyt PMM, de Haan RJ. Physicians and nurses focus on different aspects of guidelines when deciding whether to adopt them: An application of conjoint analysis. </w:t>
            </w:r>
            <w:r w:rsidRPr="004A0C0B">
              <w:rPr>
                <w:rFonts w:ascii="Times New Roman" w:eastAsia="Times New Roman" w:hAnsi="Times New Roman" w:cs="Times New Roman"/>
                <w:i/>
                <w:iCs/>
                <w:color w:val="000000"/>
                <w:sz w:val="24"/>
                <w:szCs w:val="24"/>
              </w:rPr>
              <w:t>Med Decis Mak</w:t>
            </w:r>
            <w:r w:rsidRPr="004A0C0B">
              <w:rPr>
                <w:rFonts w:ascii="Times New Roman" w:eastAsia="Times New Roman" w:hAnsi="Times New Roman" w:cs="Times New Roman"/>
                <w:color w:val="000000"/>
                <w:sz w:val="24"/>
                <w:szCs w:val="24"/>
              </w:rPr>
              <w:t>. 2008;28(1):138-145. doi:10.1177/0272989X07308749.</w:t>
            </w:r>
          </w:p>
        </w:tc>
      </w:tr>
      <w:tr w:rsidR="00C901A9" w:rsidRPr="004A0C0B" w14:paraId="314A9508"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87AAB6C" w14:textId="1EC3A0EF"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70</w:t>
            </w:r>
          </w:p>
        </w:tc>
        <w:tc>
          <w:tcPr>
            <w:tcW w:w="13600" w:type="dxa"/>
            <w:tcBorders>
              <w:top w:val="nil"/>
              <w:left w:val="nil"/>
              <w:bottom w:val="single" w:sz="4" w:space="0" w:color="auto"/>
              <w:right w:val="single" w:sz="4" w:space="0" w:color="auto"/>
            </w:tcBorders>
            <w:shd w:val="clear" w:color="auto" w:fill="auto"/>
          </w:tcPr>
          <w:p w14:paraId="050F26A7" w14:textId="1E46EC09"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Fitzpatrick E, Coyle DE, Durieux-Smith A, Graham ID, Angus DE, Gaboury I. Parents’ preferences for services for children with hearing loss: a conjoint analysis study. </w:t>
            </w:r>
            <w:r w:rsidRPr="004A0C0B">
              <w:rPr>
                <w:rFonts w:ascii="Times New Roman" w:eastAsia="Times New Roman" w:hAnsi="Times New Roman" w:cs="Times New Roman"/>
                <w:i/>
                <w:iCs/>
                <w:color w:val="000000"/>
                <w:sz w:val="24"/>
                <w:szCs w:val="24"/>
              </w:rPr>
              <w:t>Ear Hear</w:t>
            </w:r>
            <w:r w:rsidRPr="004A0C0B">
              <w:rPr>
                <w:rFonts w:ascii="Times New Roman" w:eastAsia="Times New Roman" w:hAnsi="Times New Roman" w:cs="Times New Roman"/>
                <w:color w:val="000000"/>
                <w:sz w:val="24"/>
                <w:szCs w:val="24"/>
              </w:rPr>
              <w:t>. 2007;28(6):842-849. doi:10.1097/AUD.0b013e318157676d.</w:t>
            </w:r>
          </w:p>
        </w:tc>
      </w:tr>
      <w:tr w:rsidR="00C901A9" w:rsidRPr="004A0C0B" w14:paraId="30C3AF3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15442EDF" w14:textId="25959DCD"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71</w:t>
            </w:r>
          </w:p>
        </w:tc>
        <w:tc>
          <w:tcPr>
            <w:tcW w:w="13600" w:type="dxa"/>
            <w:tcBorders>
              <w:top w:val="nil"/>
              <w:left w:val="nil"/>
              <w:bottom w:val="single" w:sz="4" w:space="0" w:color="auto"/>
              <w:right w:val="single" w:sz="4" w:space="0" w:color="auto"/>
            </w:tcBorders>
            <w:shd w:val="clear" w:color="auto" w:fill="auto"/>
          </w:tcPr>
          <w:p w14:paraId="73C6E81E" w14:textId="40DE816F" w:rsidR="00C901A9" w:rsidRPr="004A0C0B" w:rsidRDefault="00C901A9" w:rsidP="00534465">
            <w:pPr>
              <w:spacing w:after="0" w:line="240" w:lineRule="auto"/>
              <w:rPr>
                <w:rFonts w:ascii="Times New Roman" w:eastAsia="Times New Roman" w:hAnsi="Times New Roman" w:cs="Times New Roman"/>
                <w:sz w:val="24"/>
                <w:szCs w:val="24"/>
                <w:lang w:eastAsia="fr-FR"/>
              </w:rPr>
            </w:pPr>
            <w:r w:rsidRPr="004A0C0B">
              <w:rPr>
                <w:rFonts w:ascii="Times New Roman" w:eastAsia="Times New Roman" w:hAnsi="Times New Roman" w:cs="Times New Roman"/>
                <w:color w:val="000000"/>
                <w:sz w:val="24"/>
                <w:szCs w:val="24"/>
              </w:rPr>
              <w:t xml:space="preserve">Marshall DA, Johnson FR, Phillips KA, Marshall JK, Thabane L, Kulin NA. Measuring patient preferences for colorectal cancer screening using a choice-format survey. </w:t>
            </w:r>
            <w:r w:rsidRPr="004A0C0B">
              <w:rPr>
                <w:rFonts w:ascii="Times New Roman" w:eastAsia="Times New Roman" w:hAnsi="Times New Roman" w:cs="Times New Roman"/>
                <w:i/>
                <w:iCs/>
                <w:color w:val="000000"/>
                <w:sz w:val="24"/>
                <w:szCs w:val="24"/>
              </w:rPr>
              <w:t>Value Heal</w:t>
            </w:r>
            <w:r w:rsidRPr="004A0C0B">
              <w:rPr>
                <w:rFonts w:ascii="Times New Roman" w:eastAsia="Times New Roman" w:hAnsi="Times New Roman" w:cs="Times New Roman"/>
                <w:color w:val="000000"/>
                <w:sz w:val="24"/>
                <w:szCs w:val="24"/>
              </w:rPr>
              <w:t>. 2007;10(5):415-430. doi:10.1111/j.1524-4733.2007.00196.x.</w:t>
            </w:r>
          </w:p>
        </w:tc>
      </w:tr>
      <w:tr w:rsidR="00C901A9" w:rsidRPr="004A0C0B" w14:paraId="73E27E6C"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E250B5F" w14:textId="072BD517"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72</w:t>
            </w:r>
          </w:p>
        </w:tc>
        <w:tc>
          <w:tcPr>
            <w:tcW w:w="13600" w:type="dxa"/>
            <w:tcBorders>
              <w:top w:val="nil"/>
              <w:left w:val="nil"/>
              <w:bottom w:val="single" w:sz="4" w:space="0" w:color="auto"/>
              <w:right w:val="single" w:sz="4" w:space="0" w:color="auto"/>
            </w:tcBorders>
            <w:shd w:val="clear" w:color="auto" w:fill="auto"/>
          </w:tcPr>
          <w:p w14:paraId="4E321F2A" w14:textId="6236CB01"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Baltussen R, Ten Asbroek AHA, Koolman X, Shrestha N, Bhattarai P, Niessen LW. Priority setting using multiple criteria: Should a lung health programme be implemented in Nepal? </w:t>
            </w:r>
            <w:r w:rsidRPr="004A0C0B">
              <w:rPr>
                <w:rFonts w:ascii="Times New Roman" w:eastAsia="Times New Roman" w:hAnsi="Times New Roman" w:cs="Times New Roman"/>
                <w:i/>
                <w:iCs/>
                <w:color w:val="000000"/>
                <w:sz w:val="24"/>
                <w:szCs w:val="24"/>
              </w:rPr>
              <w:t>Health Policy Plan</w:t>
            </w:r>
            <w:r w:rsidRPr="004A0C0B">
              <w:rPr>
                <w:rFonts w:ascii="Times New Roman" w:eastAsia="Times New Roman" w:hAnsi="Times New Roman" w:cs="Times New Roman"/>
                <w:color w:val="000000"/>
                <w:sz w:val="24"/>
                <w:szCs w:val="24"/>
              </w:rPr>
              <w:t>. 2007;22(3):178-185. doi:10.1093/heapol/czm010.</w:t>
            </w:r>
          </w:p>
        </w:tc>
      </w:tr>
      <w:tr w:rsidR="00C901A9" w:rsidRPr="004A0C0B" w14:paraId="4A5D2883"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5318F237" w14:textId="3E056D1F"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lastRenderedPageBreak/>
              <w:t>73</w:t>
            </w:r>
          </w:p>
        </w:tc>
        <w:tc>
          <w:tcPr>
            <w:tcW w:w="13600" w:type="dxa"/>
            <w:tcBorders>
              <w:top w:val="nil"/>
              <w:left w:val="nil"/>
              <w:bottom w:val="single" w:sz="4" w:space="0" w:color="auto"/>
              <w:right w:val="single" w:sz="4" w:space="0" w:color="auto"/>
            </w:tcBorders>
            <w:shd w:val="clear" w:color="auto" w:fill="auto"/>
          </w:tcPr>
          <w:p w14:paraId="7F1100EB" w14:textId="62442162"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Oudhoff JP, Timmermans DRM, Knol DL, Bijnen AB, Van der Wal G. Prioritising patients on surgical waiting lists: A conjoint analysis study on the priority judgements of patients, surgeons, occupational physicians, and general practitioners. </w:t>
            </w:r>
            <w:r w:rsidRPr="004A0C0B">
              <w:rPr>
                <w:rFonts w:ascii="Times New Roman" w:eastAsia="Times New Roman" w:hAnsi="Times New Roman" w:cs="Times New Roman"/>
                <w:i/>
                <w:iCs/>
                <w:color w:val="000000"/>
                <w:sz w:val="24"/>
                <w:szCs w:val="24"/>
              </w:rPr>
              <w:t>Soc Sci Med</w:t>
            </w:r>
            <w:r w:rsidRPr="004A0C0B">
              <w:rPr>
                <w:rFonts w:ascii="Times New Roman" w:eastAsia="Times New Roman" w:hAnsi="Times New Roman" w:cs="Times New Roman"/>
                <w:color w:val="000000"/>
                <w:sz w:val="24"/>
                <w:szCs w:val="24"/>
              </w:rPr>
              <w:t>. 2007;64(9):1863-1875. doi:10.1016/j.socscimed.2007.01.002.</w:t>
            </w:r>
          </w:p>
        </w:tc>
      </w:tr>
      <w:tr w:rsidR="00C901A9" w:rsidRPr="004A0C0B" w14:paraId="153504A6"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72E80E37" w14:textId="0E524285"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74</w:t>
            </w:r>
          </w:p>
        </w:tc>
        <w:tc>
          <w:tcPr>
            <w:tcW w:w="13600" w:type="dxa"/>
            <w:tcBorders>
              <w:top w:val="nil"/>
              <w:left w:val="nil"/>
              <w:bottom w:val="single" w:sz="4" w:space="0" w:color="auto"/>
              <w:right w:val="single" w:sz="4" w:space="0" w:color="auto"/>
            </w:tcBorders>
            <w:shd w:val="clear" w:color="auto" w:fill="auto"/>
          </w:tcPr>
          <w:p w14:paraId="4B765202" w14:textId="7C6C0ED4"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Berchi C, Dupuis JM, Launoy G. The reasons of general practitioners for promoting colorectal cancer mass screening in France. </w:t>
            </w:r>
            <w:r w:rsidRPr="004A0C0B">
              <w:rPr>
                <w:rFonts w:ascii="Times New Roman" w:eastAsia="Times New Roman" w:hAnsi="Times New Roman" w:cs="Times New Roman"/>
                <w:i/>
                <w:iCs/>
                <w:color w:val="000000"/>
                <w:sz w:val="24"/>
                <w:szCs w:val="24"/>
              </w:rPr>
              <w:t>Eur J Heal Econ</w:t>
            </w:r>
            <w:r w:rsidRPr="004A0C0B">
              <w:rPr>
                <w:rFonts w:ascii="Times New Roman" w:eastAsia="Times New Roman" w:hAnsi="Times New Roman" w:cs="Times New Roman"/>
                <w:color w:val="000000"/>
                <w:sz w:val="24"/>
                <w:szCs w:val="24"/>
              </w:rPr>
              <w:t>. 2006;7(2):91-98. doi:10.1007/s10198-006-0339-0.</w:t>
            </w:r>
          </w:p>
        </w:tc>
      </w:tr>
      <w:tr w:rsidR="00C901A9" w:rsidRPr="004A0C0B" w14:paraId="238E2CC7" w14:textId="77777777" w:rsidTr="00733E64">
        <w:trPr>
          <w:trHeight w:val="555"/>
        </w:trPr>
        <w:tc>
          <w:tcPr>
            <w:tcW w:w="960" w:type="dxa"/>
            <w:tcBorders>
              <w:top w:val="nil"/>
              <w:left w:val="single" w:sz="4" w:space="0" w:color="auto"/>
              <w:bottom w:val="single" w:sz="4" w:space="0" w:color="auto"/>
              <w:right w:val="single" w:sz="4" w:space="0" w:color="auto"/>
            </w:tcBorders>
            <w:shd w:val="clear" w:color="auto" w:fill="auto"/>
            <w:noWrap/>
          </w:tcPr>
          <w:p w14:paraId="2E0019B1" w14:textId="05D105B2" w:rsidR="00C901A9" w:rsidRPr="004A0C0B" w:rsidRDefault="00C901A9" w:rsidP="00534465">
            <w:pPr>
              <w:spacing w:after="0" w:line="240" w:lineRule="auto"/>
              <w:jc w:val="center"/>
              <w:rPr>
                <w:rFonts w:ascii="Times New Roman" w:eastAsia="Times New Roman" w:hAnsi="Times New Roman" w:cs="Times New Roman"/>
                <w:b/>
                <w:sz w:val="24"/>
                <w:szCs w:val="24"/>
                <w:lang w:val="fr-FR" w:eastAsia="fr-FR"/>
              </w:rPr>
            </w:pPr>
            <w:r>
              <w:rPr>
                <w:rFonts w:ascii="Times New Roman" w:eastAsia="Times New Roman" w:hAnsi="Times New Roman" w:cs="Times New Roman"/>
                <w:b/>
                <w:color w:val="000000"/>
                <w:sz w:val="24"/>
                <w:szCs w:val="24"/>
              </w:rPr>
              <w:t>75</w:t>
            </w:r>
          </w:p>
        </w:tc>
        <w:tc>
          <w:tcPr>
            <w:tcW w:w="13600" w:type="dxa"/>
            <w:tcBorders>
              <w:top w:val="nil"/>
              <w:left w:val="nil"/>
              <w:bottom w:val="single" w:sz="4" w:space="0" w:color="auto"/>
              <w:right w:val="single" w:sz="4" w:space="0" w:color="auto"/>
            </w:tcBorders>
            <w:shd w:val="clear" w:color="auto" w:fill="auto"/>
          </w:tcPr>
          <w:p w14:paraId="54E6566B" w14:textId="17540B86" w:rsidR="00C901A9" w:rsidRPr="004A0C0B" w:rsidRDefault="00C901A9" w:rsidP="00534465">
            <w:pPr>
              <w:spacing w:after="0" w:line="240" w:lineRule="auto"/>
              <w:rPr>
                <w:rFonts w:ascii="Times New Roman" w:eastAsia="Times New Roman" w:hAnsi="Times New Roman" w:cs="Times New Roman"/>
                <w:sz w:val="24"/>
                <w:szCs w:val="24"/>
                <w:lang w:val="fr-FR" w:eastAsia="fr-FR"/>
              </w:rPr>
            </w:pPr>
            <w:r w:rsidRPr="004A0C0B">
              <w:rPr>
                <w:rFonts w:ascii="Times New Roman" w:eastAsia="Times New Roman" w:hAnsi="Times New Roman" w:cs="Times New Roman"/>
                <w:color w:val="000000"/>
                <w:sz w:val="24"/>
                <w:szCs w:val="24"/>
              </w:rPr>
              <w:t xml:space="preserve">Huis in’t Veld MHA, van Til JA, Ijzerman MJ, Vollenbroek-Hutten MMR. Preferences of general practitioners regarding an application running on a personal digital assistant in acute stroke care. </w:t>
            </w:r>
            <w:r w:rsidRPr="004A0C0B">
              <w:rPr>
                <w:rFonts w:ascii="Times New Roman" w:eastAsia="Times New Roman" w:hAnsi="Times New Roman" w:cs="Times New Roman"/>
                <w:i/>
                <w:iCs/>
                <w:color w:val="000000"/>
                <w:sz w:val="24"/>
                <w:szCs w:val="24"/>
              </w:rPr>
              <w:t>J Telemed Telecare</w:t>
            </w:r>
            <w:r w:rsidRPr="004A0C0B">
              <w:rPr>
                <w:rFonts w:ascii="Times New Roman" w:eastAsia="Times New Roman" w:hAnsi="Times New Roman" w:cs="Times New Roman"/>
                <w:color w:val="000000"/>
                <w:sz w:val="24"/>
                <w:szCs w:val="24"/>
              </w:rPr>
              <w:t>. 2005;11 Suppl 1(1_suppl):37-39. doi:10.1258/1357633054461615.</w:t>
            </w:r>
          </w:p>
        </w:tc>
      </w:tr>
    </w:tbl>
    <w:p w14:paraId="06A018D8" w14:textId="1D539F11" w:rsidR="00534465" w:rsidRPr="00FE37F6" w:rsidRDefault="00534465" w:rsidP="00077085">
      <w:pPr>
        <w:spacing w:line="360" w:lineRule="auto"/>
        <w:rPr>
          <w:rFonts w:asciiTheme="minorBidi" w:eastAsia="Times New Roman" w:hAnsiTheme="minorBidi"/>
          <w:noProof/>
          <w:sz w:val="18"/>
          <w:szCs w:val="18"/>
          <w:lang w:eastAsia="en-GB"/>
        </w:rPr>
      </w:pPr>
    </w:p>
    <w:sectPr w:rsidR="00534465" w:rsidRPr="00FE37F6" w:rsidSect="00534465">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703A6" w14:textId="77777777" w:rsidR="00CC3ADE" w:rsidRDefault="00CC3ADE" w:rsidP="007D7EF0">
      <w:pPr>
        <w:spacing w:after="0" w:line="240" w:lineRule="auto"/>
      </w:pPr>
      <w:r>
        <w:separator/>
      </w:r>
    </w:p>
  </w:endnote>
  <w:endnote w:type="continuationSeparator" w:id="0">
    <w:p w14:paraId="2F507ED3" w14:textId="77777777" w:rsidR="00CC3ADE" w:rsidRDefault="00CC3ADE" w:rsidP="007D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algun Gothic">
    <w:panose1 w:val="020B0503020000020004"/>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宋体">
    <w:charset w:val="86"/>
    <w:family w:val="auto"/>
    <w:pitch w:val="variable"/>
    <w:sig w:usb0="00000003" w:usb1="288F0000" w:usb2="00000016" w:usb3="00000000" w:csb0="00040001" w:csb1="00000000"/>
  </w:font>
  <w:font w:name="Segoe UI">
    <w:charset w:val="00"/>
    <w:family w:val="swiss"/>
    <w:pitch w:val="variable"/>
    <w:sig w:usb0="E10022FF" w:usb1="C000E47F" w:usb2="00000029" w:usb3="00000000" w:csb0="000001DF" w:csb1="00000000"/>
  </w:font>
  <w:font w:name="Consolas">
    <w:panose1 w:val="020B0609020204030204"/>
    <w:charset w:val="00"/>
    <w:family w:val="auto"/>
    <w:pitch w:val="variable"/>
    <w:sig w:usb0="E10002FF" w:usb1="4000F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1189C" w14:textId="70EB0568" w:rsidR="00730017" w:rsidRDefault="00730017">
    <w:pPr>
      <w:pStyle w:val="Footer"/>
      <w:jc w:val="center"/>
    </w:pPr>
    <w:r>
      <w:fldChar w:fldCharType="begin"/>
    </w:r>
    <w:r>
      <w:instrText xml:space="preserve"> PAGE   \* MERGEFORMAT </w:instrText>
    </w:r>
    <w:r>
      <w:fldChar w:fldCharType="separate"/>
    </w:r>
    <w:r w:rsidR="00EA44A4">
      <w:rPr>
        <w:noProof/>
      </w:rPr>
      <w:t>1</w:t>
    </w:r>
    <w:r>
      <w:rPr>
        <w:noProof/>
      </w:rPr>
      <w:fldChar w:fldCharType="end"/>
    </w:r>
  </w:p>
  <w:p w14:paraId="2E58B930" w14:textId="77777777" w:rsidR="00730017" w:rsidRDefault="007300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079FC" w14:textId="77777777" w:rsidR="00CC3ADE" w:rsidRDefault="00CC3ADE" w:rsidP="007D7EF0">
      <w:pPr>
        <w:spacing w:after="0" w:line="240" w:lineRule="auto"/>
      </w:pPr>
      <w:r>
        <w:separator/>
      </w:r>
    </w:p>
  </w:footnote>
  <w:footnote w:type="continuationSeparator" w:id="0">
    <w:p w14:paraId="1F9460A8" w14:textId="77777777" w:rsidR="00CC3ADE" w:rsidRDefault="00CC3ADE" w:rsidP="007D7EF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60440C"/>
    <w:multiLevelType w:val="hybridMultilevel"/>
    <w:tmpl w:val="FCCEFB36"/>
    <w:lvl w:ilvl="0" w:tplc="F312BC94">
      <w:start w:val="5"/>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59055FBF"/>
    <w:multiLevelType w:val="hybridMultilevel"/>
    <w:tmpl w:val="3C1459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5D2F2814"/>
    <w:multiLevelType w:val="hybridMultilevel"/>
    <w:tmpl w:val="8898AD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5E273E4C"/>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601541EC"/>
    <w:multiLevelType w:val="hybridMultilevel"/>
    <w:tmpl w:val="9020C5B6"/>
    <w:lvl w:ilvl="0" w:tplc="10F6219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7AE31C70"/>
    <w:multiLevelType w:val="hybridMultilevel"/>
    <w:tmpl w:val="41909D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2"/>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da-DK" w:vendorID="64" w:dllVersion="6" w:nlCheck="1" w:checkStyle="0"/>
  <w:activeWritingStyle w:appName="MSWord" w:lang="en-GB" w:vendorID="64" w:dllVersion="6" w:nlCheck="1" w:checkStyle="1"/>
  <w:activeWritingStyle w:appName="MSWord" w:lang="fr-FR" w:vendorID="64" w:dllVersion="6" w:nlCheck="1" w:checkStyle="0"/>
  <w:activeWritingStyle w:appName="MSWord" w:lang="en-ZW" w:vendorID="64" w:dllVersion="6" w:nlCheck="1" w:checkStyle="0"/>
  <w:activeWritingStyle w:appName="MSWord" w:lang="en-US" w:vendorID="64" w:dllVersion="6" w:nlCheck="1" w:checkStyle="1"/>
  <w:activeWritingStyle w:appName="MSWord" w:lang="es-ES" w:vendorID="64" w:dllVersion="6" w:nlCheck="1" w:checkStyle="1"/>
  <w:activeWritingStyle w:appName="MSWord" w:lang="de-DE" w:vendorID="64" w:dllVersion="6" w:nlCheck="1" w:checkStyle="1"/>
  <w:activeWritingStyle w:appName="MSWord" w:lang="it-IT" w:vendorID="64" w:dllVersion="6"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pt-PT" w:vendorID="64" w:dllVersion="0" w:nlCheck="1" w:checkStyle="0"/>
  <w:activeWritingStyle w:appName="MSWord" w:lang="it-IT" w:vendorID="64" w:dllVersion="0" w:nlCheck="1" w:checkStyle="0"/>
  <w:activeWritingStyle w:appName="MSWord" w:lang="da-DK" w:vendorID="64" w:dllVersion="0" w:nlCheck="1" w:checkStyle="0"/>
  <w:activeWritingStyle w:appName="MSWord" w:lang="en-US" w:vendorID="64" w:dllVersion="0"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v2zxpfmvawsbe0arap9adg2r5rta9p2rev&quot;&gt;Final library&lt;record-ids&gt;&lt;item&gt;3&lt;/item&gt;&lt;item&gt;28&lt;/item&gt;&lt;item&gt;33&lt;/item&gt;&lt;item&gt;34&lt;/item&gt;&lt;item&gt;37&lt;/item&gt;&lt;item&gt;40&lt;/item&gt;&lt;item&gt;45&lt;/item&gt;&lt;item&gt;49&lt;/item&gt;&lt;item&gt;63&lt;/item&gt;&lt;item&gt;71&lt;/item&gt;&lt;item&gt;78&lt;/item&gt;&lt;item&gt;81&lt;/item&gt;&lt;item&gt;82&lt;/item&gt;&lt;item&gt;88&lt;/item&gt;&lt;item&gt;89&lt;/item&gt;&lt;item&gt;90&lt;/item&gt;&lt;item&gt;97&lt;/item&gt;&lt;item&gt;98&lt;/item&gt;&lt;item&gt;99&lt;/item&gt;&lt;item&gt;100&lt;/item&gt;&lt;item&gt;115&lt;/item&gt;&lt;item&gt;117&lt;/item&gt;&lt;item&gt;141&lt;/item&gt;&lt;item&gt;155&lt;/item&gt;&lt;item&gt;159&lt;/item&gt;&lt;item&gt;160&lt;/item&gt;&lt;item&gt;165&lt;/item&gt;&lt;item&gt;170&lt;/item&gt;&lt;item&gt;172&lt;/item&gt;&lt;item&gt;186&lt;/item&gt;&lt;item&gt;201&lt;/item&gt;&lt;item&gt;215&lt;/item&gt;&lt;item&gt;221&lt;/item&gt;&lt;item&gt;227&lt;/item&gt;&lt;item&gt;230&lt;/item&gt;&lt;item&gt;231&lt;/item&gt;&lt;item&gt;233&lt;/item&gt;&lt;item&gt;240&lt;/item&gt;&lt;item&gt;277&lt;/item&gt;&lt;item&gt;281&lt;/item&gt;&lt;item&gt;282&lt;/item&gt;&lt;item&gt;284&lt;/item&gt;&lt;item&gt;294&lt;/item&gt;&lt;item&gt;296&lt;/item&gt;&lt;item&gt;302&lt;/item&gt;&lt;item&gt;305&lt;/item&gt;&lt;item&gt;314&lt;/item&gt;&lt;item&gt;324&lt;/item&gt;&lt;item&gt;331&lt;/item&gt;&lt;item&gt;337&lt;/item&gt;&lt;item&gt;482&lt;/item&gt;&lt;item&gt;764&lt;/item&gt;&lt;item&gt;765&lt;/item&gt;&lt;item&gt;769&lt;/item&gt;&lt;item&gt;770&lt;/item&gt;&lt;item&gt;780&lt;/item&gt;&lt;item&gt;783&lt;/item&gt;&lt;item&gt;814&lt;/item&gt;&lt;item&gt;816&lt;/item&gt;&lt;item&gt;824&lt;/item&gt;&lt;item&gt;827&lt;/item&gt;&lt;item&gt;846&lt;/item&gt;&lt;item&gt;848&lt;/item&gt;&lt;item&gt;851&lt;/item&gt;&lt;item&gt;860&lt;/item&gt;&lt;item&gt;866&lt;/item&gt;&lt;item&gt;870&lt;/item&gt;&lt;item&gt;873&lt;/item&gt;&lt;item&gt;878&lt;/item&gt;&lt;item&gt;1005&lt;/item&gt;&lt;item&gt;1045&lt;/item&gt;&lt;item&gt;1053&lt;/item&gt;&lt;item&gt;1063&lt;/item&gt;&lt;item&gt;1079&lt;/item&gt;&lt;item&gt;1083&lt;/item&gt;&lt;item&gt;1094&lt;/item&gt;&lt;item&gt;1100&lt;/item&gt;&lt;item&gt;1101&lt;/item&gt;&lt;item&gt;1102&lt;/item&gt;&lt;item&gt;1103&lt;/item&gt;&lt;item&gt;1104&lt;/item&gt;&lt;item&gt;1105&lt;/item&gt;&lt;item&gt;1106&lt;/item&gt;&lt;item&gt;1107&lt;/item&gt;&lt;item&gt;1114&lt;/item&gt;&lt;item&gt;1234&lt;/item&gt;&lt;item&gt;1235&lt;/item&gt;&lt;item&gt;1236&lt;/item&gt;&lt;item&gt;1238&lt;/item&gt;&lt;item&gt;1241&lt;/item&gt;&lt;item&gt;1242&lt;/item&gt;&lt;item&gt;1244&lt;/item&gt;&lt;item&gt;1246&lt;/item&gt;&lt;item&gt;1914&lt;/item&gt;&lt;item&gt;2827&lt;/item&gt;&lt;item&gt;2915&lt;/item&gt;&lt;item&gt;2939&lt;/item&gt;&lt;item&gt;2940&lt;/item&gt;&lt;item&gt;2941&lt;/item&gt;&lt;item&gt;2942&lt;/item&gt;&lt;item&gt;2943&lt;/item&gt;&lt;/record-ids&gt;&lt;/item&gt;&lt;/Libraries&gt;"/>
  </w:docVars>
  <w:rsids>
    <w:rsidRoot w:val="007D7EF0"/>
    <w:rsid w:val="000040EA"/>
    <w:rsid w:val="000047C3"/>
    <w:rsid w:val="00004878"/>
    <w:rsid w:val="000079ED"/>
    <w:rsid w:val="000102BA"/>
    <w:rsid w:val="0001094A"/>
    <w:rsid w:val="0001138F"/>
    <w:rsid w:val="000149DE"/>
    <w:rsid w:val="00016403"/>
    <w:rsid w:val="00017203"/>
    <w:rsid w:val="000205E6"/>
    <w:rsid w:val="00021E94"/>
    <w:rsid w:val="00022FDA"/>
    <w:rsid w:val="000242C4"/>
    <w:rsid w:val="00030797"/>
    <w:rsid w:val="0003293D"/>
    <w:rsid w:val="00032C45"/>
    <w:rsid w:val="00033209"/>
    <w:rsid w:val="00033390"/>
    <w:rsid w:val="00034405"/>
    <w:rsid w:val="0003501C"/>
    <w:rsid w:val="00036BC9"/>
    <w:rsid w:val="00037876"/>
    <w:rsid w:val="00040CB9"/>
    <w:rsid w:val="00044FCF"/>
    <w:rsid w:val="00047C92"/>
    <w:rsid w:val="00047F89"/>
    <w:rsid w:val="0006252C"/>
    <w:rsid w:val="000626DF"/>
    <w:rsid w:val="000675DF"/>
    <w:rsid w:val="00067849"/>
    <w:rsid w:val="00071C57"/>
    <w:rsid w:val="00077085"/>
    <w:rsid w:val="00081776"/>
    <w:rsid w:val="0008231B"/>
    <w:rsid w:val="0008282D"/>
    <w:rsid w:val="000903F4"/>
    <w:rsid w:val="00092032"/>
    <w:rsid w:val="000933C2"/>
    <w:rsid w:val="000964AF"/>
    <w:rsid w:val="000A22F2"/>
    <w:rsid w:val="000A431F"/>
    <w:rsid w:val="000A47B1"/>
    <w:rsid w:val="000B1680"/>
    <w:rsid w:val="000B188C"/>
    <w:rsid w:val="000B1DC3"/>
    <w:rsid w:val="000B34A6"/>
    <w:rsid w:val="000B70E0"/>
    <w:rsid w:val="000B7CF9"/>
    <w:rsid w:val="000C05C3"/>
    <w:rsid w:val="000C12C6"/>
    <w:rsid w:val="000C303C"/>
    <w:rsid w:val="000C3794"/>
    <w:rsid w:val="000C3D77"/>
    <w:rsid w:val="000C5507"/>
    <w:rsid w:val="000D37CB"/>
    <w:rsid w:val="000E37C6"/>
    <w:rsid w:val="000E3BFF"/>
    <w:rsid w:val="000E53EA"/>
    <w:rsid w:val="000F321B"/>
    <w:rsid w:val="000F5E42"/>
    <w:rsid w:val="000F6008"/>
    <w:rsid w:val="00100233"/>
    <w:rsid w:val="00102F92"/>
    <w:rsid w:val="00103B77"/>
    <w:rsid w:val="00107A50"/>
    <w:rsid w:val="00107FAA"/>
    <w:rsid w:val="00110252"/>
    <w:rsid w:val="001134C1"/>
    <w:rsid w:val="00113962"/>
    <w:rsid w:val="00113EF5"/>
    <w:rsid w:val="001153E0"/>
    <w:rsid w:val="001154FA"/>
    <w:rsid w:val="00115537"/>
    <w:rsid w:val="00121AD2"/>
    <w:rsid w:val="00124648"/>
    <w:rsid w:val="00124F35"/>
    <w:rsid w:val="0013029C"/>
    <w:rsid w:val="00133C38"/>
    <w:rsid w:val="00136722"/>
    <w:rsid w:val="00140E8F"/>
    <w:rsid w:val="0014680C"/>
    <w:rsid w:val="001503B9"/>
    <w:rsid w:val="001513A6"/>
    <w:rsid w:val="00153627"/>
    <w:rsid w:val="00153A03"/>
    <w:rsid w:val="00154B4C"/>
    <w:rsid w:val="00154DF4"/>
    <w:rsid w:val="001562F2"/>
    <w:rsid w:val="001566F4"/>
    <w:rsid w:val="001669F0"/>
    <w:rsid w:val="00166BCA"/>
    <w:rsid w:val="00167A67"/>
    <w:rsid w:val="00174559"/>
    <w:rsid w:val="0017527F"/>
    <w:rsid w:val="0017625E"/>
    <w:rsid w:val="0017698A"/>
    <w:rsid w:val="001865ED"/>
    <w:rsid w:val="00190341"/>
    <w:rsid w:val="00194838"/>
    <w:rsid w:val="00196449"/>
    <w:rsid w:val="001A02D2"/>
    <w:rsid w:val="001A12F3"/>
    <w:rsid w:val="001B2A06"/>
    <w:rsid w:val="001B3D52"/>
    <w:rsid w:val="001B568C"/>
    <w:rsid w:val="001C0B70"/>
    <w:rsid w:val="001C10E3"/>
    <w:rsid w:val="001C5494"/>
    <w:rsid w:val="001C650A"/>
    <w:rsid w:val="001C7718"/>
    <w:rsid w:val="001D2268"/>
    <w:rsid w:val="001D3123"/>
    <w:rsid w:val="001D6E6E"/>
    <w:rsid w:val="001E2BDB"/>
    <w:rsid w:val="001F04F0"/>
    <w:rsid w:val="001F6FDC"/>
    <w:rsid w:val="001F7934"/>
    <w:rsid w:val="002022AE"/>
    <w:rsid w:val="00206150"/>
    <w:rsid w:val="00206262"/>
    <w:rsid w:val="00206695"/>
    <w:rsid w:val="00210AA8"/>
    <w:rsid w:val="00215212"/>
    <w:rsid w:val="0021617E"/>
    <w:rsid w:val="002171C2"/>
    <w:rsid w:val="00217C01"/>
    <w:rsid w:val="00223467"/>
    <w:rsid w:val="002236BB"/>
    <w:rsid w:val="00227EE5"/>
    <w:rsid w:val="00232762"/>
    <w:rsid w:val="00233A86"/>
    <w:rsid w:val="00235401"/>
    <w:rsid w:val="0024161E"/>
    <w:rsid w:val="00251C6B"/>
    <w:rsid w:val="00253B9C"/>
    <w:rsid w:val="00256118"/>
    <w:rsid w:val="00260A2C"/>
    <w:rsid w:val="00261313"/>
    <w:rsid w:val="00261394"/>
    <w:rsid w:val="0026208A"/>
    <w:rsid w:val="0026645B"/>
    <w:rsid w:val="00266636"/>
    <w:rsid w:val="00266877"/>
    <w:rsid w:val="00267CAD"/>
    <w:rsid w:val="00271F0F"/>
    <w:rsid w:val="002829F6"/>
    <w:rsid w:val="0028637A"/>
    <w:rsid w:val="002870D7"/>
    <w:rsid w:val="00290002"/>
    <w:rsid w:val="00290B85"/>
    <w:rsid w:val="00294441"/>
    <w:rsid w:val="002970C1"/>
    <w:rsid w:val="00297A39"/>
    <w:rsid w:val="002A5487"/>
    <w:rsid w:val="002A66B7"/>
    <w:rsid w:val="002B042E"/>
    <w:rsid w:val="002B4338"/>
    <w:rsid w:val="002B5534"/>
    <w:rsid w:val="002B7B52"/>
    <w:rsid w:val="002C02A4"/>
    <w:rsid w:val="002C0EBA"/>
    <w:rsid w:val="002C154E"/>
    <w:rsid w:val="002C611E"/>
    <w:rsid w:val="002D031F"/>
    <w:rsid w:val="002D1293"/>
    <w:rsid w:val="002D13BE"/>
    <w:rsid w:val="002D1E86"/>
    <w:rsid w:val="002D3DE2"/>
    <w:rsid w:val="002D4BFC"/>
    <w:rsid w:val="002D53F4"/>
    <w:rsid w:val="002D5E3B"/>
    <w:rsid w:val="002D5E6E"/>
    <w:rsid w:val="002E302E"/>
    <w:rsid w:val="002E3833"/>
    <w:rsid w:val="002E42B6"/>
    <w:rsid w:val="002E6211"/>
    <w:rsid w:val="002E6725"/>
    <w:rsid w:val="002F0B73"/>
    <w:rsid w:val="002F2FC0"/>
    <w:rsid w:val="00301F45"/>
    <w:rsid w:val="003070A0"/>
    <w:rsid w:val="003100D9"/>
    <w:rsid w:val="0031046B"/>
    <w:rsid w:val="00311339"/>
    <w:rsid w:val="00312507"/>
    <w:rsid w:val="0031268F"/>
    <w:rsid w:val="00315E75"/>
    <w:rsid w:val="00317B00"/>
    <w:rsid w:val="00320C7E"/>
    <w:rsid w:val="00330156"/>
    <w:rsid w:val="00333576"/>
    <w:rsid w:val="00333D71"/>
    <w:rsid w:val="00336B3A"/>
    <w:rsid w:val="00341BFD"/>
    <w:rsid w:val="00350FA7"/>
    <w:rsid w:val="003517C6"/>
    <w:rsid w:val="003550C7"/>
    <w:rsid w:val="003602E6"/>
    <w:rsid w:val="003670E1"/>
    <w:rsid w:val="00375BDF"/>
    <w:rsid w:val="00376342"/>
    <w:rsid w:val="0038232B"/>
    <w:rsid w:val="00382899"/>
    <w:rsid w:val="003941FF"/>
    <w:rsid w:val="0039581A"/>
    <w:rsid w:val="00395894"/>
    <w:rsid w:val="003A2CB0"/>
    <w:rsid w:val="003A3059"/>
    <w:rsid w:val="003A32FD"/>
    <w:rsid w:val="003A3E10"/>
    <w:rsid w:val="003B32D0"/>
    <w:rsid w:val="003B47C6"/>
    <w:rsid w:val="003C0DA8"/>
    <w:rsid w:val="003C2A52"/>
    <w:rsid w:val="003C4987"/>
    <w:rsid w:val="003C7E1B"/>
    <w:rsid w:val="003D06A0"/>
    <w:rsid w:val="003D5906"/>
    <w:rsid w:val="003E206D"/>
    <w:rsid w:val="003E324E"/>
    <w:rsid w:val="003E45B9"/>
    <w:rsid w:val="003F3918"/>
    <w:rsid w:val="003F3D0D"/>
    <w:rsid w:val="00402BFD"/>
    <w:rsid w:val="004033A8"/>
    <w:rsid w:val="00404272"/>
    <w:rsid w:val="004067A6"/>
    <w:rsid w:val="00410A91"/>
    <w:rsid w:val="00411479"/>
    <w:rsid w:val="00411C63"/>
    <w:rsid w:val="0041208A"/>
    <w:rsid w:val="00413DBD"/>
    <w:rsid w:val="00417E4D"/>
    <w:rsid w:val="004225F4"/>
    <w:rsid w:val="00426E45"/>
    <w:rsid w:val="004302D8"/>
    <w:rsid w:val="004303FA"/>
    <w:rsid w:val="00430F89"/>
    <w:rsid w:val="00436342"/>
    <w:rsid w:val="00437BB6"/>
    <w:rsid w:val="00441781"/>
    <w:rsid w:val="00447B56"/>
    <w:rsid w:val="0045253E"/>
    <w:rsid w:val="00452D43"/>
    <w:rsid w:val="00457460"/>
    <w:rsid w:val="0046203C"/>
    <w:rsid w:val="00466603"/>
    <w:rsid w:val="00470CFF"/>
    <w:rsid w:val="004725D5"/>
    <w:rsid w:val="004730A6"/>
    <w:rsid w:val="0048453A"/>
    <w:rsid w:val="00485103"/>
    <w:rsid w:val="004867A3"/>
    <w:rsid w:val="00486B18"/>
    <w:rsid w:val="0049136B"/>
    <w:rsid w:val="004A0C0B"/>
    <w:rsid w:val="004A0FE6"/>
    <w:rsid w:val="004A1C6D"/>
    <w:rsid w:val="004A2EDF"/>
    <w:rsid w:val="004B4AEC"/>
    <w:rsid w:val="004B756B"/>
    <w:rsid w:val="004C161F"/>
    <w:rsid w:val="004C3FEF"/>
    <w:rsid w:val="004C5B09"/>
    <w:rsid w:val="004C6D73"/>
    <w:rsid w:val="004C7693"/>
    <w:rsid w:val="004D0558"/>
    <w:rsid w:val="004D3298"/>
    <w:rsid w:val="004D3D65"/>
    <w:rsid w:val="004D4148"/>
    <w:rsid w:val="004E1CBD"/>
    <w:rsid w:val="004E1D1F"/>
    <w:rsid w:val="004E54E9"/>
    <w:rsid w:val="004F0B77"/>
    <w:rsid w:val="004F5400"/>
    <w:rsid w:val="004F7B66"/>
    <w:rsid w:val="005025C3"/>
    <w:rsid w:val="00504E71"/>
    <w:rsid w:val="00506B28"/>
    <w:rsid w:val="00506C55"/>
    <w:rsid w:val="00506F3C"/>
    <w:rsid w:val="00510A6B"/>
    <w:rsid w:val="00521239"/>
    <w:rsid w:val="00523528"/>
    <w:rsid w:val="005308F0"/>
    <w:rsid w:val="0053364D"/>
    <w:rsid w:val="00534465"/>
    <w:rsid w:val="00535C37"/>
    <w:rsid w:val="00536110"/>
    <w:rsid w:val="005362B8"/>
    <w:rsid w:val="00540C6C"/>
    <w:rsid w:val="005434F1"/>
    <w:rsid w:val="005436BE"/>
    <w:rsid w:val="005462EA"/>
    <w:rsid w:val="00546A1E"/>
    <w:rsid w:val="00546BB7"/>
    <w:rsid w:val="00547415"/>
    <w:rsid w:val="00547F47"/>
    <w:rsid w:val="00550995"/>
    <w:rsid w:val="00552C86"/>
    <w:rsid w:val="005562A2"/>
    <w:rsid w:val="0055640F"/>
    <w:rsid w:val="005604BD"/>
    <w:rsid w:val="005630D2"/>
    <w:rsid w:val="00565CED"/>
    <w:rsid w:val="00567877"/>
    <w:rsid w:val="0057206F"/>
    <w:rsid w:val="005765C3"/>
    <w:rsid w:val="00581E0E"/>
    <w:rsid w:val="0058274C"/>
    <w:rsid w:val="0058383E"/>
    <w:rsid w:val="005865CA"/>
    <w:rsid w:val="005978DC"/>
    <w:rsid w:val="005A2D91"/>
    <w:rsid w:val="005A695C"/>
    <w:rsid w:val="005B5A22"/>
    <w:rsid w:val="005C486B"/>
    <w:rsid w:val="005C4FB0"/>
    <w:rsid w:val="005D4E42"/>
    <w:rsid w:val="005D6DFA"/>
    <w:rsid w:val="005E354D"/>
    <w:rsid w:val="005E7C3C"/>
    <w:rsid w:val="005F2B14"/>
    <w:rsid w:val="006032DB"/>
    <w:rsid w:val="0060474C"/>
    <w:rsid w:val="00611167"/>
    <w:rsid w:val="00622CAE"/>
    <w:rsid w:val="00633342"/>
    <w:rsid w:val="00633D12"/>
    <w:rsid w:val="006360BA"/>
    <w:rsid w:val="00640ED3"/>
    <w:rsid w:val="0064369B"/>
    <w:rsid w:val="006438DD"/>
    <w:rsid w:val="00651838"/>
    <w:rsid w:val="00651B0A"/>
    <w:rsid w:val="00651F51"/>
    <w:rsid w:val="006524ED"/>
    <w:rsid w:val="00653FD1"/>
    <w:rsid w:val="0066301A"/>
    <w:rsid w:val="006640B4"/>
    <w:rsid w:val="00664FC2"/>
    <w:rsid w:val="00667E78"/>
    <w:rsid w:val="00674D35"/>
    <w:rsid w:val="00675EF5"/>
    <w:rsid w:val="00677256"/>
    <w:rsid w:val="006813AA"/>
    <w:rsid w:val="00682F2B"/>
    <w:rsid w:val="00691CB1"/>
    <w:rsid w:val="006925EF"/>
    <w:rsid w:val="00695B19"/>
    <w:rsid w:val="006A4389"/>
    <w:rsid w:val="006A794E"/>
    <w:rsid w:val="006B14D2"/>
    <w:rsid w:val="006B3107"/>
    <w:rsid w:val="006B345A"/>
    <w:rsid w:val="006B4B8A"/>
    <w:rsid w:val="006B76C3"/>
    <w:rsid w:val="006C0266"/>
    <w:rsid w:val="006C1305"/>
    <w:rsid w:val="006C4399"/>
    <w:rsid w:val="006C4D1D"/>
    <w:rsid w:val="006D0548"/>
    <w:rsid w:val="006D4B99"/>
    <w:rsid w:val="006D6D16"/>
    <w:rsid w:val="006D6DF0"/>
    <w:rsid w:val="006D73CE"/>
    <w:rsid w:val="006E2DED"/>
    <w:rsid w:val="006E35BB"/>
    <w:rsid w:val="006E3705"/>
    <w:rsid w:val="006E39F8"/>
    <w:rsid w:val="006E3A88"/>
    <w:rsid w:val="006E4004"/>
    <w:rsid w:val="006E6C7C"/>
    <w:rsid w:val="006E7ED6"/>
    <w:rsid w:val="006F66A2"/>
    <w:rsid w:val="0070181B"/>
    <w:rsid w:val="007111F3"/>
    <w:rsid w:val="00712D06"/>
    <w:rsid w:val="007169FF"/>
    <w:rsid w:val="007201E0"/>
    <w:rsid w:val="00727E6A"/>
    <w:rsid w:val="00730017"/>
    <w:rsid w:val="00730C3E"/>
    <w:rsid w:val="00734230"/>
    <w:rsid w:val="00740646"/>
    <w:rsid w:val="007414B8"/>
    <w:rsid w:val="007452C4"/>
    <w:rsid w:val="007651C8"/>
    <w:rsid w:val="00766399"/>
    <w:rsid w:val="007715F8"/>
    <w:rsid w:val="0078323E"/>
    <w:rsid w:val="00785320"/>
    <w:rsid w:val="00787DAD"/>
    <w:rsid w:val="00792CE6"/>
    <w:rsid w:val="007A0D4D"/>
    <w:rsid w:val="007B1654"/>
    <w:rsid w:val="007B1CA4"/>
    <w:rsid w:val="007B3A70"/>
    <w:rsid w:val="007C3987"/>
    <w:rsid w:val="007D0566"/>
    <w:rsid w:val="007D1446"/>
    <w:rsid w:val="007D2655"/>
    <w:rsid w:val="007D265A"/>
    <w:rsid w:val="007D2B0C"/>
    <w:rsid w:val="007D2DC3"/>
    <w:rsid w:val="007D5570"/>
    <w:rsid w:val="007D7EF0"/>
    <w:rsid w:val="007E3C19"/>
    <w:rsid w:val="007E5271"/>
    <w:rsid w:val="007E785B"/>
    <w:rsid w:val="007F236D"/>
    <w:rsid w:val="007F3297"/>
    <w:rsid w:val="007F7297"/>
    <w:rsid w:val="0080007B"/>
    <w:rsid w:val="00810E17"/>
    <w:rsid w:val="00813F72"/>
    <w:rsid w:val="008154B8"/>
    <w:rsid w:val="00815B8F"/>
    <w:rsid w:val="00833AB8"/>
    <w:rsid w:val="00837777"/>
    <w:rsid w:val="00837D27"/>
    <w:rsid w:val="008410F2"/>
    <w:rsid w:val="00841BCE"/>
    <w:rsid w:val="00845117"/>
    <w:rsid w:val="008463DA"/>
    <w:rsid w:val="00850502"/>
    <w:rsid w:val="00853575"/>
    <w:rsid w:val="00862D89"/>
    <w:rsid w:val="00862E2E"/>
    <w:rsid w:val="00863D10"/>
    <w:rsid w:val="00864332"/>
    <w:rsid w:val="00864B71"/>
    <w:rsid w:val="00866CCF"/>
    <w:rsid w:val="00872274"/>
    <w:rsid w:val="00873230"/>
    <w:rsid w:val="008749A3"/>
    <w:rsid w:val="00876AC3"/>
    <w:rsid w:val="008818C9"/>
    <w:rsid w:val="0089488C"/>
    <w:rsid w:val="008A4E4A"/>
    <w:rsid w:val="008A5025"/>
    <w:rsid w:val="008B491E"/>
    <w:rsid w:val="008B5E28"/>
    <w:rsid w:val="008C490A"/>
    <w:rsid w:val="008C6515"/>
    <w:rsid w:val="008D1C65"/>
    <w:rsid w:val="008D3C3C"/>
    <w:rsid w:val="008D6C78"/>
    <w:rsid w:val="008E1E60"/>
    <w:rsid w:val="008E30DE"/>
    <w:rsid w:val="008E38A5"/>
    <w:rsid w:val="008E3A2D"/>
    <w:rsid w:val="008E40E1"/>
    <w:rsid w:val="008F19DA"/>
    <w:rsid w:val="008F3AA0"/>
    <w:rsid w:val="008F3EFB"/>
    <w:rsid w:val="008F7F27"/>
    <w:rsid w:val="0090475F"/>
    <w:rsid w:val="00906B23"/>
    <w:rsid w:val="00912590"/>
    <w:rsid w:val="00914194"/>
    <w:rsid w:val="009173CC"/>
    <w:rsid w:val="009201F3"/>
    <w:rsid w:val="009251D9"/>
    <w:rsid w:val="009261BA"/>
    <w:rsid w:val="00931C84"/>
    <w:rsid w:val="009324C1"/>
    <w:rsid w:val="00935E34"/>
    <w:rsid w:val="00951840"/>
    <w:rsid w:val="00954556"/>
    <w:rsid w:val="009555A2"/>
    <w:rsid w:val="009564CA"/>
    <w:rsid w:val="009614B1"/>
    <w:rsid w:val="0096230D"/>
    <w:rsid w:val="00973CC8"/>
    <w:rsid w:val="009753EC"/>
    <w:rsid w:val="00975AE8"/>
    <w:rsid w:val="00980DCD"/>
    <w:rsid w:val="00983FFB"/>
    <w:rsid w:val="009910F4"/>
    <w:rsid w:val="00991688"/>
    <w:rsid w:val="00993424"/>
    <w:rsid w:val="00994BDC"/>
    <w:rsid w:val="00995B02"/>
    <w:rsid w:val="009965EB"/>
    <w:rsid w:val="00996EFE"/>
    <w:rsid w:val="009A0C2E"/>
    <w:rsid w:val="009A7593"/>
    <w:rsid w:val="009B2DA5"/>
    <w:rsid w:val="009B3CCE"/>
    <w:rsid w:val="009B4576"/>
    <w:rsid w:val="009C38B9"/>
    <w:rsid w:val="009C39AA"/>
    <w:rsid w:val="009C5408"/>
    <w:rsid w:val="009C7349"/>
    <w:rsid w:val="009C7BD7"/>
    <w:rsid w:val="009D3D9C"/>
    <w:rsid w:val="009D746C"/>
    <w:rsid w:val="009E0A39"/>
    <w:rsid w:val="009E11A4"/>
    <w:rsid w:val="009E40E1"/>
    <w:rsid w:val="009E61E1"/>
    <w:rsid w:val="009E72FC"/>
    <w:rsid w:val="009F557E"/>
    <w:rsid w:val="009F750B"/>
    <w:rsid w:val="009F7795"/>
    <w:rsid w:val="00A11B7C"/>
    <w:rsid w:val="00A14AE5"/>
    <w:rsid w:val="00A22061"/>
    <w:rsid w:val="00A26E1F"/>
    <w:rsid w:val="00A27C50"/>
    <w:rsid w:val="00A3435B"/>
    <w:rsid w:val="00A35CDD"/>
    <w:rsid w:val="00A425AB"/>
    <w:rsid w:val="00A42AEA"/>
    <w:rsid w:val="00A53D16"/>
    <w:rsid w:val="00A54638"/>
    <w:rsid w:val="00A547D3"/>
    <w:rsid w:val="00A57E86"/>
    <w:rsid w:val="00A6177E"/>
    <w:rsid w:val="00A62FFE"/>
    <w:rsid w:val="00A63B2A"/>
    <w:rsid w:val="00A67E58"/>
    <w:rsid w:val="00A70375"/>
    <w:rsid w:val="00A70FC1"/>
    <w:rsid w:val="00A74118"/>
    <w:rsid w:val="00A76A9B"/>
    <w:rsid w:val="00A81D7E"/>
    <w:rsid w:val="00A8391F"/>
    <w:rsid w:val="00A86212"/>
    <w:rsid w:val="00A8744E"/>
    <w:rsid w:val="00A87B27"/>
    <w:rsid w:val="00A90284"/>
    <w:rsid w:val="00A97032"/>
    <w:rsid w:val="00AA3344"/>
    <w:rsid w:val="00AA3FB4"/>
    <w:rsid w:val="00AA48DA"/>
    <w:rsid w:val="00AA5C5B"/>
    <w:rsid w:val="00AB4CA3"/>
    <w:rsid w:val="00AB5485"/>
    <w:rsid w:val="00AB6E2E"/>
    <w:rsid w:val="00AC1266"/>
    <w:rsid w:val="00AC3B77"/>
    <w:rsid w:val="00AD1B47"/>
    <w:rsid w:val="00AD25EA"/>
    <w:rsid w:val="00AD7FEF"/>
    <w:rsid w:val="00AE7982"/>
    <w:rsid w:val="00AF0B3B"/>
    <w:rsid w:val="00AF3B0A"/>
    <w:rsid w:val="00AF62D9"/>
    <w:rsid w:val="00AF674E"/>
    <w:rsid w:val="00B007C4"/>
    <w:rsid w:val="00B110D2"/>
    <w:rsid w:val="00B11980"/>
    <w:rsid w:val="00B1298D"/>
    <w:rsid w:val="00B14D94"/>
    <w:rsid w:val="00B15BC2"/>
    <w:rsid w:val="00B203AB"/>
    <w:rsid w:val="00B258F7"/>
    <w:rsid w:val="00B31AA7"/>
    <w:rsid w:val="00B414F0"/>
    <w:rsid w:val="00B44049"/>
    <w:rsid w:val="00B52F9B"/>
    <w:rsid w:val="00B53D81"/>
    <w:rsid w:val="00B569BF"/>
    <w:rsid w:val="00B56B64"/>
    <w:rsid w:val="00B57BAD"/>
    <w:rsid w:val="00B60CE5"/>
    <w:rsid w:val="00B633D3"/>
    <w:rsid w:val="00B63C86"/>
    <w:rsid w:val="00B6735E"/>
    <w:rsid w:val="00B76518"/>
    <w:rsid w:val="00B83DB0"/>
    <w:rsid w:val="00B84C00"/>
    <w:rsid w:val="00B86539"/>
    <w:rsid w:val="00B86CDD"/>
    <w:rsid w:val="00B94776"/>
    <w:rsid w:val="00BA02DA"/>
    <w:rsid w:val="00BA06AD"/>
    <w:rsid w:val="00BA24BB"/>
    <w:rsid w:val="00BA2B39"/>
    <w:rsid w:val="00BA4D82"/>
    <w:rsid w:val="00BA500A"/>
    <w:rsid w:val="00BA5778"/>
    <w:rsid w:val="00BA5BD7"/>
    <w:rsid w:val="00BA636C"/>
    <w:rsid w:val="00BA6CC1"/>
    <w:rsid w:val="00BB1AC9"/>
    <w:rsid w:val="00BB1C3D"/>
    <w:rsid w:val="00BB2110"/>
    <w:rsid w:val="00BB25B8"/>
    <w:rsid w:val="00BB2615"/>
    <w:rsid w:val="00BB4B2C"/>
    <w:rsid w:val="00BC1726"/>
    <w:rsid w:val="00BC4817"/>
    <w:rsid w:val="00BD1213"/>
    <w:rsid w:val="00BD599F"/>
    <w:rsid w:val="00BD6C5E"/>
    <w:rsid w:val="00BD79AD"/>
    <w:rsid w:val="00BE0DF3"/>
    <w:rsid w:val="00BE1DE4"/>
    <w:rsid w:val="00BE425E"/>
    <w:rsid w:val="00BE6E67"/>
    <w:rsid w:val="00BF5845"/>
    <w:rsid w:val="00BF5B80"/>
    <w:rsid w:val="00BF62FF"/>
    <w:rsid w:val="00C01FF0"/>
    <w:rsid w:val="00C02849"/>
    <w:rsid w:val="00C03830"/>
    <w:rsid w:val="00C03933"/>
    <w:rsid w:val="00C11993"/>
    <w:rsid w:val="00C11D18"/>
    <w:rsid w:val="00C20222"/>
    <w:rsid w:val="00C206A1"/>
    <w:rsid w:val="00C2550D"/>
    <w:rsid w:val="00C33DDC"/>
    <w:rsid w:val="00C3630F"/>
    <w:rsid w:val="00C4207E"/>
    <w:rsid w:val="00C446E3"/>
    <w:rsid w:val="00C472F9"/>
    <w:rsid w:val="00C50EBC"/>
    <w:rsid w:val="00C52FF0"/>
    <w:rsid w:val="00C532E6"/>
    <w:rsid w:val="00C545E9"/>
    <w:rsid w:val="00C554C0"/>
    <w:rsid w:val="00C57662"/>
    <w:rsid w:val="00C62FDD"/>
    <w:rsid w:val="00C64A53"/>
    <w:rsid w:val="00C70749"/>
    <w:rsid w:val="00C71FF1"/>
    <w:rsid w:val="00C72679"/>
    <w:rsid w:val="00C73B03"/>
    <w:rsid w:val="00C751AD"/>
    <w:rsid w:val="00C75BD4"/>
    <w:rsid w:val="00C762BD"/>
    <w:rsid w:val="00C76566"/>
    <w:rsid w:val="00C77B1F"/>
    <w:rsid w:val="00C850DB"/>
    <w:rsid w:val="00C87072"/>
    <w:rsid w:val="00C901A9"/>
    <w:rsid w:val="00C911E0"/>
    <w:rsid w:val="00C92637"/>
    <w:rsid w:val="00C92A74"/>
    <w:rsid w:val="00C935CE"/>
    <w:rsid w:val="00CA154E"/>
    <w:rsid w:val="00CA264C"/>
    <w:rsid w:val="00CA434C"/>
    <w:rsid w:val="00CA4A9C"/>
    <w:rsid w:val="00CA6D03"/>
    <w:rsid w:val="00CA7188"/>
    <w:rsid w:val="00CB1EF0"/>
    <w:rsid w:val="00CB30CA"/>
    <w:rsid w:val="00CB6960"/>
    <w:rsid w:val="00CB6FD7"/>
    <w:rsid w:val="00CC0846"/>
    <w:rsid w:val="00CC3ADE"/>
    <w:rsid w:val="00CC79A5"/>
    <w:rsid w:val="00CD03D9"/>
    <w:rsid w:val="00CD0E93"/>
    <w:rsid w:val="00CD16C3"/>
    <w:rsid w:val="00CD5906"/>
    <w:rsid w:val="00CD7B77"/>
    <w:rsid w:val="00CE636E"/>
    <w:rsid w:val="00CE76FA"/>
    <w:rsid w:val="00CF2B09"/>
    <w:rsid w:val="00CF6A27"/>
    <w:rsid w:val="00CF71F7"/>
    <w:rsid w:val="00D03A57"/>
    <w:rsid w:val="00D04934"/>
    <w:rsid w:val="00D078AF"/>
    <w:rsid w:val="00D07E1D"/>
    <w:rsid w:val="00D1098B"/>
    <w:rsid w:val="00D111FE"/>
    <w:rsid w:val="00D1520D"/>
    <w:rsid w:val="00D15729"/>
    <w:rsid w:val="00D20494"/>
    <w:rsid w:val="00D20A29"/>
    <w:rsid w:val="00D20AF6"/>
    <w:rsid w:val="00D20E70"/>
    <w:rsid w:val="00D23B2D"/>
    <w:rsid w:val="00D258DC"/>
    <w:rsid w:val="00D32E4C"/>
    <w:rsid w:val="00D40DA2"/>
    <w:rsid w:val="00D41E07"/>
    <w:rsid w:val="00D434DD"/>
    <w:rsid w:val="00D46B15"/>
    <w:rsid w:val="00D4708E"/>
    <w:rsid w:val="00D53280"/>
    <w:rsid w:val="00D561AF"/>
    <w:rsid w:val="00D61189"/>
    <w:rsid w:val="00D6176A"/>
    <w:rsid w:val="00D64A2F"/>
    <w:rsid w:val="00D65788"/>
    <w:rsid w:val="00D67C5F"/>
    <w:rsid w:val="00D70443"/>
    <w:rsid w:val="00D71556"/>
    <w:rsid w:val="00D71AC8"/>
    <w:rsid w:val="00D735D4"/>
    <w:rsid w:val="00D75680"/>
    <w:rsid w:val="00D76F5B"/>
    <w:rsid w:val="00D77295"/>
    <w:rsid w:val="00D8472C"/>
    <w:rsid w:val="00D8519B"/>
    <w:rsid w:val="00D8740D"/>
    <w:rsid w:val="00D94923"/>
    <w:rsid w:val="00DA18B4"/>
    <w:rsid w:val="00DA3EED"/>
    <w:rsid w:val="00DA442A"/>
    <w:rsid w:val="00DB3112"/>
    <w:rsid w:val="00DB40CE"/>
    <w:rsid w:val="00DC039F"/>
    <w:rsid w:val="00DC423B"/>
    <w:rsid w:val="00DC5385"/>
    <w:rsid w:val="00DD1B02"/>
    <w:rsid w:val="00DE0113"/>
    <w:rsid w:val="00DE11AE"/>
    <w:rsid w:val="00DE4D42"/>
    <w:rsid w:val="00DF2B12"/>
    <w:rsid w:val="00DF4F4B"/>
    <w:rsid w:val="00E006FF"/>
    <w:rsid w:val="00E0199E"/>
    <w:rsid w:val="00E06A9D"/>
    <w:rsid w:val="00E20422"/>
    <w:rsid w:val="00E20F6C"/>
    <w:rsid w:val="00E212A0"/>
    <w:rsid w:val="00E244FB"/>
    <w:rsid w:val="00E2496C"/>
    <w:rsid w:val="00E2548A"/>
    <w:rsid w:val="00E2675F"/>
    <w:rsid w:val="00E309CC"/>
    <w:rsid w:val="00E31E43"/>
    <w:rsid w:val="00E341B5"/>
    <w:rsid w:val="00E36A83"/>
    <w:rsid w:val="00E40568"/>
    <w:rsid w:val="00E423E4"/>
    <w:rsid w:val="00E4272F"/>
    <w:rsid w:val="00E46A68"/>
    <w:rsid w:val="00E513A2"/>
    <w:rsid w:val="00E55347"/>
    <w:rsid w:val="00E573D0"/>
    <w:rsid w:val="00E66322"/>
    <w:rsid w:val="00E66C6C"/>
    <w:rsid w:val="00E70455"/>
    <w:rsid w:val="00E70F4A"/>
    <w:rsid w:val="00E72B95"/>
    <w:rsid w:val="00E86657"/>
    <w:rsid w:val="00E90271"/>
    <w:rsid w:val="00E9045B"/>
    <w:rsid w:val="00E90CC6"/>
    <w:rsid w:val="00E90DC2"/>
    <w:rsid w:val="00E92818"/>
    <w:rsid w:val="00E928C6"/>
    <w:rsid w:val="00E95586"/>
    <w:rsid w:val="00E960E4"/>
    <w:rsid w:val="00E966BD"/>
    <w:rsid w:val="00EA1B6C"/>
    <w:rsid w:val="00EA44A4"/>
    <w:rsid w:val="00EA7F16"/>
    <w:rsid w:val="00EB02C3"/>
    <w:rsid w:val="00EB0A78"/>
    <w:rsid w:val="00EB17BE"/>
    <w:rsid w:val="00EB2C4C"/>
    <w:rsid w:val="00EB52EF"/>
    <w:rsid w:val="00EB714D"/>
    <w:rsid w:val="00EC0C49"/>
    <w:rsid w:val="00EC49D0"/>
    <w:rsid w:val="00EC56D7"/>
    <w:rsid w:val="00EC6C1E"/>
    <w:rsid w:val="00EC6E21"/>
    <w:rsid w:val="00ED4E98"/>
    <w:rsid w:val="00ED6C9C"/>
    <w:rsid w:val="00ED7984"/>
    <w:rsid w:val="00EE7DE6"/>
    <w:rsid w:val="00EF012F"/>
    <w:rsid w:val="00EF2495"/>
    <w:rsid w:val="00EF250F"/>
    <w:rsid w:val="00EF410E"/>
    <w:rsid w:val="00EF5461"/>
    <w:rsid w:val="00F01A8A"/>
    <w:rsid w:val="00F02BF4"/>
    <w:rsid w:val="00F067A5"/>
    <w:rsid w:val="00F07F80"/>
    <w:rsid w:val="00F11333"/>
    <w:rsid w:val="00F13274"/>
    <w:rsid w:val="00F15845"/>
    <w:rsid w:val="00F24B87"/>
    <w:rsid w:val="00F24E6D"/>
    <w:rsid w:val="00F24E86"/>
    <w:rsid w:val="00F256F3"/>
    <w:rsid w:val="00F26D70"/>
    <w:rsid w:val="00F36C0E"/>
    <w:rsid w:val="00F40DD0"/>
    <w:rsid w:val="00F45C71"/>
    <w:rsid w:val="00F45D7D"/>
    <w:rsid w:val="00F46027"/>
    <w:rsid w:val="00F5191E"/>
    <w:rsid w:val="00F5203A"/>
    <w:rsid w:val="00F53C84"/>
    <w:rsid w:val="00F559A6"/>
    <w:rsid w:val="00F56D71"/>
    <w:rsid w:val="00F605D6"/>
    <w:rsid w:val="00F60952"/>
    <w:rsid w:val="00F6663E"/>
    <w:rsid w:val="00F667D2"/>
    <w:rsid w:val="00F700A7"/>
    <w:rsid w:val="00F747B1"/>
    <w:rsid w:val="00F7490C"/>
    <w:rsid w:val="00F75380"/>
    <w:rsid w:val="00F763F3"/>
    <w:rsid w:val="00F77B4C"/>
    <w:rsid w:val="00F8421F"/>
    <w:rsid w:val="00F92372"/>
    <w:rsid w:val="00F94066"/>
    <w:rsid w:val="00F95B2F"/>
    <w:rsid w:val="00F9617D"/>
    <w:rsid w:val="00FA4783"/>
    <w:rsid w:val="00FA57A3"/>
    <w:rsid w:val="00FA78F4"/>
    <w:rsid w:val="00FB03B0"/>
    <w:rsid w:val="00FB18CB"/>
    <w:rsid w:val="00FB68CC"/>
    <w:rsid w:val="00FB749F"/>
    <w:rsid w:val="00FC097C"/>
    <w:rsid w:val="00FC28D0"/>
    <w:rsid w:val="00FC4833"/>
    <w:rsid w:val="00FD2260"/>
    <w:rsid w:val="00FD3AA2"/>
    <w:rsid w:val="00FD5316"/>
    <w:rsid w:val="00FD5F47"/>
    <w:rsid w:val="00FE1458"/>
    <w:rsid w:val="00FE2B9D"/>
    <w:rsid w:val="00FE37F6"/>
    <w:rsid w:val="00FE502D"/>
    <w:rsid w:val="00FE50A7"/>
    <w:rsid w:val="00FF3DDC"/>
    <w:rsid w:val="00FF42B5"/>
    <w:rsid w:val="00FF6E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92DF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D7EF0"/>
    <w:pPr>
      <w:spacing w:after="200" w:line="276" w:lineRule="auto"/>
    </w:pPr>
  </w:style>
  <w:style w:type="paragraph" w:styleId="Heading1">
    <w:name w:val="heading 1"/>
    <w:basedOn w:val="Normal"/>
    <w:next w:val="Normal"/>
    <w:link w:val="Heading1Char"/>
    <w:uiPriority w:val="9"/>
    <w:qFormat/>
    <w:rsid w:val="004D0558"/>
    <w:pPr>
      <w:keepNext/>
      <w:keepLines/>
      <w:spacing w:before="480" w:after="0"/>
      <w:outlineLvl w:val="0"/>
    </w:pPr>
    <w:rPr>
      <w:rFonts w:ascii="Cambria" w:eastAsia="Malgun Gothic" w:hAnsi="Cambria" w:cs="Times New Roman"/>
      <w:b/>
      <w:bCs/>
      <w:color w:val="365F91"/>
      <w:sz w:val="28"/>
      <w:szCs w:val="28"/>
      <w:lang w:eastAsia="ko-KR"/>
    </w:rPr>
  </w:style>
  <w:style w:type="paragraph" w:styleId="Heading2">
    <w:name w:val="heading 2"/>
    <w:basedOn w:val="Normal"/>
    <w:next w:val="Normal"/>
    <w:link w:val="Heading2Char"/>
    <w:uiPriority w:val="9"/>
    <w:unhideWhenUsed/>
    <w:qFormat/>
    <w:rsid w:val="004D055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4D055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4D055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4D0558"/>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4D055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4D055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055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D055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7B1654"/>
    <w:pPr>
      <w:spacing w:after="120"/>
      <w:jc w:val="both"/>
    </w:pPr>
    <w:rPr>
      <w:i/>
      <w:iCs/>
      <w:color w:val="404040" w:themeColor="text1" w:themeTint="BF"/>
    </w:rPr>
  </w:style>
  <w:style w:type="character" w:customStyle="1" w:styleId="QuoteChar">
    <w:name w:val="Quote Char"/>
    <w:basedOn w:val="DefaultParagraphFont"/>
    <w:link w:val="Quote"/>
    <w:uiPriority w:val="29"/>
    <w:rsid w:val="007B1654"/>
    <w:rPr>
      <w:i/>
      <w:iCs/>
      <w:color w:val="404040" w:themeColor="text1" w:themeTint="BF"/>
    </w:rPr>
  </w:style>
  <w:style w:type="paragraph" w:styleId="CommentText">
    <w:name w:val="annotation text"/>
    <w:basedOn w:val="Normal"/>
    <w:link w:val="CommentTextChar"/>
    <w:uiPriority w:val="99"/>
    <w:unhideWhenUsed/>
    <w:rsid w:val="007D7EF0"/>
    <w:pPr>
      <w:spacing w:line="240" w:lineRule="auto"/>
    </w:pPr>
    <w:rPr>
      <w:rFonts w:ascii="Calibri" w:eastAsia="Calibri" w:hAnsi="Calibri" w:cs="Arial"/>
      <w:sz w:val="20"/>
      <w:szCs w:val="20"/>
      <w:lang w:val="en-ZW"/>
    </w:rPr>
  </w:style>
  <w:style w:type="character" w:customStyle="1" w:styleId="CommentTextChar">
    <w:name w:val="Comment Text Char"/>
    <w:basedOn w:val="DefaultParagraphFont"/>
    <w:link w:val="CommentText"/>
    <w:uiPriority w:val="99"/>
    <w:rsid w:val="007D7EF0"/>
    <w:rPr>
      <w:rFonts w:ascii="Calibri" w:eastAsia="Calibri" w:hAnsi="Calibri" w:cs="Arial"/>
      <w:sz w:val="20"/>
      <w:szCs w:val="20"/>
      <w:lang w:val="en-ZW"/>
    </w:rPr>
  </w:style>
  <w:style w:type="character" w:styleId="Hyperlink">
    <w:name w:val="Hyperlink"/>
    <w:uiPriority w:val="99"/>
    <w:unhideWhenUsed/>
    <w:rsid w:val="007D7EF0"/>
    <w:rPr>
      <w:color w:val="0000FF"/>
      <w:u w:val="single"/>
    </w:rPr>
  </w:style>
  <w:style w:type="paragraph" w:styleId="FootnoteText">
    <w:name w:val="footnote text"/>
    <w:basedOn w:val="Normal"/>
    <w:link w:val="FootnoteTextChar"/>
    <w:uiPriority w:val="99"/>
    <w:unhideWhenUsed/>
    <w:rsid w:val="007D7EF0"/>
    <w:pPr>
      <w:spacing w:after="0" w:line="240" w:lineRule="auto"/>
    </w:pPr>
    <w:rPr>
      <w:rFonts w:ascii="Calibri" w:eastAsia="Malgun Gothic" w:hAnsi="Calibri" w:cs="Times New Roman"/>
      <w:sz w:val="20"/>
      <w:szCs w:val="20"/>
      <w:lang w:eastAsia="ko-KR"/>
    </w:rPr>
  </w:style>
  <w:style w:type="character" w:customStyle="1" w:styleId="FootnoteTextChar">
    <w:name w:val="Footnote Text Char"/>
    <w:basedOn w:val="DefaultParagraphFont"/>
    <w:link w:val="FootnoteText"/>
    <w:uiPriority w:val="99"/>
    <w:rsid w:val="007D7EF0"/>
    <w:rPr>
      <w:rFonts w:ascii="Calibri" w:eastAsia="Malgun Gothic" w:hAnsi="Calibri" w:cs="Times New Roman"/>
      <w:sz w:val="20"/>
      <w:szCs w:val="20"/>
      <w:lang w:eastAsia="ko-KR"/>
    </w:rPr>
  </w:style>
  <w:style w:type="character" w:styleId="FootnoteReference">
    <w:name w:val="footnote reference"/>
    <w:uiPriority w:val="99"/>
    <w:semiHidden/>
    <w:unhideWhenUsed/>
    <w:rsid w:val="007D7EF0"/>
    <w:rPr>
      <w:vertAlign w:val="superscript"/>
    </w:rPr>
  </w:style>
  <w:style w:type="paragraph" w:customStyle="1" w:styleId="Default">
    <w:name w:val="Default"/>
    <w:rsid w:val="007D7EF0"/>
    <w:pPr>
      <w:autoSpaceDE w:val="0"/>
      <w:autoSpaceDN w:val="0"/>
      <w:adjustRightInd w:val="0"/>
      <w:spacing w:after="0" w:line="240" w:lineRule="auto"/>
    </w:pPr>
    <w:rPr>
      <w:rFonts w:ascii="Times New Roman" w:eastAsia="Malgun Gothic" w:hAnsi="Times New Roman" w:cs="Times New Roman"/>
      <w:color w:val="000000"/>
      <w:sz w:val="24"/>
      <w:szCs w:val="24"/>
      <w:lang w:eastAsia="ko-KR"/>
    </w:rPr>
  </w:style>
  <w:style w:type="character" w:styleId="CommentReference">
    <w:name w:val="annotation reference"/>
    <w:basedOn w:val="DefaultParagraphFont"/>
    <w:uiPriority w:val="99"/>
    <w:unhideWhenUsed/>
    <w:rsid w:val="007D7EF0"/>
    <w:rPr>
      <w:sz w:val="16"/>
      <w:szCs w:val="16"/>
    </w:rPr>
  </w:style>
  <w:style w:type="paragraph" w:styleId="BalloonText">
    <w:name w:val="Balloon Text"/>
    <w:basedOn w:val="Normal"/>
    <w:link w:val="BalloonTextChar"/>
    <w:uiPriority w:val="99"/>
    <w:semiHidden/>
    <w:unhideWhenUsed/>
    <w:rsid w:val="007D7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EF0"/>
    <w:rPr>
      <w:rFonts w:ascii="Segoe UI" w:hAnsi="Segoe UI" w:cs="Segoe UI"/>
      <w:sz w:val="18"/>
      <w:szCs w:val="18"/>
    </w:rPr>
  </w:style>
  <w:style w:type="paragraph" w:customStyle="1" w:styleId="EndNoteBibliographyTitle">
    <w:name w:val="EndNote Bibliography Title"/>
    <w:basedOn w:val="Normal"/>
    <w:link w:val="EndNoteBibliographyTitleChar"/>
    <w:rsid w:val="00862D89"/>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862D89"/>
    <w:rPr>
      <w:rFonts w:ascii="Calibri" w:hAnsi="Calibri"/>
      <w:noProof/>
      <w:lang w:val="en-US"/>
    </w:rPr>
  </w:style>
  <w:style w:type="paragraph" w:customStyle="1" w:styleId="EndNoteBibliography">
    <w:name w:val="EndNote Bibliography"/>
    <w:basedOn w:val="Normal"/>
    <w:link w:val="EndNoteBibliographyChar"/>
    <w:rsid w:val="00862D89"/>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862D89"/>
    <w:rPr>
      <w:rFonts w:ascii="Calibri" w:hAnsi="Calibri"/>
      <w:noProof/>
      <w:lang w:val="en-US"/>
    </w:rPr>
  </w:style>
  <w:style w:type="paragraph" w:styleId="CommentSubject">
    <w:name w:val="annotation subject"/>
    <w:basedOn w:val="CommentText"/>
    <w:next w:val="CommentText"/>
    <w:link w:val="CommentSubjectChar"/>
    <w:uiPriority w:val="99"/>
    <w:semiHidden/>
    <w:unhideWhenUsed/>
    <w:rsid w:val="00F5203A"/>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F5203A"/>
    <w:rPr>
      <w:rFonts w:ascii="Calibri" w:eastAsia="Calibri" w:hAnsi="Calibri" w:cs="Arial"/>
      <w:b/>
      <w:bCs/>
      <w:sz w:val="20"/>
      <w:szCs w:val="20"/>
      <w:lang w:val="en-ZW"/>
    </w:rPr>
  </w:style>
  <w:style w:type="character" w:customStyle="1" w:styleId="Heading1Char">
    <w:name w:val="Heading 1 Char"/>
    <w:basedOn w:val="DefaultParagraphFont"/>
    <w:link w:val="Heading1"/>
    <w:uiPriority w:val="9"/>
    <w:rsid w:val="004D0558"/>
    <w:rPr>
      <w:rFonts w:ascii="Cambria" w:eastAsia="Malgun Gothic" w:hAnsi="Cambria" w:cs="Times New Roman"/>
      <w:b/>
      <w:bCs/>
      <w:color w:val="365F91"/>
      <w:sz w:val="28"/>
      <w:szCs w:val="28"/>
      <w:lang w:eastAsia="ko-KR"/>
    </w:rPr>
  </w:style>
  <w:style w:type="character" w:customStyle="1" w:styleId="Heading2Char">
    <w:name w:val="Heading 2 Char"/>
    <w:basedOn w:val="DefaultParagraphFont"/>
    <w:link w:val="Heading2"/>
    <w:uiPriority w:val="9"/>
    <w:rsid w:val="004D055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4D0558"/>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4D055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4D055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4D055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4D055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05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D055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973CC8"/>
    <w:rPr>
      <w:rFonts w:ascii="Calibri" w:eastAsia="Malgun Gothic" w:hAnsi="Calibri" w:cs="Arial"/>
      <w:b/>
      <w:bCs/>
      <w:sz w:val="20"/>
      <w:szCs w:val="20"/>
      <w:lang w:eastAsia="ko-KR"/>
    </w:rPr>
  </w:style>
  <w:style w:type="paragraph" w:styleId="ListParagraph">
    <w:name w:val="List Paragraph"/>
    <w:basedOn w:val="Normal"/>
    <w:uiPriority w:val="34"/>
    <w:qFormat/>
    <w:rsid w:val="00973CC8"/>
    <w:pPr>
      <w:ind w:left="720"/>
      <w:contextualSpacing/>
    </w:pPr>
  </w:style>
  <w:style w:type="paragraph" w:customStyle="1" w:styleId="svarticle">
    <w:name w:val="svarticle"/>
    <w:basedOn w:val="Normal"/>
    <w:uiPriority w:val="99"/>
    <w:rsid w:val="00973CC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973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65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515"/>
  </w:style>
  <w:style w:type="paragraph" w:styleId="Footer">
    <w:name w:val="footer"/>
    <w:basedOn w:val="Normal"/>
    <w:link w:val="FooterChar"/>
    <w:uiPriority w:val="99"/>
    <w:unhideWhenUsed/>
    <w:rsid w:val="008C65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515"/>
  </w:style>
  <w:style w:type="paragraph" w:styleId="Title">
    <w:name w:val="Title"/>
    <w:basedOn w:val="Normal"/>
    <w:next w:val="Normal"/>
    <w:link w:val="TitleChar"/>
    <w:uiPriority w:val="10"/>
    <w:qFormat/>
    <w:rsid w:val="00EB02C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B02C3"/>
    <w:rPr>
      <w:rFonts w:asciiTheme="majorHAnsi" w:eastAsiaTheme="majorEastAsia" w:hAnsiTheme="majorHAnsi" w:cstheme="majorBidi"/>
      <w:color w:val="323E4F" w:themeColor="text2" w:themeShade="BF"/>
      <w:spacing w:val="5"/>
      <w:kern w:val="28"/>
      <w:sz w:val="52"/>
      <w:szCs w:val="52"/>
    </w:rPr>
  </w:style>
  <w:style w:type="paragraph" w:styleId="NormalWeb">
    <w:name w:val="Normal (Web)"/>
    <w:basedOn w:val="Normal"/>
    <w:uiPriority w:val="99"/>
    <w:unhideWhenUsed/>
    <w:rsid w:val="007414B8"/>
    <w:pPr>
      <w:spacing w:before="100" w:beforeAutospacing="1" w:after="100" w:afterAutospacing="1" w:line="240" w:lineRule="auto"/>
    </w:pPr>
    <w:rPr>
      <w:rFonts w:ascii="Times New Roman" w:eastAsia="Malgun Gothic" w:hAnsi="Times New Roman" w:cs="Times New Roman"/>
      <w:sz w:val="24"/>
      <w:szCs w:val="24"/>
      <w:lang w:eastAsia="ko-KR"/>
    </w:rPr>
  </w:style>
  <w:style w:type="paragraph" w:styleId="Revision">
    <w:name w:val="Revision"/>
    <w:hidden/>
    <w:uiPriority w:val="99"/>
    <w:semiHidden/>
    <w:rsid w:val="001B568C"/>
    <w:pPr>
      <w:spacing w:after="0" w:line="240" w:lineRule="auto"/>
    </w:pPr>
  </w:style>
  <w:style w:type="character" w:styleId="Strong">
    <w:name w:val="Strong"/>
    <w:basedOn w:val="DefaultParagraphFont"/>
    <w:uiPriority w:val="22"/>
    <w:qFormat/>
    <w:rsid w:val="005630D2"/>
    <w:rPr>
      <w:b/>
      <w:bCs/>
    </w:rPr>
  </w:style>
  <w:style w:type="character" w:styleId="LineNumber">
    <w:name w:val="line number"/>
    <w:basedOn w:val="DefaultParagraphFont"/>
    <w:uiPriority w:val="99"/>
    <w:semiHidden/>
    <w:unhideWhenUsed/>
    <w:rsid w:val="005630D2"/>
  </w:style>
  <w:style w:type="character" w:customStyle="1" w:styleId="tgc">
    <w:name w:val="_tgc"/>
    <w:basedOn w:val="DefaultParagraphFont"/>
    <w:rsid w:val="00506C55"/>
  </w:style>
  <w:style w:type="paragraph" w:styleId="TableofFigures">
    <w:name w:val="table of figures"/>
    <w:basedOn w:val="Normal"/>
    <w:next w:val="Normal"/>
    <w:uiPriority w:val="99"/>
    <w:unhideWhenUsed/>
    <w:rsid w:val="00A11B7C"/>
    <w:pPr>
      <w:spacing w:after="0"/>
    </w:pPr>
  </w:style>
  <w:style w:type="paragraph" w:styleId="PlainText">
    <w:name w:val="Plain Text"/>
    <w:basedOn w:val="Normal"/>
    <w:link w:val="PlainTextChar"/>
    <w:uiPriority w:val="99"/>
    <w:unhideWhenUsed/>
    <w:rsid w:val="009614B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9614B1"/>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63287">
      <w:bodyDiv w:val="1"/>
      <w:marLeft w:val="0"/>
      <w:marRight w:val="0"/>
      <w:marTop w:val="0"/>
      <w:marBottom w:val="0"/>
      <w:divBdr>
        <w:top w:val="none" w:sz="0" w:space="0" w:color="auto"/>
        <w:left w:val="none" w:sz="0" w:space="0" w:color="auto"/>
        <w:bottom w:val="none" w:sz="0" w:space="0" w:color="auto"/>
        <w:right w:val="none" w:sz="0" w:space="0" w:color="auto"/>
      </w:divBdr>
    </w:div>
    <w:div w:id="86779055">
      <w:bodyDiv w:val="1"/>
      <w:marLeft w:val="0"/>
      <w:marRight w:val="0"/>
      <w:marTop w:val="0"/>
      <w:marBottom w:val="0"/>
      <w:divBdr>
        <w:top w:val="none" w:sz="0" w:space="0" w:color="auto"/>
        <w:left w:val="none" w:sz="0" w:space="0" w:color="auto"/>
        <w:bottom w:val="none" w:sz="0" w:space="0" w:color="auto"/>
        <w:right w:val="none" w:sz="0" w:space="0" w:color="auto"/>
      </w:divBdr>
    </w:div>
    <w:div w:id="99495970">
      <w:bodyDiv w:val="1"/>
      <w:marLeft w:val="0"/>
      <w:marRight w:val="0"/>
      <w:marTop w:val="0"/>
      <w:marBottom w:val="0"/>
      <w:divBdr>
        <w:top w:val="none" w:sz="0" w:space="0" w:color="auto"/>
        <w:left w:val="none" w:sz="0" w:space="0" w:color="auto"/>
        <w:bottom w:val="none" w:sz="0" w:space="0" w:color="auto"/>
        <w:right w:val="none" w:sz="0" w:space="0" w:color="auto"/>
      </w:divBdr>
    </w:div>
    <w:div w:id="217211206">
      <w:bodyDiv w:val="1"/>
      <w:marLeft w:val="0"/>
      <w:marRight w:val="0"/>
      <w:marTop w:val="0"/>
      <w:marBottom w:val="0"/>
      <w:divBdr>
        <w:top w:val="none" w:sz="0" w:space="0" w:color="auto"/>
        <w:left w:val="none" w:sz="0" w:space="0" w:color="auto"/>
        <w:bottom w:val="none" w:sz="0" w:space="0" w:color="auto"/>
        <w:right w:val="none" w:sz="0" w:space="0" w:color="auto"/>
      </w:divBdr>
    </w:div>
    <w:div w:id="402335893">
      <w:bodyDiv w:val="1"/>
      <w:marLeft w:val="0"/>
      <w:marRight w:val="0"/>
      <w:marTop w:val="0"/>
      <w:marBottom w:val="0"/>
      <w:divBdr>
        <w:top w:val="none" w:sz="0" w:space="0" w:color="auto"/>
        <w:left w:val="none" w:sz="0" w:space="0" w:color="auto"/>
        <w:bottom w:val="none" w:sz="0" w:space="0" w:color="auto"/>
        <w:right w:val="none" w:sz="0" w:space="0" w:color="auto"/>
      </w:divBdr>
    </w:div>
    <w:div w:id="501549580">
      <w:bodyDiv w:val="1"/>
      <w:marLeft w:val="0"/>
      <w:marRight w:val="0"/>
      <w:marTop w:val="0"/>
      <w:marBottom w:val="0"/>
      <w:divBdr>
        <w:top w:val="none" w:sz="0" w:space="0" w:color="auto"/>
        <w:left w:val="none" w:sz="0" w:space="0" w:color="auto"/>
        <w:bottom w:val="none" w:sz="0" w:space="0" w:color="auto"/>
        <w:right w:val="none" w:sz="0" w:space="0" w:color="auto"/>
      </w:divBdr>
    </w:div>
    <w:div w:id="516506197">
      <w:bodyDiv w:val="1"/>
      <w:marLeft w:val="0"/>
      <w:marRight w:val="0"/>
      <w:marTop w:val="0"/>
      <w:marBottom w:val="0"/>
      <w:divBdr>
        <w:top w:val="none" w:sz="0" w:space="0" w:color="auto"/>
        <w:left w:val="none" w:sz="0" w:space="0" w:color="auto"/>
        <w:bottom w:val="none" w:sz="0" w:space="0" w:color="auto"/>
        <w:right w:val="none" w:sz="0" w:space="0" w:color="auto"/>
      </w:divBdr>
    </w:div>
    <w:div w:id="659890089">
      <w:bodyDiv w:val="1"/>
      <w:marLeft w:val="0"/>
      <w:marRight w:val="0"/>
      <w:marTop w:val="0"/>
      <w:marBottom w:val="0"/>
      <w:divBdr>
        <w:top w:val="none" w:sz="0" w:space="0" w:color="auto"/>
        <w:left w:val="none" w:sz="0" w:space="0" w:color="auto"/>
        <w:bottom w:val="none" w:sz="0" w:space="0" w:color="auto"/>
        <w:right w:val="none" w:sz="0" w:space="0" w:color="auto"/>
      </w:divBdr>
    </w:div>
    <w:div w:id="735053249">
      <w:bodyDiv w:val="1"/>
      <w:marLeft w:val="0"/>
      <w:marRight w:val="0"/>
      <w:marTop w:val="0"/>
      <w:marBottom w:val="0"/>
      <w:divBdr>
        <w:top w:val="none" w:sz="0" w:space="0" w:color="auto"/>
        <w:left w:val="none" w:sz="0" w:space="0" w:color="auto"/>
        <w:bottom w:val="none" w:sz="0" w:space="0" w:color="auto"/>
        <w:right w:val="none" w:sz="0" w:space="0" w:color="auto"/>
      </w:divBdr>
    </w:div>
    <w:div w:id="746465338">
      <w:bodyDiv w:val="1"/>
      <w:marLeft w:val="0"/>
      <w:marRight w:val="0"/>
      <w:marTop w:val="0"/>
      <w:marBottom w:val="0"/>
      <w:divBdr>
        <w:top w:val="none" w:sz="0" w:space="0" w:color="auto"/>
        <w:left w:val="none" w:sz="0" w:space="0" w:color="auto"/>
        <w:bottom w:val="none" w:sz="0" w:space="0" w:color="auto"/>
        <w:right w:val="none" w:sz="0" w:space="0" w:color="auto"/>
      </w:divBdr>
    </w:div>
    <w:div w:id="756026291">
      <w:bodyDiv w:val="1"/>
      <w:marLeft w:val="0"/>
      <w:marRight w:val="0"/>
      <w:marTop w:val="0"/>
      <w:marBottom w:val="0"/>
      <w:divBdr>
        <w:top w:val="none" w:sz="0" w:space="0" w:color="auto"/>
        <w:left w:val="none" w:sz="0" w:space="0" w:color="auto"/>
        <w:bottom w:val="none" w:sz="0" w:space="0" w:color="auto"/>
        <w:right w:val="none" w:sz="0" w:space="0" w:color="auto"/>
      </w:divBdr>
    </w:div>
    <w:div w:id="802162772">
      <w:bodyDiv w:val="1"/>
      <w:marLeft w:val="0"/>
      <w:marRight w:val="0"/>
      <w:marTop w:val="0"/>
      <w:marBottom w:val="0"/>
      <w:divBdr>
        <w:top w:val="none" w:sz="0" w:space="0" w:color="auto"/>
        <w:left w:val="none" w:sz="0" w:space="0" w:color="auto"/>
        <w:bottom w:val="none" w:sz="0" w:space="0" w:color="auto"/>
        <w:right w:val="none" w:sz="0" w:space="0" w:color="auto"/>
      </w:divBdr>
    </w:div>
    <w:div w:id="1114708875">
      <w:bodyDiv w:val="1"/>
      <w:marLeft w:val="0"/>
      <w:marRight w:val="0"/>
      <w:marTop w:val="0"/>
      <w:marBottom w:val="0"/>
      <w:divBdr>
        <w:top w:val="none" w:sz="0" w:space="0" w:color="auto"/>
        <w:left w:val="none" w:sz="0" w:space="0" w:color="auto"/>
        <w:bottom w:val="none" w:sz="0" w:space="0" w:color="auto"/>
        <w:right w:val="none" w:sz="0" w:space="0" w:color="auto"/>
      </w:divBdr>
    </w:div>
    <w:div w:id="1155338897">
      <w:bodyDiv w:val="1"/>
      <w:marLeft w:val="0"/>
      <w:marRight w:val="0"/>
      <w:marTop w:val="0"/>
      <w:marBottom w:val="0"/>
      <w:divBdr>
        <w:top w:val="none" w:sz="0" w:space="0" w:color="auto"/>
        <w:left w:val="none" w:sz="0" w:space="0" w:color="auto"/>
        <w:bottom w:val="none" w:sz="0" w:space="0" w:color="auto"/>
        <w:right w:val="none" w:sz="0" w:space="0" w:color="auto"/>
      </w:divBdr>
    </w:div>
    <w:div w:id="1310286953">
      <w:bodyDiv w:val="1"/>
      <w:marLeft w:val="0"/>
      <w:marRight w:val="0"/>
      <w:marTop w:val="0"/>
      <w:marBottom w:val="0"/>
      <w:divBdr>
        <w:top w:val="none" w:sz="0" w:space="0" w:color="auto"/>
        <w:left w:val="none" w:sz="0" w:space="0" w:color="auto"/>
        <w:bottom w:val="none" w:sz="0" w:space="0" w:color="auto"/>
        <w:right w:val="none" w:sz="0" w:space="0" w:color="auto"/>
      </w:divBdr>
    </w:div>
    <w:div w:id="1417824464">
      <w:bodyDiv w:val="1"/>
      <w:marLeft w:val="0"/>
      <w:marRight w:val="0"/>
      <w:marTop w:val="0"/>
      <w:marBottom w:val="0"/>
      <w:divBdr>
        <w:top w:val="none" w:sz="0" w:space="0" w:color="auto"/>
        <w:left w:val="none" w:sz="0" w:space="0" w:color="auto"/>
        <w:bottom w:val="none" w:sz="0" w:space="0" w:color="auto"/>
        <w:right w:val="none" w:sz="0" w:space="0" w:color="auto"/>
      </w:divBdr>
    </w:div>
    <w:div w:id="1434129173">
      <w:bodyDiv w:val="1"/>
      <w:marLeft w:val="0"/>
      <w:marRight w:val="0"/>
      <w:marTop w:val="0"/>
      <w:marBottom w:val="0"/>
      <w:divBdr>
        <w:top w:val="none" w:sz="0" w:space="0" w:color="auto"/>
        <w:left w:val="none" w:sz="0" w:space="0" w:color="auto"/>
        <w:bottom w:val="none" w:sz="0" w:space="0" w:color="auto"/>
        <w:right w:val="none" w:sz="0" w:space="0" w:color="auto"/>
      </w:divBdr>
    </w:div>
    <w:div w:id="1440223172">
      <w:bodyDiv w:val="1"/>
      <w:marLeft w:val="0"/>
      <w:marRight w:val="0"/>
      <w:marTop w:val="0"/>
      <w:marBottom w:val="0"/>
      <w:divBdr>
        <w:top w:val="none" w:sz="0" w:space="0" w:color="auto"/>
        <w:left w:val="none" w:sz="0" w:space="0" w:color="auto"/>
        <w:bottom w:val="none" w:sz="0" w:space="0" w:color="auto"/>
        <w:right w:val="none" w:sz="0" w:space="0" w:color="auto"/>
      </w:divBdr>
    </w:div>
    <w:div w:id="1442215412">
      <w:bodyDiv w:val="1"/>
      <w:marLeft w:val="0"/>
      <w:marRight w:val="0"/>
      <w:marTop w:val="0"/>
      <w:marBottom w:val="0"/>
      <w:divBdr>
        <w:top w:val="none" w:sz="0" w:space="0" w:color="auto"/>
        <w:left w:val="none" w:sz="0" w:space="0" w:color="auto"/>
        <w:bottom w:val="none" w:sz="0" w:space="0" w:color="auto"/>
        <w:right w:val="none" w:sz="0" w:space="0" w:color="auto"/>
      </w:divBdr>
    </w:div>
    <w:div w:id="1456489236">
      <w:bodyDiv w:val="1"/>
      <w:marLeft w:val="0"/>
      <w:marRight w:val="0"/>
      <w:marTop w:val="0"/>
      <w:marBottom w:val="0"/>
      <w:divBdr>
        <w:top w:val="none" w:sz="0" w:space="0" w:color="auto"/>
        <w:left w:val="none" w:sz="0" w:space="0" w:color="auto"/>
        <w:bottom w:val="none" w:sz="0" w:space="0" w:color="auto"/>
        <w:right w:val="none" w:sz="0" w:space="0" w:color="auto"/>
      </w:divBdr>
    </w:div>
    <w:div w:id="1533110860">
      <w:bodyDiv w:val="1"/>
      <w:marLeft w:val="0"/>
      <w:marRight w:val="0"/>
      <w:marTop w:val="0"/>
      <w:marBottom w:val="0"/>
      <w:divBdr>
        <w:top w:val="none" w:sz="0" w:space="0" w:color="auto"/>
        <w:left w:val="none" w:sz="0" w:space="0" w:color="auto"/>
        <w:bottom w:val="none" w:sz="0" w:space="0" w:color="auto"/>
        <w:right w:val="none" w:sz="0" w:space="0" w:color="auto"/>
      </w:divBdr>
    </w:div>
    <w:div w:id="1581595719">
      <w:bodyDiv w:val="1"/>
      <w:marLeft w:val="0"/>
      <w:marRight w:val="0"/>
      <w:marTop w:val="0"/>
      <w:marBottom w:val="0"/>
      <w:divBdr>
        <w:top w:val="none" w:sz="0" w:space="0" w:color="auto"/>
        <w:left w:val="none" w:sz="0" w:space="0" w:color="auto"/>
        <w:bottom w:val="none" w:sz="0" w:space="0" w:color="auto"/>
        <w:right w:val="none" w:sz="0" w:space="0" w:color="auto"/>
      </w:divBdr>
    </w:div>
    <w:div w:id="1694307990">
      <w:bodyDiv w:val="1"/>
      <w:marLeft w:val="0"/>
      <w:marRight w:val="0"/>
      <w:marTop w:val="0"/>
      <w:marBottom w:val="0"/>
      <w:divBdr>
        <w:top w:val="none" w:sz="0" w:space="0" w:color="auto"/>
        <w:left w:val="none" w:sz="0" w:space="0" w:color="auto"/>
        <w:bottom w:val="none" w:sz="0" w:space="0" w:color="auto"/>
        <w:right w:val="none" w:sz="0" w:space="0" w:color="auto"/>
      </w:divBdr>
    </w:div>
    <w:div w:id="1705860814">
      <w:bodyDiv w:val="1"/>
      <w:marLeft w:val="0"/>
      <w:marRight w:val="0"/>
      <w:marTop w:val="0"/>
      <w:marBottom w:val="0"/>
      <w:divBdr>
        <w:top w:val="none" w:sz="0" w:space="0" w:color="auto"/>
        <w:left w:val="none" w:sz="0" w:space="0" w:color="auto"/>
        <w:bottom w:val="none" w:sz="0" w:space="0" w:color="auto"/>
        <w:right w:val="none" w:sz="0" w:space="0" w:color="auto"/>
      </w:divBdr>
    </w:div>
    <w:div w:id="1900894291">
      <w:bodyDiv w:val="1"/>
      <w:marLeft w:val="0"/>
      <w:marRight w:val="0"/>
      <w:marTop w:val="0"/>
      <w:marBottom w:val="0"/>
      <w:divBdr>
        <w:top w:val="none" w:sz="0" w:space="0" w:color="auto"/>
        <w:left w:val="none" w:sz="0" w:space="0" w:color="auto"/>
        <w:bottom w:val="none" w:sz="0" w:space="0" w:color="auto"/>
        <w:right w:val="none" w:sz="0" w:space="0" w:color="auto"/>
      </w:divBdr>
    </w:div>
    <w:div w:id="1902061446">
      <w:bodyDiv w:val="1"/>
      <w:marLeft w:val="0"/>
      <w:marRight w:val="0"/>
      <w:marTop w:val="0"/>
      <w:marBottom w:val="0"/>
      <w:divBdr>
        <w:top w:val="none" w:sz="0" w:space="0" w:color="auto"/>
        <w:left w:val="none" w:sz="0" w:space="0" w:color="auto"/>
        <w:bottom w:val="none" w:sz="0" w:space="0" w:color="auto"/>
        <w:right w:val="none" w:sz="0" w:space="0" w:color="auto"/>
      </w:divBdr>
    </w:div>
    <w:div w:id="20740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8A179-BB4A-9A4F-88D1-780F2823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2637</Words>
  <Characters>15036</Characters>
  <Application>Microsoft Macintosh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Pryfysgol Bangor University</Company>
  <LinksUpToDate>false</LinksUpToDate>
  <CharactersWithSpaces>17638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Sarobidy Rakotonarivo</dc:creator>
  <cp:lastModifiedBy>Salloum,Ramzi George</cp:lastModifiedBy>
  <cp:revision>11</cp:revision>
  <cp:lastPrinted>2016-02-11T11:02:00Z</cp:lastPrinted>
  <dcterms:created xsi:type="dcterms:W3CDTF">2017-03-28T13:35:00Z</dcterms:created>
  <dcterms:modified xsi:type="dcterms:W3CDTF">2017-03-31T12:49:00Z</dcterms:modified>
</cp:coreProperties>
</file>