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02522" w14:textId="77777777" w:rsidR="007E1FA5" w:rsidRPr="007E1FA5" w:rsidRDefault="007E1FA5" w:rsidP="007E1FA5">
      <w:pPr>
        <w:spacing w:line="360" w:lineRule="auto"/>
        <w:outlineLvl w:val="0"/>
        <w:rPr>
          <w:b/>
        </w:rPr>
      </w:pPr>
      <w:r>
        <w:rPr>
          <w:b/>
        </w:rPr>
        <w:t>S</w:t>
      </w:r>
      <w:r w:rsidRPr="008D4403">
        <w:rPr>
          <w:b/>
        </w:rPr>
        <w:t>1: Cochrane Risk of Bias Assessment</w:t>
      </w:r>
    </w:p>
    <w:p w14:paraId="151D807E" w14:textId="77777777" w:rsidR="007E1FA5" w:rsidRPr="00AB1001" w:rsidRDefault="007E1FA5" w:rsidP="007E1FA5">
      <w:pPr>
        <w:spacing w:before="100" w:beforeAutospacing="1" w:after="100" w:afterAutospacing="1" w:line="360" w:lineRule="auto"/>
        <w:rPr>
          <w:rFonts w:eastAsia="Times New Roman" w:cs="Arial"/>
          <w:color w:val="0066CC"/>
          <w:sz w:val="18"/>
          <w:szCs w:val="18"/>
          <w:lang w:eastAsia="en-AU"/>
        </w:rPr>
      </w:pPr>
      <w:r w:rsidRPr="00AC5305">
        <w:rPr>
          <w:b/>
          <w:i/>
          <w:sz w:val="21"/>
        </w:rPr>
        <w:t xml:space="preserve">Nathan N, </w:t>
      </w:r>
      <w:proofErr w:type="spellStart"/>
      <w:r w:rsidRPr="00AC5305">
        <w:rPr>
          <w:b/>
          <w:i/>
          <w:sz w:val="21"/>
        </w:rPr>
        <w:t>Yoong</w:t>
      </w:r>
      <w:proofErr w:type="spellEnd"/>
      <w:r w:rsidRPr="00AC5305">
        <w:rPr>
          <w:b/>
          <w:i/>
          <w:sz w:val="21"/>
        </w:rPr>
        <w:t xml:space="preserve"> SL, Sutherland R, et al. Effectiveness of a multicomponent in</w:t>
      </w:r>
      <w:bookmarkStart w:id="0" w:name="_GoBack"/>
      <w:bookmarkEnd w:id="0"/>
      <w:r w:rsidRPr="00AC5305">
        <w:rPr>
          <w:b/>
          <w:i/>
          <w:sz w:val="21"/>
        </w:rPr>
        <w:t xml:space="preserve">tervention to enhance implementation of a healthy canteen policy in Australian primary schools: a randomised controlled trial. </w:t>
      </w:r>
      <w:proofErr w:type="spellStart"/>
      <w:r w:rsidRPr="00AC5305">
        <w:rPr>
          <w:b/>
          <w:i/>
          <w:sz w:val="21"/>
        </w:rPr>
        <w:t>Int</w:t>
      </w:r>
      <w:proofErr w:type="spellEnd"/>
      <w:r w:rsidRPr="00AC5305">
        <w:rPr>
          <w:b/>
          <w:i/>
          <w:sz w:val="21"/>
        </w:rPr>
        <w:t xml:space="preserve"> J </w:t>
      </w:r>
      <w:proofErr w:type="spellStart"/>
      <w:r w:rsidRPr="00AC5305">
        <w:rPr>
          <w:b/>
          <w:i/>
          <w:sz w:val="21"/>
        </w:rPr>
        <w:t>Behav</w:t>
      </w:r>
      <w:proofErr w:type="spellEnd"/>
      <w:r w:rsidRPr="00AC5305">
        <w:rPr>
          <w:b/>
          <w:i/>
          <w:sz w:val="21"/>
        </w:rPr>
        <w:t xml:space="preserve"> </w:t>
      </w:r>
      <w:proofErr w:type="spellStart"/>
      <w:r w:rsidRPr="00AC5305">
        <w:rPr>
          <w:b/>
          <w:i/>
          <w:sz w:val="21"/>
        </w:rPr>
        <w:t>Nutr</w:t>
      </w:r>
      <w:proofErr w:type="spellEnd"/>
      <w:r w:rsidRPr="00AC5305">
        <w:rPr>
          <w:b/>
          <w:i/>
          <w:sz w:val="21"/>
        </w:rPr>
        <w:t xml:space="preserve"> Phys Act </w:t>
      </w:r>
      <w:proofErr w:type="gramStart"/>
      <w:r w:rsidRPr="00AC5305">
        <w:rPr>
          <w:b/>
          <w:i/>
          <w:sz w:val="21"/>
        </w:rPr>
        <w:t>2016;13:106</w:t>
      </w:r>
      <w:proofErr w:type="gramEnd"/>
      <w:r w:rsidRPr="00AC5305">
        <w:rPr>
          <w:b/>
          <w:i/>
          <w:sz w:val="21"/>
        </w:rPr>
        <w:t>.</w:t>
      </w:r>
      <w:r>
        <w:rPr>
          <w:b/>
          <w:i/>
          <w:sz w:val="21"/>
        </w:rPr>
        <w:t xml:space="preserve"> </w:t>
      </w:r>
    </w:p>
    <w:tbl>
      <w:tblPr>
        <w:tblW w:w="5000" w:type="pct"/>
        <w:tblCellSpacing w:w="1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2"/>
        <w:gridCol w:w="1169"/>
        <w:gridCol w:w="5413"/>
      </w:tblGrid>
      <w:tr w:rsidR="007E1FA5" w:rsidRPr="00AB1001" w14:paraId="7C28B2E8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27D70E0F" w14:textId="77777777" w:rsidR="007E1FA5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</w:p>
          <w:p w14:paraId="00431657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Bias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28BCC69F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Authors' judgement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6D1C9262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Support for judgement</w:t>
            </w:r>
          </w:p>
        </w:tc>
      </w:tr>
      <w:tr w:rsidR="007E1FA5" w:rsidRPr="00AB1001" w14:paraId="60DB3606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064717B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Random sequence generation (selection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862579E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FC843B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Randomised controlled trial. The random sequence was generated using a computerised random number function in Microsoft Excel.</w:t>
            </w:r>
          </w:p>
        </w:tc>
      </w:tr>
      <w:tr w:rsidR="007E1FA5" w:rsidRPr="00AB1001" w14:paraId="6FCD46A7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54B45CE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Allocation concealment (selection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65C996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976DB7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Group allocation was concealed from staff involved in school recruitment however there is no information about how allocation was concealed.</w:t>
            </w:r>
          </w:p>
        </w:tc>
      </w:tr>
      <w:tr w:rsidR="007E1FA5" w:rsidRPr="00AB1001" w14:paraId="5F544CF8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11C753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Blinding of participants and personnel (performance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BCAC00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High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C36046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Outcome group: Schools were not blinded to group allocation and therefore at high risk of performance bias.</w:t>
            </w:r>
          </w:p>
        </w:tc>
      </w:tr>
      <w:tr w:rsidR="007E1FA5" w:rsidRPr="00AB1001" w14:paraId="4724F550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019A69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Blinding of outcome assessment (detection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31939FD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9D262C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Outcome group: Dietitians conducting menu assessments were blind to group allocation.</w:t>
            </w:r>
          </w:p>
        </w:tc>
      </w:tr>
      <w:tr w:rsidR="007E1FA5" w:rsidRPr="00AB1001" w14:paraId="5B5B0B09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FE3E9A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Incomplete outcome data (attrition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587CBF1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5A7A469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Outcome group: Only one school was lost to follow-up.</w:t>
            </w:r>
          </w:p>
        </w:tc>
      </w:tr>
      <w:tr w:rsidR="007E1FA5" w:rsidRPr="00AB1001" w14:paraId="1BE4F318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EC34FA1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Selective reporting (</w:t>
            </w:r>
            <w:proofErr w:type="spellStart"/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reporting</w:t>
            </w:r>
            <w:proofErr w:type="spellEnd"/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 xml:space="preserve">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5D2BAE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05889C7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The trial was prospectively registered with the Australian New Zealand Clinical Trials Registry (ACTRN12614001148662).</w:t>
            </w:r>
          </w:p>
          <w:p w14:paraId="0FAA860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All predetermined outcomes were reported.</w:t>
            </w:r>
          </w:p>
        </w:tc>
      </w:tr>
      <w:tr w:rsidR="007E1FA5" w:rsidRPr="00AB1001" w14:paraId="050C431F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94EA1C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Recruitment to cluster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8A23D9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322B1D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14BF668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277A579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Baseline imbalance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313E90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DE0664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299D8EC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DCCA87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Loss of cluster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7F671D17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1D3E8F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591AE2F6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C7AEE2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Incorrect analysis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30E950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176E423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0CD3C14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7781E5C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Contamination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D5A2C5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764B07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38E2B684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2AA325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Compatibility with individually randomised RCTs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659BE8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BEFC843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4570557A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C80A95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Potential confounding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EEC473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974EB36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</w:tbl>
    <w:p w14:paraId="018C0184" w14:textId="77777777" w:rsidR="007E1FA5" w:rsidRDefault="007E1FA5" w:rsidP="007E1FA5">
      <w:pPr>
        <w:spacing w:line="360" w:lineRule="auto"/>
      </w:pPr>
    </w:p>
    <w:p w14:paraId="7322D069" w14:textId="77777777" w:rsidR="007E1FA5" w:rsidRPr="00AC5305" w:rsidRDefault="007E1FA5" w:rsidP="007E1FA5">
      <w:pPr>
        <w:spacing w:line="360" w:lineRule="auto"/>
        <w:rPr>
          <w:b/>
          <w:i/>
          <w:sz w:val="21"/>
        </w:rPr>
      </w:pPr>
    </w:p>
    <w:p w14:paraId="19A23379" w14:textId="77777777" w:rsidR="007E1FA5" w:rsidRDefault="007E1FA5" w:rsidP="007E1FA5">
      <w:pPr>
        <w:spacing w:before="100" w:beforeAutospacing="1" w:after="100" w:afterAutospacing="1" w:line="360" w:lineRule="auto"/>
        <w:rPr>
          <w:b/>
          <w:i/>
          <w:sz w:val="21"/>
        </w:rPr>
      </w:pPr>
    </w:p>
    <w:p w14:paraId="7E9D7A8D" w14:textId="77777777" w:rsidR="007E1FA5" w:rsidRDefault="007E1FA5" w:rsidP="007E1FA5">
      <w:pPr>
        <w:spacing w:before="100" w:beforeAutospacing="1" w:after="100" w:afterAutospacing="1" w:line="360" w:lineRule="auto"/>
        <w:rPr>
          <w:b/>
          <w:i/>
          <w:sz w:val="21"/>
        </w:rPr>
      </w:pPr>
    </w:p>
    <w:p w14:paraId="7A736C01" w14:textId="77777777" w:rsidR="007E1FA5" w:rsidRDefault="007E1FA5" w:rsidP="007E1FA5">
      <w:pPr>
        <w:spacing w:before="100" w:beforeAutospacing="1" w:after="100" w:afterAutospacing="1" w:line="360" w:lineRule="auto"/>
        <w:rPr>
          <w:rFonts w:eastAsia="Times New Roman" w:cs="Arial"/>
          <w:color w:val="0066CC"/>
          <w:sz w:val="18"/>
          <w:szCs w:val="18"/>
          <w:lang w:eastAsia="en-AU"/>
        </w:rPr>
      </w:pPr>
      <w:proofErr w:type="spellStart"/>
      <w:r w:rsidRPr="00AC5305">
        <w:rPr>
          <w:b/>
          <w:i/>
          <w:sz w:val="21"/>
        </w:rPr>
        <w:lastRenderedPageBreak/>
        <w:t>Yoong</w:t>
      </w:r>
      <w:proofErr w:type="spellEnd"/>
      <w:r w:rsidRPr="00AC5305">
        <w:rPr>
          <w:b/>
          <w:i/>
          <w:sz w:val="21"/>
        </w:rPr>
        <w:t xml:space="preserve"> SL, Nathan N, </w:t>
      </w:r>
      <w:proofErr w:type="spellStart"/>
      <w:r w:rsidRPr="00AC5305">
        <w:rPr>
          <w:b/>
          <w:i/>
          <w:sz w:val="21"/>
        </w:rPr>
        <w:t>Wolfenden</w:t>
      </w:r>
      <w:proofErr w:type="spellEnd"/>
      <w:r w:rsidRPr="00AC5305">
        <w:rPr>
          <w:b/>
          <w:i/>
          <w:sz w:val="21"/>
        </w:rPr>
        <w:t xml:space="preserve"> L, et al. CAFÉ: a multicomponent audit and feedback intervention to improve implementation of healthy food policy in primary school canteens: a randomised controlled trial. </w:t>
      </w:r>
      <w:proofErr w:type="spellStart"/>
      <w:r w:rsidRPr="00AC5305">
        <w:rPr>
          <w:b/>
          <w:i/>
          <w:sz w:val="21"/>
        </w:rPr>
        <w:t>Int</w:t>
      </w:r>
      <w:proofErr w:type="spellEnd"/>
      <w:r w:rsidRPr="00AC5305">
        <w:rPr>
          <w:b/>
          <w:i/>
          <w:sz w:val="21"/>
        </w:rPr>
        <w:t xml:space="preserve"> J </w:t>
      </w:r>
      <w:proofErr w:type="spellStart"/>
      <w:r w:rsidRPr="00AC5305">
        <w:rPr>
          <w:b/>
          <w:i/>
          <w:sz w:val="21"/>
        </w:rPr>
        <w:t>Behav</w:t>
      </w:r>
      <w:proofErr w:type="spellEnd"/>
      <w:r w:rsidRPr="00AC5305">
        <w:rPr>
          <w:b/>
          <w:i/>
          <w:sz w:val="21"/>
        </w:rPr>
        <w:t xml:space="preserve"> </w:t>
      </w:r>
      <w:proofErr w:type="spellStart"/>
      <w:r w:rsidRPr="00AC5305">
        <w:rPr>
          <w:b/>
          <w:i/>
          <w:sz w:val="21"/>
        </w:rPr>
        <w:t>Nutr</w:t>
      </w:r>
      <w:proofErr w:type="spellEnd"/>
      <w:r w:rsidRPr="00AC5305">
        <w:rPr>
          <w:b/>
          <w:i/>
          <w:sz w:val="21"/>
        </w:rPr>
        <w:t xml:space="preserve"> Phys Act </w:t>
      </w:r>
      <w:proofErr w:type="gramStart"/>
      <w:r w:rsidRPr="00AC5305">
        <w:rPr>
          <w:b/>
          <w:i/>
          <w:sz w:val="21"/>
        </w:rPr>
        <w:t>2016;13:126</w:t>
      </w:r>
      <w:proofErr w:type="gramEnd"/>
      <w:r w:rsidRPr="00AC5305">
        <w:rPr>
          <w:b/>
          <w:i/>
          <w:sz w:val="21"/>
        </w:rPr>
        <w:t>.</w:t>
      </w:r>
      <w:r w:rsidRPr="00AB1001">
        <w:rPr>
          <w:rFonts w:eastAsia="Times New Roman" w:cs="Arial"/>
          <w:color w:val="0066CC"/>
          <w:sz w:val="18"/>
          <w:szCs w:val="18"/>
          <w:lang w:eastAsia="en-AU"/>
        </w:rPr>
        <w:t xml:space="preserve"> </w:t>
      </w:r>
    </w:p>
    <w:p w14:paraId="39035B13" w14:textId="77777777" w:rsidR="007E1FA5" w:rsidRPr="00AB1001" w:rsidRDefault="007E1FA5" w:rsidP="007E1FA5">
      <w:pPr>
        <w:spacing w:before="100" w:beforeAutospacing="1" w:after="100" w:afterAutospacing="1" w:line="360" w:lineRule="auto"/>
        <w:rPr>
          <w:rFonts w:eastAsia="Times New Roman" w:cs="Arial"/>
          <w:color w:val="0066CC"/>
          <w:sz w:val="18"/>
          <w:szCs w:val="18"/>
          <w:lang w:eastAsia="en-AU"/>
        </w:rPr>
      </w:pPr>
    </w:p>
    <w:tbl>
      <w:tblPr>
        <w:tblW w:w="5000" w:type="pct"/>
        <w:tblCellSpacing w:w="1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7"/>
        <w:gridCol w:w="1121"/>
        <w:gridCol w:w="5686"/>
      </w:tblGrid>
      <w:tr w:rsidR="007E1FA5" w:rsidRPr="00AB1001" w14:paraId="27D84D62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50C9B35B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Bias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64F28086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Authors' judgement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4639860C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Support for judgement</w:t>
            </w:r>
          </w:p>
        </w:tc>
      </w:tr>
      <w:tr w:rsidR="007E1FA5" w:rsidRPr="00AB1001" w14:paraId="3E8502D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01D65F8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Random sequence generation (selection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72DDABDD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D17362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Randomised controlled trial. The random sequence was produced using a computer-generated randomisation schedule in Microsoft Excel.</w:t>
            </w:r>
          </w:p>
        </w:tc>
      </w:tr>
      <w:tr w:rsidR="007E1FA5" w:rsidRPr="00AB1001" w14:paraId="5478E844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FCA739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Allocation concealment (selection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4C1CD0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9E4AAC9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There is no information provided about allocation concealment and therefore it is unclear if allocation was concealed.</w:t>
            </w:r>
          </w:p>
        </w:tc>
      </w:tr>
      <w:tr w:rsidR="007E1FA5" w:rsidRPr="00AB1001" w14:paraId="479D821F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D734D4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Blinding of participants and personnel (performance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B693939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High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EC506A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Outcome group: Due to the nature of the intervention schools could not be blinded to group allocation and therefore at high risk of performance bias.</w:t>
            </w:r>
          </w:p>
        </w:tc>
      </w:tr>
      <w:tr w:rsidR="007E1FA5" w:rsidRPr="00AB1001" w14:paraId="7D159AB0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095BB5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Blinding of outcome assessment (detection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B41283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DB17D02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Outcome group: Menu audits were undertaken by dietitians blinded to group allocation.</w:t>
            </w:r>
          </w:p>
        </w:tc>
      </w:tr>
      <w:tr w:rsidR="007E1FA5" w:rsidRPr="00AB1001" w14:paraId="54F8A14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0DC5C1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Incomplete outcome data (attrition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0C64F8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2E6A299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Outcome group: 19 of the 72 (26%) schools did not provide menus at follow-up. There were no significant differences in baseline characteristics among schools that did and did not provide follow-up data.</w:t>
            </w:r>
          </w:p>
        </w:tc>
      </w:tr>
      <w:tr w:rsidR="007E1FA5" w:rsidRPr="00AB1001" w14:paraId="7E80DD21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14FBE2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Selective reporting (</w:t>
            </w:r>
            <w:proofErr w:type="spellStart"/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reporting</w:t>
            </w:r>
            <w:proofErr w:type="spellEnd"/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 xml:space="preserve">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B3F32E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290224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There were no unreported implementation outcomes according to those planned in the published protocol.</w:t>
            </w:r>
          </w:p>
        </w:tc>
      </w:tr>
      <w:tr w:rsidR="007E1FA5" w:rsidRPr="00AB1001" w14:paraId="286D9DE7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0B0302D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Recruitment to cluster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72350B7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806656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22B6DAAC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04F6D47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Baseline imbalance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522005C6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318A539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7045FB4F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5BEFBF2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Loss of cluster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784ACE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7EB130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399D88CB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7C70AF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Incorrect analysis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9FDB7D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5583BAA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05D78128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B95969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Contamination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64BEACDD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1FA994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2409B379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78283C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Compatibility with individually randomised RCTs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505FBC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1996021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5C3E029D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336E893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Potential confounding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C850B0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705955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</w:tbl>
    <w:p w14:paraId="51F73818" w14:textId="77777777" w:rsidR="007E1FA5" w:rsidRDefault="007E1FA5" w:rsidP="007E1FA5">
      <w:pPr>
        <w:spacing w:line="360" w:lineRule="auto"/>
      </w:pPr>
    </w:p>
    <w:p w14:paraId="142FE29D" w14:textId="77777777" w:rsidR="007E1FA5" w:rsidRPr="001B6425" w:rsidRDefault="007E1FA5" w:rsidP="007E1FA5">
      <w:pPr>
        <w:spacing w:line="360" w:lineRule="auto"/>
      </w:pPr>
      <w:r w:rsidRPr="001B6425">
        <w:t xml:space="preserve"> </w:t>
      </w:r>
    </w:p>
    <w:p w14:paraId="0C15581C" w14:textId="77777777" w:rsidR="007E1FA5" w:rsidRDefault="007E1FA5" w:rsidP="007E1FA5">
      <w:pPr>
        <w:spacing w:line="360" w:lineRule="auto"/>
      </w:pPr>
    </w:p>
    <w:p w14:paraId="29E1F10E" w14:textId="77777777" w:rsidR="007E1FA5" w:rsidRDefault="007E1FA5" w:rsidP="007E1FA5">
      <w:pPr>
        <w:spacing w:line="360" w:lineRule="auto"/>
      </w:pPr>
      <w:r>
        <w:br w:type="page"/>
      </w:r>
    </w:p>
    <w:p w14:paraId="5BE9797B" w14:textId="77777777" w:rsidR="007E1FA5" w:rsidRPr="000A603D" w:rsidRDefault="007E1FA5" w:rsidP="007E1FA5">
      <w:pPr>
        <w:spacing w:before="100" w:beforeAutospacing="1" w:after="100" w:afterAutospacing="1" w:line="360" w:lineRule="auto"/>
        <w:rPr>
          <w:b/>
          <w:i/>
          <w:sz w:val="21"/>
        </w:rPr>
      </w:pPr>
      <w:r w:rsidRPr="000A603D">
        <w:rPr>
          <w:b/>
          <w:i/>
          <w:sz w:val="21"/>
        </w:rPr>
        <w:t xml:space="preserve">Seward K, </w:t>
      </w:r>
      <w:proofErr w:type="spellStart"/>
      <w:r w:rsidRPr="000A603D">
        <w:rPr>
          <w:b/>
          <w:i/>
          <w:sz w:val="21"/>
        </w:rPr>
        <w:t>Wolfenden</w:t>
      </w:r>
      <w:proofErr w:type="spellEnd"/>
      <w:r w:rsidRPr="000A603D">
        <w:rPr>
          <w:b/>
          <w:i/>
          <w:sz w:val="21"/>
        </w:rPr>
        <w:t xml:space="preserve"> L, Finch M, </w:t>
      </w:r>
      <w:proofErr w:type="spellStart"/>
      <w:r w:rsidRPr="000A603D">
        <w:rPr>
          <w:b/>
          <w:i/>
          <w:sz w:val="21"/>
        </w:rPr>
        <w:t>Wiggers</w:t>
      </w:r>
      <w:proofErr w:type="spellEnd"/>
      <w:r w:rsidRPr="000A603D">
        <w:rPr>
          <w:b/>
          <w:i/>
          <w:sz w:val="21"/>
        </w:rPr>
        <w:t xml:space="preserve"> J, Wyse R, Jones J, Gillham K, </w:t>
      </w:r>
      <w:proofErr w:type="spellStart"/>
      <w:r w:rsidRPr="000A603D">
        <w:rPr>
          <w:b/>
          <w:i/>
          <w:sz w:val="21"/>
        </w:rPr>
        <w:t>Yoong</w:t>
      </w:r>
      <w:proofErr w:type="spellEnd"/>
      <w:r w:rsidRPr="000A603D">
        <w:rPr>
          <w:b/>
          <w:i/>
          <w:sz w:val="21"/>
        </w:rPr>
        <w:t xml:space="preserve"> SL. </w:t>
      </w:r>
      <w:proofErr w:type="spellStart"/>
      <w:r w:rsidRPr="000A603D">
        <w:rPr>
          <w:b/>
          <w:i/>
          <w:sz w:val="21"/>
        </w:rPr>
        <w:t>Multistrategy</w:t>
      </w:r>
      <w:proofErr w:type="spellEnd"/>
      <w:r w:rsidRPr="000A603D">
        <w:rPr>
          <w:b/>
          <w:i/>
          <w:sz w:val="21"/>
        </w:rPr>
        <w:t xml:space="preserve"> childcare-based intervention to improve compliance with nutrition guidelines versus usual care in long day care services: a study protocol for a randomised controlled trial. BMJ open. 2016;6(6):10786. doi:10.1136/bmjopen-2015-010786</w:t>
      </w:r>
    </w:p>
    <w:p w14:paraId="26E643E5" w14:textId="77777777" w:rsidR="007E1FA5" w:rsidRDefault="007E1FA5" w:rsidP="007E1FA5">
      <w:pPr>
        <w:spacing w:line="360" w:lineRule="auto"/>
        <w:rPr>
          <w:rFonts w:ascii="Calibri" w:hAnsi="Calibri"/>
          <w:noProof/>
        </w:rPr>
      </w:pPr>
    </w:p>
    <w:tbl>
      <w:tblPr>
        <w:tblW w:w="5000" w:type="pct"/>
        <w:tblCellSpacing w:w="15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2"/>
        <w:gridCol w:w="1087"/>
        <w:gridCol w:w="5875"/>
      </w:tblGrid>
      <w:tr w:rsidR="007E1FA5" w:rsidRPr="00AB1001" w14:paraId="3C3AB547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6AC7645B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Bias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7E61F1CA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Authors' judgement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vAlign w:val="center"/>
            <w:hideMark/>
          </w:tcPr>
          <w:p w14:paraId="0E85C09B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b/>
                <w:bCs/>
                <w:color w:val="0066CC"/>
                <w:sz w:val="18"/>
                <w:szCs w:val="18"/>
                <w:lang w:eastAsia="en-AU"/>
              </w:rPr>
              <w:t>Support for judgement</w:t>
            </w:r>
          </w:p>
        </w:tc>
      </w:tr>
      <w:tr w:rsidR="007E1FA5" w:rsidRPr="00AB1001" w14:paraId="749C2FB1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3493CC3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Random sequence generation (selection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BACC1C2" w14:textId="77777777" w:rsidR="007E1FA5" w:rsidRPr="00AB1001" w:rsidRDefault="007E1FA5" w:rsidP="007E1FA5">
            <w:pPr>
              <w:spacing w:after="120"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D91FCCD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Randomised controlle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>d trial. The random sequence was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 xml:space="preserve"> produced 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in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1:1 ratio via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block randomisation using a random number function in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SAS statistical software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>.</w:t>
            </w:r>
            <w:r>
              <w:t xml:space="preserve"> 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Block size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range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d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between 2 and 6.</w:t>
            </w:r>
          </w:p>
        </w:tc>
      </w:tr>
      <w:tr w:rsidR="007E1FA5" w:rsidRPr="00AB1001" w14:paraId="744B3F6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6DE96BC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Allocation concealment (selection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449607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4E06C1F2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>
              <w:rPr>
                <w:rFonts w:eastAsia="Times New Roman" w:cs="Arial"/>
                <w:sz w:val="18"/>
                <w:szCs w:val="18"/>
                <w:lang w:eastAsia="en-AU"/>
              </w:rPr>
              <w:t>Author mentioned a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 xml:space="preserve">llocation of services 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>would be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 xml:space="preserve"> undertaken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by an experienced research assistant.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There is no information provided about allocation concealment and therefore it is unclear if allocation was concealed.</w:t>
            </w:r>
          </w:p>
        </w:tc>
      </w:tr>
      <w:tr w:rsidR="007E1FA5" w:rsidRPr="00AB1001" w14:paraId="41F7164B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05CC07C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Blinding of participants and personnel (performance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7F52D0A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High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71A95F1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>
              <w:rPr>
                <w:rFonts w:eastAsia="Times New Roman" w:cs="Arial"/>
                <w:sz w:val="18"/>
                <w:szCs w:val="18"/>
                <w:lang w:eastAsia="en-AU"/>
              </w:rPr>
              <w:t>D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ue to the nature of the intervention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childcare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 xml:space="preserve"> service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staff w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>ere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 xml:space="preserve"> aware of their group allocation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 xml:space="preserve"> and therefore at high risk of performance bias.</w:t>
            </w:r>
          </w:p>
        </w:tc>
      </w:tr>
      <w:tr w:rsidR="007E1FA5" w:rsidRPr="00AB1001" w14:paraId="4AC7E602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F1F099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Blinding of outcome assessment (detection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4C0F27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19220FE1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 xml:space="preserve">Menu 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>assessment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s w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>ere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 xml:space="preserve"> undertaken by dietitians blinded to group allocation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at baseline and at 6 months follow up</w:t>
            </w:r>
            <w:r w:rsidRPr="00AB1001">
              <w:rPr>
                <w:rFonts w:eastAsia="Times New Roman" w:cs="Arial"/>
                <w:sz w:val="18"/>
                <w:szCs w:val="18"/>
                <w:lang w:eastAsia="en-AU"/>
              </w:rPr>
              <w:t>.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All o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>utcome data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collectors were</w:t>
            </w:r>
            <w:r w:rsidRPr="0036016E">
              <w:rPr>
                <w:rFonts w:eastAsia="Times New Roman" w:cs="Arial"/>
                <w:sz w:val="18"/>
                <w:szCs w:val="18"/>
                <w:lang w:eastAsia="en-AU"/>
              </w:rPr>
              <w:t xml:space="preserve"> blinded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to group allocation.</w:t>
            </w:r>
          </w:p>
        </w:tc>
      </w:tr>
      <w:tr w:rsidR="007E1FA5" w:rsidRPr="00AB1001" w14:paraId="53A338D8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71CFA833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Incomplete outcome data (attrition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4674A5B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</w:t>
            </w: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 xml:space="preserve">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04051FD7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>
              <w:rPr>
                <w:rFonts w:eastAsia="Times New Roman" w:cs="Arial"/>
                <w:sz w:val="18"/>
                <w:szCs w:val="18"/>
                <w:lang w:eastAsia="en-AU"/>
              </w:rPr>
              <w:t>Only one childcare service (intervention group) did not complete follow up data collection, however reasons and characteristics were not reported. Intent-to-treat (multiple imputation) analysis was used for missing data.</w:t>
            </w:r>
          </w:p>
        </w:tc>
      </w:tr>
      <w:tr w:rsidR="007E1FA5" w:rsidRPr="00AB1001" w14:paraId="317E8AE5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7C8AA1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Selective reporting (</w:t>
            </w:r>
            <w:proofErr w:type="spellStart"/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reporting</w:t>
            </w:r>
            <w:proofErr w:type="spellEnd"/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 xml:space="preserve"> bias)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831CBE2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Low</w:t>
            </w: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 xml:space="preserve">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1967784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sz w:val="18"/>
                <w:szCs w:val="18"/>
                <w:lang w:eastAsia="en-AU"/>
              </w:rPr>
            </w:pPr>
            <w:r w:rsidRPr="00565588">
              <w:rPr>
                <w:rFonts w:eastAsia="Times New Roman" w:cs="Arial"/>
                <w:sz w:val="18"/>
                <w:szCs w:val="18"/>
                <w:lang w:eastAsia="en-AU"/>
              </w:rPr>
              <w:t>The trial was prospectively registered with the Australian New Zealand Clinical Trials Registry (ACTRN12615001032549).</w:t>
            </w:r>
            <w:r>
              <w:rPr>
                <w:rFonts w:eastAsia="Times New Roman" w:cs="Arial"/>
                <w:sz w:val="18"/>
                <w:szCs w:val="18"/>
                <w:lang w:eastAsia="en-AU"/>
              </w:rPr>
              <w:t xml:space="preserve"> </w:t>
            </w:r>
            <w:r w:rsidRPr="00565588">
              <w:rPr>
                <w:rFonts w:eastAsia="Times New Roman" w:cs="Arial"/>
                <w:sz w:val="18"/>
                <w:szCs w:val="18"/>
                <w:lang w:eastAsia="en-AU"/>
              </w:rPr>
              <w:t>All predetermined outcomes were reported.</w:t>
            </w:r>
          </w:p>
        </w:tc>
      </w:tr>
      <w:tr w:rsidR="007E1FA5" w:rsidRPr="00AB1001" w14:paraId="7D7CC26E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5EA34F2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Recruitment to cluster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A1F79F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4968517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72184ACC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63BF89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Baseline imbalance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5BB76D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73CBF23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6B6F6CA3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8FA6913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Loss of cluster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99DC636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24C9C3F6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54D2A970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CA792DE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Incorrect analysis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3BA069F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29CCF8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0CA54313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0BB1265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Contamination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3BD7BF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7499350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10DDD5C0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3B0AEFAB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Compatibility with individually randomised RCTs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D993CB4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6ABA871A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  <w:tr w:rsidR="007E1FA5" w:rsidRPr="00AB1001" w14:paraId="5D8A8AC0" w14:textId="77777777" w:rsidTr="003C0433">
        <w:trPr>
          <w:tblCellSpacing w:w="15" w:type="dxa"/>
        </w:trPr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295DF068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Potential confounding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0E0E0"/>
            <w:hideMark/>
          </w:tcPr>
          <w:p w14:paraId="13DC8E77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  <w:r w:rsidRPr="00AB1001"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  <w:t>Unclear risk</w:t>
            </w:r>
          </w:p>
        </w:tc>
        <w:tc>
          <w:tcPr>
            <w:tcW w:w="0" w:type="auto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  <w:hideMark/>
          </w:tcPr>
          <w:p w14:paraId="0F52260D" w14:textId="77777777" w:rsidR="007E1FA5" w:rsidRPr="00AB1001" w:rsidRDefault="007E1FA5" w:rsidP="007E1FA5">
            <w:pPr>
              <w:spacing w:line="360" w:lineRule="auto"/>
              <w:rPr>
                <w:rFonts w:eastAsia="Times New Roman" w:cs="Arial"/>
                <w:color w:val="0066CC"/>
                <w:sz w:val="18"/>
                <w:szCs w:val="18"/>
                <w:lang w:eastAsia="en-AU"/>
              </w:rPr>
            </w:pPr>
          </w:p>
        </w:tc>
      </w:tr>
    </w:tbl>
    <w:p w14:paraId="26F9D346" w14:textId="77777777" w:rsidR="00B37165" w:rsidRDefault="00B37165" w:rsidP="007E1FA5">
      <w:pPr>
        <w:spacing w:line="360" w:lineRule="auto"/>
      </w:pPr>
    </w:p>
    <w:sectPr w:rsidR="00B37165" w:rsidSect="000C3C8A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맑은 고딕">
    <w:charset w:val="81"/>
    <w:family w:val="auto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FA5"/>
    <w:rsid w:val="00024E9F"/>
    <w:rsid w:val="000875A5"/>
    <w:rsid w:val="000A1B50"/>
    <w:rsid w:val="000B090A"/>
    <w:rsid w:val="000C3C8A"/>
    <w:rsid w:val="001D7E92"/>
    <w:rsid w:val="00255C48"/>
    <w:rsid w:val="00343538"/>
    <w:rsid w:val="00384377"/>
    <w:rsid w:val="003D334E"/>
    <w:rsid w:val="003E4D3F"/>
    <w:rsid w:val="004C43C3"/>
    <w:rsid w:val="005339A6"/>
    <w:rsid w:val="005C21D5"/>
    <w:rsid w:val="00714813"/>
    <w:rsid w:val="00731AD1"/>
    <w:rsid w:val="007A4C24"/>
    <w:rsid w:val="007E1FA5"/>
    <w:rsid w:val="008A5436"/>
    <w:rsid w:val="00917008"/>
    <w:rsid w:val="009A6FF6"/>
    <w:rsid w:val="00AA24A4"/>
    <w:rsid w:val="00AB39D3"/>
    <w:rsid w:val="00AD60CB"/>
    <w:rsid w:val="00B37165"/>
    <w:rsid w:val="00C25756"/>
    <w:rsid w:val="00C921D6"/>
    <w:rsid w:val="00CE7D45"/>
    <w:rsid w:val="00D07BFF"/>
    <w:rsid w:val="00D32320"/>
    <w:rsid w:val="00E06084"/>
    <w:rsid w:val="00E3521E"/>
    <w:rsid w:val="00E91719"/>
    <w:rsid w:val="00F6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542F9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ko-K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1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804</Words>
  <Characters>4586</Characters>
  <Application>Microsoft Macintosh Word</Application>
  <DocSecurity>0</DocSecurity>
  <Lines>38</Lines>
  <Paragraphs>10</Paragraphs>
  <ScaleCrop>false</ScaleCrop>
  <LinksUpToDate>false</LinksUpToDate>
  <CharactersWithSpaces>5380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Hopin Lee</dc:creator>
  <cp:keywords/>
  <dc:description/>
  <cp:lastModifiedBy>Hopin Lee</cp:lastModifiedBy>
  <cp:revision>1</cp:revision>
  <dcterms:created xsi:type="dcterms:W3CDTF">2017-10-03T04:13:00Z</dcterms:created>
  <dcterms:modified xsi:type="dcterms:W3CDTF">2017-10-03T04:14:00Z</dcterms:modified>
</cp:coreProperties>
</file>