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A82" w:rsidRPr="00087C38" w:rsidRDefault="00BD7A82" w:rsidP="00BD7A82">
      <w:pPr>
        <w:pStyle w:val="Caption"/>
        <w:keepNext/>
        <w:rPr>
          <w:rFonts w:ascii="Times New Roman" w:hAnsi="Times New Roman" w:cs="Times New Roman"/>
          <w:i w:val="0"/>
          <w:color w:val="auto"/>
          <w:sz w:val="24"/>
          <w:szCs w:val="24"/>
        </w:rPr>
      </w:pPr>
      <w:r>
        <w:rPr>
          <w:rFonts w:ascii="Times New Roman" w:hAnsi="Times New Roman" w:cs="Times New Roman"/>
          <w:i w:val="0"/>
          <w:color w:val="auto"/>
          <w:sz w:val="24"/>
          <w:szCs w:val="24"/>
        </w:rPr>
        <w:t>Additional file 2</w:t>
      </w:r>
      <w:r w:rsidRPr="00087C38">
        <w:rPr>
          <w:rFonts w:ascii="Times New Roman" w:hAnsi="Times New Roman" w:cs="Times New Roman"/>
          <w:i w:val="0"/>
          <w:color w:val="auto"/>
          <w:sz w:val="24"/>
          <w:szCs w:val="24"/>
        </w:rPr>
        <w:t>. Abstraction Categories and Definitions</w:t>
      </w:r>
    </w:p>
    <w:tbl>
      <w:tblPr>
        <w:tblStyle w:val="TableGrid"/>
        <w:tblW w:w="9985" w:type="dxa"/>
        <w:tblLayout w:type="fixed"/>
        <w:tblLook w:val="04A0" w:firstRow="1" w:lastRow="0" w:firstColumn="1" w:lastColumn="0" w:noHBand="0" w:noVBand="1"/>
      </w:tblPr>
      <w:tblGrid>
        <w:gridCol w:w="2155"/>
        <w:gridCol w:w="7830"/>
      </w:tblGrid>
      <w:tr w:rsidR="00BD7A82" w:rsidRPr="00CF40B6" w:rsidTr="005E3A74">
        <w:tc>
          <w:tcPr>
            <w:tcW w:w="2155" w:type="dxa"/>
          </w:tcPr>
          <w:p w:rsidR="00BD7A82" w:rsidRPr="00CF40B6" w:rsidRDefault="00BD7A82" w:rsidP="005E3A74">
            <w:pPr>
              <w:rPr>
                <w:rFonts w:ascii="Times New Roman" w:hAnsi="Times New Roman" w:cs="Times New Roman"/>
                <w:b/>
                <w:sz w:val="20"/>
                <w:szCs w:val="20"/>
              </w:rPr>
            </w:pPr>
            <w:r>
              <w:rPr>
                <w:rFonts w:ascii="Times New Roman" w:hAnsi="Times New Roman" w:cs="Times New Roman"/>
                <w:b/>
                <w:sz w:val="20"/>
                <w:szCs w:val="20"/>
              </w:rPr>
              <w:t xml:space="preserve">Abstraction Category </w:t>
            </w:r>
          </w:p>
        </w:tc>
        <w:tc>
          <w:tcPr>
            <w:tcW w:w="7830" w:type="dxa"/>
          </w:tcPr>
          <w:p w:rsidR="00BD7A82" w:rsidRPr="00CF40B6" w:rsidRDefault="00BD7A82" w:rsidP="005E3A74">
            <w:pPr>
              <w:rPr>
                <w:rFonts w:ascii="Times New Roman" w:hAnsi="Times New Roman" w:cs="Times New Roman"/>
                <w:b/>
                <w:sz w:val="20"/>
                <w:szCs w:val="20"/>
              </w:rPr>
            </w:pPr>
            <w:r>
              <w:rPr>
                <w:rFonts w:ascii="Times New Roman" w:hAnsi="Times New Roman" w:cs="Times New Roman"/>
                <w:b/>
                <w:sz w:val="20"/>
                <w:szCs w:val="20"/>
              </w:rPr>
              <w:t>Definition</w:t>
            </w:r>
          </w:p>
        </w:tc>
      </w:tr>
      <w:tr w:rsidR="00BD7A82" w:rsidRPr="00CF40B6" w:rsidTr="005E3A74">
        <w:tc>
          <w:tcPr>
            <w:tcW w:w="9985" w:type="dxa"/>
            <w:gridSpan w:val="2"/>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Type of Modification</w:t>
            </w:r>
            <w:r w:rsidR="00B04BB0">
              <w:rPr>
                <w:rFonts w:ascii="Times New Roman" w:hAnsi="Times New Roman" w:cs="Times New Roman"/>
                <w:b/>
                <w:sz w:val="20"/>
                <w:szCs w:val="20"/>
              </w:rPr>
              <w:t xml:space="preserve"> (</w:t>
            </w:r>
            <w:proofErr w:type="spellStart"/>
            <w:r w:rsidR="00B04BB0">
              <w:rPr>
                <w:rFonts w:ascii="Times New Roman" w:hAnsi="Times New Roman" w:cs="Times New Roman"/>
                <w:b/>
                <w:sz w:val="20"/>
                <w:szCs w:val="20"/>
              </w:rPr>
              <w:t>Stirman</w:t>
            </w:r>
            <w:proofErr w:type="spellEnd"/>
            <w:r w:rsidR="00B04BB0">
              <w:rPr>
                <w:rFonts w:ascii="Times New Roman" w:hAnsi="Times New Roman" w:cs="Times New Roman"/>
                <w:b/>
                <w:sz w:val="20"/>
                <w:szCs w:val="20"/>
              </w:rPr>
              <w:t xml:space="preserve"> et al., 2013)</w:t>
            </w:r>
          </w:p>
        </w:tc>
      </w:tr>
      <w:tr w:rsidR="00BD7A82" w:rsidRPr="00CF40B6" w:rsidTr="005E3A74">
        <w:tc>
          <w:tcPr>
            <w:tcW w:w="2155" w:type="dxa"/>
            <w:shd w:val="clear" w:color="auto" w:fill="FFFFFF" w:themeFill="background1"/>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Content</w:t>
            </w:r>
          </w:p>
        </w:tc>
        <w:tc>
          <w:tcPr>
            <w:tcW w:w="7830" w:type="dxa"/>
            <w:shd w:val="clear" w:color="auto" w:fill="FFFFFF" w:themeFill="background1"/>
          </w:tcPr>
          <w:p w:rsidR="00BD7A82" w:rsidRPr="00B04BB0" w:rsidRDefault="00BD7A82" w:rsidP="00B04BB0">
            <w:pPr>
              <w:spacing w:after="120"/>
              <w:rPr>
                <w:rFonts w:ascii="Times New Roman" w:eastAsia="Times New Roman" w:hAnsi="Times New Roman" w:cs="Times New Roman"/>
                <w:color w:val="000000"/>
                <w:sz w:val="20"/>
                <w:szCs w:val="20"/>
              </w:rPr>
            </w:pPr>
            <w:r w:rsidRPr="00B04BB0">
              <w:rPr>
                <w:rFonts w:ascii="Times New Roman" w:eastAsia="Times New Roman" w:hAnsi="Times New Roman" w:cs="Times New Roman"/>
                <w:color w:val="000000"/>
                <w:sz w:val="20"/>
                <w:szCs w:val="20"/>
              </w:rPr>
              <w:t xml:space="preserve">Modifications made to the materials/content itself, or that impact how aspects of the treatment are delivered. </w:t>
            </w:r>
          </w:p>
        </w:tc>
      </w:tr>
      <w:tr w:rsidR="00BD7A82" w:rsidRPr="00CF40B6" w:rsidTr="005E3A74">
        <w:tc>
          <w:tcPr>
            <w:tcW w:w="2155" w:type="dxa"/>
          </w:tcPr>
          <w:p w:rsidR="00BD7A82" w:rsidRPr="00CF40B6" w:rsidRDefault="00BD7A82" w:rsidP="005E3A74">
            <w:pPr>
              <w:ind w:left="720" w:hanging="563"/>
              <w:rPr>
                <w:rFonts w:ascii="Times New Roman" w:hAnsi="Times New Roman" w:cs="Times New Roman"/>
                <w:sz w:val="20"/>
                <w:szCs w:val="20"/>
              </w:rPr>
            </w:pPr>
            <w:r w:rsidRPr="00CF40B6">
              <w:rPr>
                <w:rFonts w:ascii="Times New Roman" w:hAnsi="Times New Roman" w:cs="Times New Roman"/>
                <w:sz w:val="20"/>
                <w:szCs w:val="20"/>
              </w:rPr>
              <w:t>1) Tailoring</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“Any minor change </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that leaves all the major intervention principles and techniques intact while making the intervention more appropriate, applicable, or acceptable (e.g., modifying language, creating slightly different version of handouts</w:t>
            </w:r>
            <w:r>
              <w:rPr>
                <w:rFonts w:ascii="Times New Roman" w:eastAsia="Times New Roman" w:hAnsi="Times New Roman" w:cs="Times New Roman"/>
                <w:color w:val="000000"/>
                <w:sz w:val="20"/>
                <w:szCs w:val="20"/>
              </w:rPr>
              <w:t xml:space="preserve"> … </w:t>
            </w:r>
            <w:r w:rsidRPr="00CF40B6">
              <w:rPr>
                <w:rFonts w:ascii="Times New Roman" w:eastAsia="Times New Roman" w:hAnsi="Times New Roman" w:cs="Times New Roman"/>
                <w:color w:val="000000"/>
                <w:sz w:val="20"/>
                <w:szCs w:val="20"/>
              </w:rPr>
              <w:t xml:space="preserve">cultural adaptations).”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2) Adding elements</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“Additional materials or activities </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 xml:space="preserve">that are consistent with the fundamentals of the intervention (e.g., adding role play exercises to a unit on assertiveness in a substance abuse prevention intervention, adding new disease topics).” </w:t>
            </w:r>
          </w:p>
        </w:tc>
      </w:tr>
      <w:tr w:rsidR="00BD7A82" w:rsidRPr="00CF40B6" w:rsidTr="005E3A74">
        <w:tc>
          <w:tcPr>
            <w:tcW w:w="2155" w:type="dxa"/>
          </w:tcPr>
          <w:p w:rsidR="00BD7A82" w:rsidRPr="00CF40B6" w:rsidRDefault="00BD7A82" w:rsidP="005E3A74">
            <w:pPr>
              <w:ind w:left="427" w:hanging="270"/>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 xml:space="preserve">3) Removing </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elements</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“Particular elements of the intervention are not included (e.g., leaving out a demonstration on condom use in an HIV prevention intervention for adolescents).”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4) Shortening</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[Less] … </w:t>
            </w:r>
            <w:r w:rsidRPr="00CF40B6">
              <w:rPr>
                <w:rFonts w:ascii="Times New Roman" w:eastAsia="Times New Roman" w:hAnsi="Times New Roman" w:cs="Times New Roman"/>
                <w:color w:val="000000"/>
                <w:sz w:val="20"/>
                <w:szCs w:val="20"/>
              </w:rPr>
              <w:t xml:space="preserve">time than prescribed is used to complete the intervention/ session(s) (e.g., shorter spacing between sessions, or shortening sessions, </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 xml:space="preserve">fewer sessions, or going through particular modules or concepts more quickly without skipping materials).”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5) Lengthening</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[More] …</w:t>
            </w:r>
            <w:r w:rsidRPr="00CF40B6">
              <w:rPr>
                <w:rFonts w:ascii="Times New Roman" w:eastAsia="Times New Roman" w:hAnsi="Times New Roman" w:cs="Times New Roman"/>
                <w:color w:val="000000"/>
                <w:sz w:val="20"/>
                <w:szCs w:val="20"/>
              </w:rPr>
              <w:t xml:space="preserve"> time than prescribed</w:t>
            </w:r>
            <w:r>
              <w:rPr>
                <w:rFonts w:ascii="Times New Roman" w:eastAsia="Times New Roman" w:hAnsi="Times New Roman" w:cs="Times New Roman"/>
                <w:color w:val="000000"/>
                <w:sz w:val="20"/>
                <w:szCs w:val="20"/>
              </w:rPr>
              <w:t xml:space="preserve"> … </w:t>
            </w:r>
            <w:r w:rsidRPr="00CF40B6">
              <w:rPr>
                <w:rFonts w:ascii="Times New Roman" w:eastAsia="Times New Roman" w:hAnsi="Times New Roman" w:cs="Times New Roman"/>
                <w:color w:val="000000"/>
                <w:sz w:val="20"/>
                <w:szCs w:val="20"/>
              </w:rPr>
              <w:t xml:space="preserve">is spent to complete the intervention or </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 xml:space="preserve">sessions (e.g., greater spacing between sessions, longer sessions, more sessions, or spending more time on one or more modules/activities or concepts).”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6) Substitution</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“A module or activity (e.g., game) is replaced with something that is different in substance (e.g., replacing a module on condoms with one on abstinence</w:t>
            </w:r>
            <w:r>
              <w:rPr>
                <w:rFonts w:ascii="Times New Roman" w:eastAsia="Times New Roman" w:hAnsi="Times New Roman" w:cs="Times New Roman"/>
                <w:color w:val="000000"/>
                <w:sz w:val="20"/>
                <w:szCs w:val="20"/>
              </w:rPr>
              <w:t xml:space="preserve"> …</w:t>
            </w:r>
            <w:r w:rsidRPr="00CF40B6">
              <w:rPr>
                <w:rFonts w:ascii="Times New Roman" w:eastAsia="Times New Roman" w:hAnsi="Times New Roman" w:cs="Times New Roman"/>
                <w:color w:val="000000"/>
                <w:sz w:val="20"/>
                <w:szCs w:val="20"/>
              </w:rPr>
              <w:t xml:space="preserve">).”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Pr>
                <w:rFonts w:ascii="Times New Roman" w:eastAsia="Times New Roman" w:hAnsi="Times New Roman" w:cs="Times New Roman"/>
                <w:color w:val="000000"/>
                <w:sz w:val="20"/>
                <w:szCs w:val="20"/>
              </w:rPr>
              <w:t>7</w:t>
            </w:r>
            <w:r w:rsidRPr="00CF40B6">
              <w:rPr>
                <w:rFonts w:ascii="Times New Roman" w:eastAsia="Times New Roman" w:hAnsi="Times New Roman" w:cs="Times New Roman"/>
                <w:color w:val="000000"/>
                <w:sz w:val="20"/>
                <w:szCs w:val="20"/>
              </w:rPr>
              <w:t>) Reorder elements</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“Modules/activities or concepts are completed in a different order from what is recommended </w:t>
            </w:r>
            <w:r>
              <w:rPr>
                <w:rFonts w:ascii="Times New Roman" w:eastAsia="Times New Roman" w:hAnsi="Times New Roman" w:cs="Times New Roman"/>
                <w:color w:val="000000"/>
                <w:sz w:val="20"/>
                <w:szCs w:val="20"/>
              </w:rPr>
              <w:t>…</w:t>
            </w:r>
            <w:r w:rsidRPr="00CF40B6">
              <w:rPr>
                <w:rFonts w:ascii="Times New Roman" w:eastAsia="Times New Roman" w:hAnsi="Times New Roman" w:cs="Times New Roman"/>
                <w:color w:val="000000"/>
                <w:sz w:val="20"/>
                <w:szCs w:val="20"/>
              </w:rPr>
              <w:t xml:space="preserve"> This code would not be applied if the protocol allows flexibility in the order</w:t>
            </w:r>
            <w:r>
              <w:rPr>
                <w:rFonts w:ascii="Times New Roman" w:eastAsia="Times New Roman" w:hAnsi="Times New Roman" w:cs="Times New Roman"/>
                <w:color w:val="000000"/>
                <w:sz w:val="20"/>
                <w:szCs w:val="20"/>
              </w:rPr>
              <w:t xml:space="preserve"> … </w:t>
            </w:r>
            <w:r w:rsidRPr="00CF40B6">
              <w:rPr>
                <w:rFonts w:ascii="Times New Roman" w:eastAsia="Times New Roman" w:hAnsi="Times New Roman" w:cs="Times New Roman"/>
                <w:color w:val="000000"/>
                <w:sz w:val="20"/>
                <w:szCs w:val="20"/>
              </w:rPr>
              <w:t xml:space="preserve">” </w:t>
            </w:r>
          </w:p>
        </w:tc>
      </w:tr>
      <w:tr w:rsidR="00BD7A82" w:rsidRPr="00CF40B6" w:rsidTr="005E3A74">
        <w:tc>
          <w:tcPr>
            <w:tcW w:w="2155" w:type="dxa"/>
          </w:tcPr>
          <w:p w:rsidR="00BD7A82" w:rsidRPr="00CF40B6" w:rsidRDefault="00BD7A82" w:rsidP="005E3A74">
            <w:pPr>
              <w:ind w:left="337" w:hanging="180"/>
              <w:rPr>
                <w:rFonts w:ascii="Times New Roman" w:hAnsi="Times New Roman" w:cs="Times New Roman"/>
                <w:sz w:val="20"/>
                <w:szCs w:val="20"/>
              </w:rPr>
            </w:pPr>
            <w:r>
              <w:rPr>
                <w:rFonts w:ascii="Times New Roman" w:eastAsia="Times New Roman" w:hAnsi="Times New Roman" w:cs="Times New Roman"/>
                <w:color w:val="000000"/>
                <w:sz w:val="20"/>
                <w:szCs w:val="20"/>
              </w:rPr>
              <w:t>8</w:t>
            </w:r>
            <w:r w:rsidRPr="00CF40B6">
              <w:rPr>
                <w:rFonts w:ascii="Times New Roman" w:eastAsia="Times New Roman" w:hAnsi="Times New Roman" w:cs="Times New Roman"/>
                <w:color w:val="000000"/>
                <w:sz w:val="20"/>
                <w:szCs w:val="20"/>
              </w:rPr>
              <w:t>) Integrating other approach</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intervention of interest is used as the starting point, but aspects of different therapeutic approaches or interventions are also used (e.g., integrating an ‘empty chair’ exercise into a ‘CBT for Depression’ treatment protocol).” </w:t>
            </w:r>
          </w:p>
        </w:tc>
      </w:tr>
      <w:tr w:rsidR="00BD7A82" w:rsidRPr="00CF40B6" w:rsidTr="005E3A74">
        <w:tc>
          <w:tcPr>
            <w:tcW w:w="2155" w:type="dxa"/>
          </w:tcPr>
          <w:p w:rsidR="00BD7A82" w:rsidRPr="00CF40B6" w:rsidRDefault="00BD7A82" w:rsidP="005E3A74">
            <w:pPr>
              <w:ind w:left="337" w:hanging="180"/>
              <w:rPr>
                <w:rFonts w:ascii="Times New Roman" w:hAnsi="Times New Roman" w:cs="Times New Roman"/>
                <w:sz w:val="20"/>
                <w:szCs w:val="20"/>
              </w:rPr>
            </w:pPr>
            <w:r>
              <w:rPr>
                <w:rFonts w:ascii="Times New Roman" w:eastAsia="Times New Roman" w:hAnsi="Times New Roman" w:cs="Times New Roman"/>
                <w:color w:val="000000"/>
                <w:sz w:val="20"/>
                <w:szCs w:val="20"/>
              </w:rPr>
              <w:t>9</w:t>
            </w:r>
            <w:r w:rsidRPr="00CF40B6">
              <w:rPr>
                <w:rFonts w:ascii="Times New Roman" w:eastAsia="Times New Roman" w:hAnsi="Times New Roman" w:cs="Times New Roman"/>
                <w:color w:val="000000"/>
                <w:sz w:val="20"/>
                <w:szCs w:val="20"/>
              </w:rPr>
              <w:t>) Integrating intervention</w:t>
            </w:r>
          </w:p>
        </w:tc>
        <w:tc>
          <w:tcPr>
            <w:tcW w:w="7830" w:type="dxa"/>
          </w:tcPr>
          <w:p w:rsidR="00BD7A82" w:rsidRPr="00CF40B6" w:rsidRDefault="00BD7A82" w:rsidP="00B04BB0">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“Another intervention is used as the starting point, but elements of the intervention of interest are introduced (e.g., integrating motivational enhancement strategies into a weight loss intervention protocol).” </w:t>
            </w:r>
          </w:p>
        </w:tc>
      </w:tr>
      <w:tr w:rsidR="00BD7A82" w:rsidRPr="00CF40B6" w:rsidTr="005E3A74">
        <w:tc>
          <w:tcPr>
            <w:tcW w:w="2155" w:type="dxa"/>
          </w:tcPr>
          <w:p w:rsidR="00BD7A82" w:rsidRPr="00CF40B6" w:rsidRDefault="00BD7A82" w:rsidP="005E3A74">
            <w:pPr>
              <w:ind w:left="427" w:hanging="360"/>
              <w:rPr>
                <w:rFonts w:ascii="Times New Roman" w:hAnsi="Times New Roman" w:cs="Times New Roman"/>
                <w:sz w:val="20"/>
                <w:szCs w:val="20"/>
              </w:rPr>
            </w:pPr>
            <w:r>
              <w:rPr>
                <w:rFonts w:ascii="Times New Roman" w:eastAsia="Times New Roman" w:hAnsi="Times New Roman" w:cs="Times New Roman"/>
                <w:color w:val="000000"/>
                <w:sz w:val="20"/>
                <w:szCs w:val="20"/>
              </w:rPr>
              <w:t>10</w:t>
            </w:r>
            <w:r w:rsidRPr="00CF40B6">
              <w:rPr>
                <w:rFonts w:ascii="Times New Roman" w:eastAsia="Times New Roman" w:hAnsi="Times New Roman" w:cs="Times New Roman"/>
                <w:color w:val="000000"/>
                <w:sz w:val="20"/>
                <w:szCs w:val="20"/>
              </w:rPr>
              <w:t>) Repeating elements</w:t>
            </w:r>
          </w:p>
        </w:tc>
        <w:tc>
          <w:tcPr>
            <w:tcW w:w="7830" w:type="dxa"/>
          </w:tcPr>
          <w:p w:rsidR="00BD7A82" w:rsidRPr="00CF40B6" w:rsidRDefault="00BD7A82" w:rsidP="00B04BB0">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“One or more modules, sessions, or activities that are normally prescribed or conducted once during a protocol are used more than once.” </w:t>
            </w:r>
          </w:p>
        </w:tc>
      </w:tr>
      <w:tr w:rsidR="00BD7A82" w:rsidRPr="00CF40B6" w:rsidTr="005E3A74">
        <w:tc>
          <w:tcPr>
            <w:tcW w:w="2155" w:type="dxa"/>
          </w:tcPr>
          <w:p w:rsidR="00BD7A82" w:rsidRPr="00CF40B6" w:rsidRDefault="00BD7A82" w:rsidP="005E3A74">
            <w:pPr>
              <w:ind w:left="427" w:hanging="360"/>
              <w:rPr>
                <w:rFonts w:ascii="Times New Roman" w:hAnsi="Times New Roman" w:cs="Times New Roman"/>
                <w:sz w:val="20"/>
                <w:szCs w:val="20"/>
              </w:rPr>
            </w:pPr>
            <w:r>
              <w:rPr>
                <w:rFonts w:ascii="Times New Roman" w:eastAsia="Times New Roman" w:hAnsi="Times New Roman" w:cs="Times New Roman"/>
                <w:color w:val="000000"/>
                <w:sz w:val="20"/>
                <w:szCs w:val="20"/>
              </w:rPr>
              <w:t>11</w:t>
            </w:r>
            <w:r w:rsidRPr="00CF40B6">
              <w:rPr>
                <w:rFonts w:ascii="Times New Roman" w:eastAsia="Times New Roman" w:hAnsi="Times New Roman" w:cs="Times New Roman"/>
                <w:color w:val="000000"/>
                <w:sz w:val="20"/>
                <w:szCs w:val="20"/>
              </w:rPr>
              <w:t>) Loosening structure</w:t>
            </w:r>
          </w:p>
        </w:tc>
        <w:tc>
          <w:tcPr>
            <w:tcW w:w="7830" w:type="dxa"/>
          </w:tcPr>
          <w:p w:rsidR="00BD7A82" w:rsidRPr="00CF40B6" w:rsidRDefault="00BD7A82" w:rsidP="00B04BB0">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“Elements intended to structure intervention sessions do not occur as prescribed in the manual/ protocol (e.g., the ‘check-in’ at the beginning of a group intervention is less formally structured; clinician does not follow an agenda that was established at the beginning of the session).” </w:t>
            </w:r>
          </w:p>
        </w:tc>
      </w:tr>
      <w:tr w:rsidR="00BD7A82" w:rsidRPr="00CF40B6" w:rsidTr="005E3A74">
        <w:tc>
          <w:tcPr>
            <w:tcW w:w="2155" w:type="dxa"/>
          </w:tcPr>
          <w:p w:rsidR="00BD7A82" w:rsidRPr="00CF40B6" w:rsidRDefault="00BD7A82" w:rsidP="005E3A74">
            <w:pPr>
              <w:ind w:firstLine="67"/>
              <w:rPr>
                <w:rFonts w:ascii="Times New Roman" w:hAnsi="Times New Roman" w:cs="Times New Roman"/>
                <w:sz w:val="20"/>
                <w:szCs w:val="20"/>
              </w:rPr>
            </w:pPr>
            <w:r>
              <w:rPr>
                <w:rFonts w:ascii="Times New Roman" w:eastAsia="Times New Roman" w:hAnsi="Times New Roman" w:cs="Times New Roman"/>
                <w:color w:val="000000"/>
                <w:sz w:val="20"/>
                <w:szCs w:val="20"/>
              </w:rPr>
              <w:t>12</w:t>
            </w:r>
            <w:r w:rsidRPr="00CF40B6">
              <w:rPr>
                <w:rFonts w:ascii="Times New Roman" w:eastAsia="Times New Roman" w:hAnsi="Times New Roman" w:cs="Times New Roman"/>
                <w:color w:val="000000"/>
                <w:sz w:val="20"/>
                <w:szCs w:val="20"/>
              </w:rPr>
              <w:t>) Departing</w:t>
            </w:r>
          </w:p>
        </w:tc>
        <w:tc>
          <w:tcPr>
            <w:tcW w:w="7830" w:type="dxa"/>
          </w:tcPr>
          <w:p w:rsidR="00BD7A82" w:rsidRPr="00CF40B6" w:rsidRDefault="00BD7A82" w:rsidP="00B04BB0">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intervention is not used in a particular situation or the intervention is stopped, whether this stoppage was for part of a session or a decision to discontinue the intervention altogether (e.g., ‘this client was so upset that I just spent the rest of today’s session letting him talk about it instead of addressing his health behaviors’).” </w:t>
            </w:r>
          </w:p>
        </w:tc>
      </w:tr>
      <w:tr w:rsidR="00BD7A82" w:rsidRPr="00B54C9F" w:rsidTr="005E3A74">
        <w:tc>
          <w:tcPr>
            <w:tcW w:w="2155" w:type="dxa"/>
            <w:shd w:val="clear" w:color="auto" w:fill="FFFFFF" w:themeFill="background1"/>
          </w:tcPr>
          <w:p w:rsidR="00BD7A82" w:rsidRPr="00B54C9F" w:rsidRDefault="00BD7A82" w:rsidP="005E3A74">
            <w:pPr>
              <w:rPr>
                <w:rFonts w:ascii="Times New Roman" w:hAnsi="Times New Roman" w:cs="Times New Roman"/>
                <w:b/>
                <w:sz w:val="20"/>
                <w:szCs w:val="20"/>
              </w:rPr>
            </w:pPr>
            <w:r w:rsidRPr="00B54C9F">
              <w:rPr>
                <w:rFonts w:ascii="Times New Roman" w:eastAsia="Times New Roman" w:hAnsi="Times New Roman" w:cs="Times New Roman"/>
                <w:b/>
                <w:color w:val="000000"/>
                <w:sz w:val="20"/>
                <w:szCs w:val="20"/>
              </w:rPr>
              <w:lastRenderedPageBreak/>
              <w:t>Cultural</w:t>
            </w:r>
          </w:p>
        </w:tc>
        <w:tc>
          <w:tcPr>
            <w:tcW w:w="7830" w:type="dxa"/>
            <w:shd w:val="clear" w:color="auto" w:fill="FFFFFF" w:themeFill="background1"/>
          </w:tcPr>
          <w:p w:rsidR="00BD7A82" w:rsidRPr="00B04BB0" w:rsidRDefault="00BD7A82" w:rsidP="005E3A74">
            <w:pPr>
              <w:spacing w:after="120"/>
              <w:rPr>
                <w:rFonts w:ascii="Times New Roman" w:eastAsia="Times New Roman" w:hAnsi="Times New Roman" w:cs="Times New Roman"/>
                <w:color w:val="000000"/>
                <w:sz w:val="20"/>
                <w:szCs w:val="20"/>
              </w:rPr>
            </w:pPr>
            <w:r w:rsidRPr="00B04BB0">
              <w:rPr>
                <w:rFonts w:ascii="Times New Roman" w:eastAsia="Times New Roman" w:hAnsi="Times New Roman" w:cs="Times New Roman"/>
                <w:color w:val="000000"/>
                <w:sz w:val="20"/>
                <w:szCs w:val="20"/>
              </w:rPr>
              <w:t>Authors mention adapting the intervention to make it more culturally appropriate, with or without referencing a specific framework.</w:t>
            </w:r>
            <w:r w:rsidRPr="00B04BB0">
              <w:rPr>
                <w:rFonts w:ascii="Times New Roman" w:eastAsia="Times New Roman" w:hAnsi="Times New Roman" w:cs="Times New Roman"/>
                <w:color w:val="000000"/>
                <w:sz w:val="20"/>
                <w:szCs w:val="20"/>
              </w:rPr>
              <w:fldChar w:fldCharType="begin"/>
            </w:r>
            <w:r w:rsidRPr="00B04BB0">
              <w:rPr>
                <w:rFonts w:ascii="Times New Roman" w:eastAsia="Times New Roman" w:hAnsi="Times New Roman" w:cs="Times New Roman"/>
                <w:color w:val="000000"/>
                <w:sz w:val="20"/>
                <w:szCs w:val="20"/>
              </w:rPr>
              <w:instrText xml:space="preserve"> ADDIN EN.CITE &lt;EndNote&gt;&lt;Cite&gt;&lt;Author&gt;Castro&lt;/Author&gt;&lt;Year&gt;2004&lt;/Year&gt;&lt;RecNum&gt;134&lt;/RecNum&gt;&lt;DisplayText&gt;[2]&lt;/DisplayText&gt;&lt;record&gt;&lt;rec-number&gt;134&lt;/rec-number&gt;&lt;foreign-keys&gt;&lt;key app="EN" db-id="tx0f0dtw6ad2zpeewv7vx2vcv0rpp5s9z0t0" timestamp="1471265208"&gt;134&lt;/key&gt;&lt;/foreign-keys&gt;&lt;ref-type name="Journal Article"&gt;17&lt;/ref-type&gt;&lt;contributors&gt;&lt;authors&gt;&lt;author&gt;Castro, Felipe González&lt;/author&gt;&lt;author&gt;Barrera Jr, Manuel&lt;/author&gt;&lt;author&gt;Martinez Jr, Charles R&lt;/author&gt;&lt;/authors&gt;&lt;/contributors&gt;&lt;titles&gt;&lt;title&gt;The cultural adaptation of prevention interventions: Resolving tensions between fidelity and fit&lt;/title&gt;&lt;secondary-title&gt;Prevention Science&lt;/secondary-title&gt;&lt;/titles&gt;&lt;periodical&gt;&lt;full-title&gt;Prevention Science&lt;/full-title&gt;&lt;/periodical&gt;&lt;pages&gt;41-45&lt;/pages&gt;&lt;volume&gt;5&lt;/volume&gt;&lt;number&gt;1&lt;/number&gt;&lt;dates&gt;&lt;year&gt;2004&lt;/year&gt;&lt;/dates&gt;&lt;isbn&gt;1389-4986&lt;/isbn&gt;&lt;urls&gt;&lt;/urls&gt;&lt;/record&gt;&lt;/Cite&gt;&lt;/EndNote&gt;</w:instrText>
            </w:r>
            <w:r w:rsidRPr="00B04BB0">
              <w:rPr>
                <w:rFonts w:ascii="Times New Roman" w:eastAsia="Times New Roman" w:hAnsi="Times New Roman" w:cs="Times New Roman"/>
                <w:color w:val="000000"/>
                <w:sz w:val="20"/>
                <w:szCs w:val="20"/>
              </w:rPr>
              <w:fldChar w:fldCharType="separate"/>
            </w:r>
            <w:r w:rsidRPr="00B04BB0">
              <w:rPr>
                <w:rFonts w:ascii="Times New Roman" w:eastAsia="Times New Roman" w:hAnsi="Times New Roman" w:cs="Times New Roman"/>
                <w:noProof/>
                <w:color w:val="000000"/>
                <w:sz w:val="20"/>
                <w:szCs w:val="20"/>
              </w:rPr>
              <w:t>[2]</w:t>
            </w:r>
            <w:r w:rsidRPr="00B04BB0">
              <w:rPr>
                <w:rFonts w:ascii="Times New Roman" w:eastAsia="Times New Roman" w:hAnsi="Times New Roman" w:cs="Times New Roman"/>
                <w:color w:val="000000"/>
                <w:sz w:val="20"/>
                <w:szCs w:val="20"/>
              </w:rPr>
              <w:fldChar w:fldCharType="end"/>
            </w:r>
          </w:p>
        </w:tc>
      </w:tr>
      <w:tr w:rsidR="00BD7A82" w:rsidRPr="00CF40B6" w:rsidTr="005E3A74">
        <w:tc>
          <w:tcPr>
            <w:tcW w:w="2155" w:type="dxa"/>
            <w:shd w:val="clear" w:color="auto" w:fill="FFFFFF" w:themeFill="background1"/>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Context</w:t>
            </w:r>
          </w:p>
        </w:tc>
        <w:tc>
          <w:tcPr>
            <w:tcW w:w="7830" w:type="dxa"/>
            <w:shd w:val="clear" w:color="auto" w:fill="FFFFFF" w:themeFill="background1"/>
          </w:tcPr>
          <w:p w:rsidR="00BD7A82" w:rsidRPr="00B04BB0" w:rsidRDefault="00BD7A82" w:rsidP="005E3A74">
            <w:pPr>
              <w:spacing w:after="120"/>
              <w:rPr>
                <w:rFonts w:ascii="Times New Roman" w:eastAsia="Times New Roman" w:hAnsi="Times New Roman" w:cs="Times New Roman"/>
                <w:color w:val="000000"/>
                <w:sz w:val="20"/>
                <w:szCs w:val="20"/>
              </w:rPr>
            </w:pPr>
            <w:r w:rsidRPr="00B04BB0">
              <w:rPr>
                <w:rFonts w:ascii="Times New Roman" w:eastAsia="Times New Roman" w:hAnsi="Times New Roman" w:cs="Times New Roman"/>
                <w:color w:val="000000"/>
                <w:sz w:val="20"/>
                <w:szCs w:val="20"/>
              </w:rPr>
              <w:t xml:space="preserve">Modifications made to the setting or population.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1) Setting</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“Intervention is being delivered in a different location or setting (e.g., a treatment originally designed to be used in a mental health clinic setting that is now delivered in primary care).” </w:t>
            </w:r>
          </w:p>
        </w:tc>
      </w:tr>
      <w:tr w:rsidR="00BD7A82" w:rsidRPr="00CF40B6" w:rsidTr="005E3A74">
        <w:tc>
          <w:tcPr>
            <w:tcW w:w="2155" w:type="dxa"/>
          </w:tcPr>
          <w:p w:rsidR="00BD7A82" w:rsidRPr="00CF40B6" w:rsidRDefault="00BD7A82" w:rsidP="005E3A74">
            <w:pPr>
              <w:ind w:firstLine="157"/>
              <w:rPr>
                <w:rFonts w:ascii="Times New Roman" w:hAnsi="Times New Roman" w:cs="Times New Roman"/>
                <w:sz w:val="20"/>
                <w:szCs w:val="20"/>
              </w:rPr>
            </w:pPr>
            <w:r w:rsidRPr="00CF40B6">
              <w:rPr>
                <w:rFonts w:ascii="Times New Roman" w:eastAsia="Times New Roman" w:hAnsi="Times New Roman" w:cs="Times New Roman"/>
                <w:color w:val="000000"/>
                <w:sz w:val="20"/>
                <w:szCs w:val="20"/>
              </w:rPr>
              <w:t>2) Population</w:t>
            </w:r>
          </w:p>
        </w:tc>
        <w:tc>
          <w:tcPr>
            <w:tcW w:w="7830" w:type="dxa"/>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“An intervention that was specifically developed to target a particular population is being delivered to a different population than originally intended (e.g., an intervention developed for patients with Borderline Personality Disorder is now being delivered to individuals with Substance Dependence).” </w:t>
            </w:r>
          </w:p>
        </w:tc>
      </w:tr>
      <w:tr w:rsidR="00BD7A82" w:rsidRPr="00CF40B6" w:rsidTr="005E3A74">
        <w:tc>
          <w:tcPr>
            <w:tcW w:w="2155" w:type="dxa"/>
            <w:shd w:val="clear" w:color="auto" w:fill="FFFFFF" w:themeFill="background1"/>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Delivery</w:t>
            </w:r>
          </w:p>
        </w:tc>
        <w:tc>
          <w:tcPr>
            <w:tcW w:w="7830" w:type="dxa"/>
            <w:shd w:val="clear" w:color="auto" w:fill="FFFFFF" w:themeFill="background1"/>
          </w:tcPr>
          <w:p w:rsidR="00BD7A82" w:rsidRPr="00B04BB0" w:rsidRDefault="00BD7A82" w:rsidP="005E3A74">
            <w:pPr>
              <w:spacing w:after="120"/>
              <w:rPr>
                <w:rFonts w:ascii="Times New Roman" w:eastAsia="Times New Roman" w:hAnsi="Times New Roman" w:cs="Times New Roman"/>
                <w:color w:val="000000"/>
                <w:sz w:val="20"/>
                <w:szCs w:val="20"/>
              </w:rPr>
            </w:pPr>
            <w:r w:rsidRPr="00B04BB0">
              <w:rPr>
                <w:rFonts w:ascii="Times New Roman" w:eastAsia="Times New Roman" w:hAnsi="Times New Roman" w:cs="Times New Roman"/>
                <w:color w:val="000000"/>
                <w:sz w:val="20"/>
                <w:szCs w:val="20"/>
              </w:rPr>
              <w:t xml:space="preserve">Modifications made to the mode/medium of program delivery or to the implementers/deliverers. </w:t>
            </w:r>
          </w:p>
        </w:tc>
      </w:tr>
      <w:tr w:rsidR="00BD7A82" w:rsidRPr="00CF40B6" w:rsidTr="005E3A74">
        <w:tc>
          <w:tcPr>
            <w:tcW w:w="2155" w:type="dxa"/>
            <w:shd w:val="clear" w:color="auto" w:fill="auto"/>
          </w:tcPr>
          <w:p w:rsidR="00BD7A82" w:rsidRPr="00CF40B6" w:rsidRDefault="00BD7A82" w:rsidP="005E3A74">
            <w:pPr>
              <w:ind w:firstLine="157"/>
              <w:rPr>
                <w:rFonts w:ascii="Times New Roman" w:hAnsi="Times New Roman" w:cs="Times New Roman"/>
                <w:b/>
                <w:sz w:val="20"/>
                <w:szCs w:val="20"/>
              </w:rPr>
            </w:pPr>
            <w:r w:rsidRPr="00CF40B6">
              <w:rPr>
                <w:rFonts w:ascii="Times New Roman" w:hAnsi="Times New Roman" w:cs="Times New Roman"/>
                <w:sz w:val="20"/>
                <w:szCs w:val="20"/>
              </w:rPr>
              <w:t>1) Mode/Medium</w:t>
            </w:r>
          </w:p>
        </w:tc>
        <w:tc>
          <w:tcPr>
            <w:tcW w:w="7830" w:type="dxa"/>
            <w:shd w:val="clear" w:color="auto" w:fill="auto"/>
          </w:tcPr>
          <w:p w:rsidR="00BD7A82" w:rsidRPr="00CF40B6" w:rsidRDefault="00BD7A82" w:rsidP="005E3A74">
            <w:pPr>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“Changes are made to the format or channel of treatment delivery (e.g., a treatment originally designed to be used one-on-one that is now delivered in a group format, a change from print to tech-based medium).” </w:t>
            </w:r>
          </w:p>
        </w:tc>
      </w:tr>
      <w:tr w:rsidR="00BD7A82" w:rsidRPr="00CF40B6" w:rsidTr="005E3A74">
        <w:trPr>
          <w:trHeight w:val="1025"/>
        </w:trPr>
        <w:tc>
          <w:tcPr>
            <w:tcW w:w="2155" w:type="dxa"/>
            <w:shd w:val="clear" w:color="auto" w:fill="auto"/>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2) Deliverer</w:t>
            </w:r>
          </w:p>
        </w:tc>
        <w:tc>
          <w:tcPr>
            <w:tcW w:w="7830" w:type="dxa"/>
            <w:shd w:val="clear" w:color="auto" w:fill="auto"/>
          </w:tcPr>
          <w:p w:rsidR="00BD7A82" w:rsidRPr="00CF40B6" w:rsidRDefault="00BD7A82" w:rsidP="005E3A74">
            <w:pPr>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intervention is being delivered by personnel with different characteristics (e.g., a treatment originally designed to be administered by a mental health professional is now delivered by clergy).” </w:t>
            </w:r>
          </w:p>
        </w:tc>
      </w:tr>
      <w:tr w:rsidR="00BD7A82" w:rsidRPr="00CF40B6" w:rsidTr="005E3A74">
        <w:tc>
          <w:tcPr>
            <w:tcW w:w="2155" w:type="dxa"/>
            <w:shd w:val="clear" w:color="auto" w:fill="FFFFFF" w:themeFill="background1"/>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Training</w:t>
            </w:r>
          </w:p>
        </w:tc>
        <w:tc>
          <w:tcPr>
            <w:tcW w:w="7830" w:type="dxa"/>
            <w:shd w:val="clear" w:color="auto" w:fill="FFFFFF" w:themeFill="background1"/>
          </w:tcPr>
          <w:p w:rsidR="00BD7A82" w:rsidRPr="00CF40B6" w:rsidRDefault="00BD7A82" w:rsidP="005E3A74">
            <w:pPr>
              <w:spacing w:after="120"/>
              <w:rPr>
                <w:rFonts w:ascii="Times New Roman" w:eastAsia="Times New Roman" w:hAnsi="Times New Roman" w:cs="Times New Roman"/>
                <w:b/>
                <w:color w:val="000000"/>
                <w:sz w:val="20"/>
                <w:szCs w:val="20"/>
              </w:rPr>
            </w:pPr>
            <w:r w:rsidRPr="00CF40B6">
              <w:rPr>
                <w:rFonts w:ascii="Times New Roman" w:eastAsia="Times New Roman" w:hAnsi="Times New Roman" w:cs="Times New Roman"/>
                <w:b/>
                <w:color w:val="000000"/>
                <w:sz w:val="20"/>
                <w:szCs w:val="20"/>
              </w:rPr>
              <w:t xml:space="preserve">Modifications made to the procedures for training personnel. </w:t>
            </w:r>
          </w:p>
        </w:tc>
      </w:tr>
      <w:tr w:rsidR="00BD7A82" w:rsidRPr="00CF40B6" w:rsidTr="005E3A74">
        <w:tc>
          <w:tcPr>
            <w:tcW w:w="2155" w:type="dxa"/>
            <w:shd w:val="clear" w:color="auto" w:fill="FFFFFF" w:themeFill="background1"/>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Evaluation</w:t>
            </w:r>
          </w:p>
        </w:tc>
        <w:tc>
          <w:tcPr>
            <w:tcW w:w="7830" w:type="dxa"/>
            <w:shd w:val="clear" w:color="auto" w:fill="FFFFFF" w:themeFill="background1"/>
          </w:tcPr>
          <w:p w:rsidR="00BD7A82" w:rsidRPr="00CF40B6" w:rsidRDefault="00BD7A82" w:rsidP="005E3A74">
            <w:pPr>
              <w:spacing w:after="120"/>
              <w:rPr>
                <w:rFonts w:ascii="Times New Roman" w:eastAsia="Times New Roman" w:hAnsi="Times New Roman" w:cs="Times New Roman"/>
                <w:b/>
                <w:color w:val="000000"/>
                <w:sz w:val="20"/>
                <w:szCs w:val="20"/>
              </w:rPr>
            </w:pPr>
            <w:r w:rsidRPr="00CF40B6">
              <w:rPr>
                <w:rFonts w:ascii="Times New Roman" w:eastAsia="Times New Roman" w:hAnsi="Times New Roman" w:cs="Times New Roman"/>
                <w:b/>
                <w:color w:val="000000"/>
                <w:sz w:val="20"/>
                <w:szCs w:val="20"/>
              </w:rPr>
              <w:t xml:space="preserve">Modifications made to the procedures for evaluating the program. </w:t>
            </w:r>
          </w:p>
        </w:tc>
      </w:tr>
      <w:tr w:rsidR="00BD7A82" w:rsidRPr="00CF40B6" w:rsidTr="005E3A74">
        <w:tc>
          <w:tcPr>
            <w:tcW w:w="2155" w:type="dxa"/>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Pr>
                <w:rFonts w:ascii="Times New Roman" w:hAnsi="Times New Roman" w:cs="Times New Roman"/>
                <w:b/>
                <w:sz w:val="20"/>
                <w:szCs w:val="20"/>
              </w:rPr>
              <w:t xml:space="preserve">Core Elements </w:t>
            </w:r>
          </w:p>
        </w:tc>
        <w:tc>
          <w:tcPr>
            <w:tcW w:w="7830" w:type="dxa"/>
            <w:shd w:val="clear" w:color="auto" w:fill="D9D9D9" w:themeFill="background1" w:themeFillShade="D9"/>
          </w:tcPr>
          <w:p w:rsidR="00BD7A82" w:rsidRPr="00CF40B6" w:rsidRDefault="00BD7A82" w:rsidP="00B01F8A">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Describes any changes to the core elements,</w:t>
            </w:r>
            <w:r>
              <w:t xml:space="preserve"> </w:t>
            </w:r>
            <w:r w:rsidRPr="00A35F5C">
              <w:rPr>
                <w:rFonts w:ascii="Times New Roman" w:hAnsi="Times New Roman" w:cs="Times New Roman"/>
                <w:b/>
                <w:sz w:val="20"/>
                <w:szCs w:val="20"/>
              </w:rPr>
              <w:t>i.e.,</w:t>
            </w:r>
            <w:r>
              <w:t xml:space="preserve"> </w:t>
            </w:r>
            <w:r>
              <w:rPr>
                <w:rFonts w:ascii="Times New Roman" w:eastAsia="Times New Roman" w:hAnsi="Times New Roman" w:cs="Times New Roman"/>
                <w:b/>
                <w:color w:val="000000"/>
                <w:sz w:val="18"/>
                <w:szCs w:val="20"/>
              </w:rPr>
              <w:t>“</w:t>
            </w:r>
            <w:r>
              <w:rPr>
                <w:rFonts w:ascii="Times New Roman" w:eastAsia="Times New Roman" w:hAnsi="Times New Roman" w:cs="Times New Roman"/>
                <w:b/>
                <w:color w:val="000000"/>
                <w:sz w:val="20"/>
                <w:szCs w:val="20"/>
              </w:rPr>
              <w:t xml:space="preserve">critical features of an </w:t>
            </w:r>
            <w:r w:rsidRPr="000F7CF1">
              <w:rPr>
                <w:rFonts w:ascii="Times New Roman" w:eastAsia="Times New Roman" w:hAnsi="Times New Roman" w:cs="Times New Roman"/>
                <w:b/>
                <w:color w:val="000000"/>
                <w:sz w:val="20"/>
                <w:szCs w:val="20"/>
              </w:rPr>
              <w:t xml:space="preserve">intervention’s intent and design </w:t>
            </w:r>
            <w:r>
              <w:rPr>
                <w:rFonts w:ascii="Times New Roman" w:eastAsia="Times New Roman" w:hAnsi="Times New Roman" w:cs="Times New Roman"/>
                <w:b/>
                <w:color w:val="000000"/>
                <w:sz w:val="20"/>
                <w:szCs w:val="20"/>
              </w:rPr>
              <w:t xml:space="preserve">[that] </w:t>
            </w:r>
            <w:r w:rsidRPr="000F7CF1">
              <w:rPr>
                <w:rFonts w:ascii="Times New Roman" w:eastAsia="Times New Roman" w:hAnsi="Times New Roman" w:cs="Times New Roman"/>
                <w:b/>
                <w:color w:val="000000"/>
                <w:sz w:val="20"/>
                <w:szCs w:val="20"/>
              </w:rPr>
              <w:t>are thought to be</w:t>
            </w:r>
            <w:r>
              <w:rPr>
                <w:rFonts w:ascii="Times New Roman" w:eastAsia="Times New Roman" w:hAnsi="Times New Roman" w:cs="Times New Roman"/>
                <w:b/>
                <w:color w:val="000000"/>
                <w:sz w:val="20"/>
                <w:szCs w:val="20"/>
              </w:rPr>
              <w:t xml:space="preserve"> </w:t>
            </w:r>
            <w:r w:rsidRPr="000F7CF1">
              <w:rPr>
                <w:rFonts w:ascii="Times New Roman" w:eastAsia="Times New Roman" w:hAnsi="Times New Roman" w:cs="Times New Roman"/>
                <w:b/>
                <w:color w:val="000000"/>
                <w:sz w:val="20"/>
                <w:szCs w:val="20"/>
              </w:rPr>
              <w:t>responsible for its effectiveness</w:t>
            </w:r>
            <w:r w:rsidR="00B01F8A">
              <w:rPr>
                <w:rFonts w:ascii="Times New Roman" w:eastAsia="Times New Roman" w:hAnsi="Times New Roman" w:cs="Times New Roman"/>
                <w:b/>
                <w:color w:val="000000"/>
                <w:sz w:val="20"/>
                <w:szCs w:val="20"/>
              </w:rPr>
              <w:t>.” [Eke</w:t>
            </w:r>
            <w:r>
              <w:rPr>
                <w:rFonts w:ascii="Times New Roman" w:eastAsia="Times New Roman" w:hAnsi="Times New Roman" w:cs="Times New Roman"/>
                <w:b/>
                <w:color w:val="000000"/>
                <w:sz w:val="20"/>
                <w:szCs w:val="20"/>
              </w:rPr>
              <w:t>] This includes</w:t>
            </w:r>
            <w:r w:rsidRPr="00675E7B">
              <w:rPr>
                <w:rFonts w:ascii="Times New Roman" w:eastAsia="Times New Roman" w:hAnsi="Times New Roman" w:cs="Times New Roman"/>
                <w:b/>
                <w:color w:val="000000"/>
                <w:sz w:val="20"/>
                <w:szCs w:val="20"/>
              </w:rPr>
              <w:t xml:space="preserve"> changes to any iden</w:t>
            </w:r>
            <w:r>
              <w:rPr>
                <w:rFonts w:ascii="Times New Roman" w:eastAsia="Times New Roman" w:hAnsi="Times New Roman" w:cs="Times New Roman"/>
                <w:b/>
                <w:color w:val="000000"/>
                <w:sz w:val="20"/>
                <w:szCs w:val="20"/>
              </w:rPr>
              <w:t xml:space="preserve">tified intervention components </w:t>
            </w:r>
            <w:r w:rsidRPr="00675E7B">
              <w:rPr>
                <w:rFonts w:ascii="Times New Roman" w:eastAsia="Times New Roman" w:hAnsi="Times New Roman" w:cs="Times New Roman"/>
                <w:b/>
                <w:color w:val="000000"/>
                <w:sz w:val="20"/>
                <w:szCs w:val="20"/>
              </w:rPr>
              <w:t xml:space="preserve">whether </w:t>
            </w:r>
            <w:r>
              <w:rPr>
                <w:rFonts w:ascii="Times New Roman" w:eastAsia="Times New Roman" w:hAnsi="Times New Roman" w:cs="Times New Roman"/>
                <w:b/>
                <w:color w:val="000000"/>
                <w:sz w:val="20"/>
                <w:szCs w:val="20"/>
              </w:rPr>
              <w:t xml:space="preserve">or not </w:t>
            </w:r>
            <w:r w:rsidRPr="00675E7B">
              <w:rPr>
                <w:rFonts w:ascii="Times New Roman" w:eastAsia="Times New Roman" w:hAnsi="Times New Roman" w:cs="Times New Roman"/>
                <w:b/>
                <w:color w:val="000000"/>
                <w:sz w:val="20"/>
                <w:szCs w:val="20"/>
              </w:rPr>
              <w:t xml:space="preserve">they </w:t>
            </w:r>
            <w:proofErr w:type="gramStart"/>
            <w:r>
              <w:rPr>
                <w:rFonts w:ascii="Times New Roman" w:eastAsia="Times New Roman" w:hAnsi="Times New Roman" w:cs="Times New Roman"/>
                <w:b/>
                <w:color w:val="000000"/>
                <w:sz w:val="20"/>
                <w:szCs w:val="20"/>
              </w:rPr>
              <w:t>were</w:t>
            </w:r>
            <w:r w:rsidRPr="00675E7B">
              <w:rPr>
                <w:rFonts w:ascii="Times New Roman" w:eastAsia="Times New Roman" w:hAnsi="Times New Roman" w:cs="Times New Roman"/>
                <w:b/>
                <w:color w:val="000000"/>
                <w:sz w:val="20"/>
                <w:szCs w:val="20"/>
              </w:rPr>
              <w:t xml:space="preserve"> spec</w:t>
            </w:r>
            <w:r>
              <w:rPr>
                <w:rFonts w:ascii="Times New Roman" w:eastAsia="Times New Roman" w:hAnsi="Times New Roman" w:cs="Times New Roman"/>
                <w:b/>
                <w:color w:val="000000"/>
                <w:sz w:val="20"/>
                <w:szCs w:val="20"/>
              </w:rPr>
              <w:t>ifically called</w:t>
            </w:r>
            <w:proofErr w:type="gramEnd"/>
            <w:r>
              <w:rPr>
                <w:rFonts w:ascii="Times New Roman" w:eastAsia="Times New Roman" w:hAnsi="Times New Roman" w:cs="Times New Roman"/>
                <w:b/>
                <w:color w:val="000000"/>
                <w:sz w:val="20"/>
                <w:szCs w:val="20"/>
              </w:rPr>
              <w:t xml:space="preserve"> “core elements”. </w:t>
            </w:r>
          </w:p>
        </w:tc>
      </w:tr>
      <w:tr w:rsidR="00BD7A82" w:rsidRPr="00CF40B6" w:rsidTr="005E3A74">
        <w:tc>
          <w:tcPr>
            <w:tcW w:w="2155" w:type="dxa"/>
            <w:shd w:val="clear" w:color="auto" w:fill="D9D9D9" w:themeFill="background1" w:themeFillShade="D9"/>
          </w:tcPr>
          <w:p w:rsidR="00BD7A82" w:rsidRDefault="00BD7A82" w:rsidP="005E3A74">
            <w:pPr>
              <w:rPr>
                <w:rFonts w:ascii="Times New Roman" w:hAnsi="Times New Roman" w:cs="Times New Roman"/>
                <w:b/>
                <w:sz w:val="20"/>
                <w:szCs w:val="20"/>
              </w:rPr>
            </w:pPr>
            <w:r>
              <w:rPr>
                <w:rFonts w:ascii="Times New Roman" w:hAnsi="Times New Roman" w:cs="Times New Roman"/>
                <w:b/>
                <w:sz w:val="20"/>
                <w:szCs w:val="20"/>
              </w:rPr>
              <w:t>Reason for Adaptation</w:t>
            </w:r>
          </w:p>
        </w:tc>
        <w:tc>
          <w:tcPr>
            <w:tcW w:w="7830" w:type="dxa"/>
            <w:shd w:val="clear" w:color="auto" w:fill="D9D9D9" w:themeFill="background1" w:themeFillShade="D9"/>
          </w:tcPr>
          <w:p w:rsidR="00BD7A82" w:rsidRPr="00CF40B6" w:rsidRDefault="00BD7A82" w:rsidP="00B01F8A">
            <w:pP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Stated reason(s) for adaptation, e.g., generate or maintain engagement; strengthen/reinforce message; m</w:t>
            </w:r>
            <w:r w:rsidRPr="00675E7B">
              <w:rPr>
                <w:rFonts w:ascii="Times New Roman" w:eastAsia="Times New Roman" w:hAnsi="Times New Roman" w:cs="Times New Roman"/>
                <w:b/>
                <w:color w:val="000000"/>
                <w:sz w:val="20"/>
                <w:szCs w:val="20"/>
              </w:rPr>
              <w:t>aterial address</w:t>
            </w:r>
            <w:r>
              <w:rPr>
                <w:rFonts w:ascii="Times New Roman" w:eastAsia="Times New Roman" w:hAnsi="Times New Roman" w:cs="Times New Roman"/>
                <w:b/>
                <w:color w:val="000000"/>
                <w:sz w:val="20"/>
                <w:szCs w:val="20"/>
              </w:rPr>
              <w:t>es local context, reach special/speci</w:t>
            </w:r>
            <w:r w:rsidR="00B01F8A">
              <w:rPr>
                <w:rFonts w:ascii="Times New Roman" w:eastAsia="Times New Roman" w:hAnsi="Times New Roman" w:cs="Times New Roman"/>
                <w:b/>
                <w:color w:val="000000"/>
                <w:sz w:val="20"/>
                <w:szCs w:val="20"/>
              </w:rPr>
              <w:t>fic audience; increase fit.</w:t>
            </w:r>
          </w:p>
        </w:tc>
      </w:tr>
      <w:tr w:rsidR="00BD7A82" w:rsidRPr="00CF40B6" w:rsidTr="005E3A74">
        <w:tc>
          <w:tcPr>
            <w:tcW w:w="2155" w:type="dxa"/>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Implementers</w:t>
            </w:r>
          </w:p>
        </w:tc>
        <w:tc>
          <w:tcPr>
            <w:tcW w:w="7830" w:type="dxa"/>
            <w:shd w:val="clear" w:color="auto" w:fill="D9D9D9" w:themeFill="background1" w:themeFillShade="D9"/>
          </w:tcPr>
          <w:p w:rsidR="00BD7A82" w:rsidRPr="00CF40B6" w:rsidRDefault="00BD7A82" w:rsidP="00B04BB0">
            <w:pPr>
              <w:rPr>
                <w:rFonts w:ascii="Times New Roman" w:hAnsi="Times New Roman" w:cs="Times New Roman"/>
                <w:b/>
                <w:sz w:val="20"/>
                <w:szCs w:val="20"/>
              </w:rPr>
            </w:pPr>
            <w:r>
              <w:rPr>
                <w:rFonts w:ascii="Times New Roman" w:eastAsia="Times New Roman" w:hAnsi="Times New Roman" w:cs="Times New Roman"/>
                <w:b/>
                <w:color w:val="000000"/>
                <w:sz w:val="20"/>
                <w:szCs w:val="20"/>
              </w:rPr>
              <w:t>T</w:t>
            </w:r>
            <w:r w:rsidRPr="00CF40B6">
              <w:rPr>
                <w:rFonts w:ascii="Times New Roman" w:eastAsia="Times New Roman" w:hAnsi="Times New Roman" w:cs="Times New Roman"/>
                <w:b/>
                <w:color w:val="000000"/>
                <w:sz w:val="20"/>
                <w:szCs w:val="20"/>
              </w:rPr>
              <w:t>he individual or groups who deci</w:t>
            </w:r>
            <w:r>
              <w:rPr>
                <w:rFonts w:ascii="Times New Roman" w:eastAsia="Times New Roman" w:hAnsi="Times New Roman" w:cs="Times New Roman"/>
                <w:b/>
                <w:color w:val="000000"/>
                <w:sz w:val="20"/>
                <w:szCs w:val="20"/>
              </w:rPr>
              <w:t xml:space="preserve">ded how to modify the intervention </w:t>
            </w:r>
            <w:r w:rsidRPr="00CF40B6">
              <w:rPr>
                <w:rFonts w:ascii="Times New Roman" w:eastAsia="Times New Roman" w:hAnsi="Times New Roman" w:cs="Times New Roman"/>
                <w:b/>
                <w:color w:val="000000"/>
                <w:sz w:val="20"/>
                <w:szCs w:val="20"/>
              </w:rPr>
              <w:t>and/or the process of adaptation (e.g., meetings, focus groups with participants, stakeholders)</w:t>
            </w:r>
            <w:r>
              <w:rPr>
                <w:rFonts w:ascii="Times New Roman" w:eastAsia="Times New Roman" w:hAnsi="Times New Roman" w:cs="Times New Roman"/>
                <w:b/>
                <w:color w:val="000000"/>
                <w:sz w:val="20"/>
                <w:szCs w:val="20"/>
              </w:rPr>
              <w:t xml:space="preserve">. </w:t>
            </w:r>
            <w:r w:rsidR="00B04BB0" w:rsidRPr="00B04BB0">
              <w:rPr>
                <w:rFonts w:ascii="Times New Roman" w:eastAsia="Times New Roman" w:hAnsi="Times New Roman" w:cs="Times New Roman"/>
                <w:color w:val="000000"/>
                <w:sz w:val="20"/>
                <w:szCs w:val="20"/>
              </w:rPr>
              <w:t>(</w:t>
            </w:r>
            <w:proofErr w:type="spellStart"/>
            <w:r w:rsidR="00B04BB0" w:rsidRPr="00B04BB0">
              <w:rPr>
                <w:rFonts w:ascii="Times New Roman" w:eastAsia="Times New Roman" w:hAnsi="Times New Roman" w:cs="Times New Roman"/>
                <w:color w:val="000000"/>
                <w:sz w:val="20"/>
                <w:szCs w:val="20"/>
              </w:rPr>
              <w:t>Stirman</w:t>
            </w:r>
            <w:proofErr w:type="spellEnd"/>
            <w:r w:rsidR="00B04BB0" w:rsidRPr="00B04BB0">
              <w:rPr>
                <w:rFonts w:ascii="Times New Roman" w:eastAsia="Times New Roman" w:hAnsi="Times New Roman" w:cs="Times New Roman"/>
                <w:color w:val="000000"/>
                <w:sz w:val="20"/>
                <w:szCs w:val="20"/>
              </w:rPr>
              <w:t xml:space="preserve"> et al, 2013)</w:t>
            </w:r>
          </w:p>
        </w:tc>
      </w:tr>
      <w:tr w:rsidR="00BD7A82" w:rsidRPr="00CF40B6" w:rsidTr="005E3A74">
        <w:tc>
          <w:tcPr>
            <w:tcW w:w="2155" w:type="dxa"/>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Steps in Adaptation</w:t>
            </w:r>
          </w:p>
        </w:tc>
        <w:tc>
          <w:tcPr>
            <w:tcW w:w="7830" w:type="dxa"/>
            <w:shd w:val="clear" w:color="auto" w:fill="D9D9D9" w:themeFill="background1" w:themeFillShade="D9"/>
          </w:tcPr>
          <w:p w:rsidR="00BD7A82" w:rsidRPr="00CF40B6" w:rsidRDefault="00BD7A82" w:rsidP="005E3A74">
            <w:pPr>
              <w:rPr>
                <w:rFonts w:ascii="Times New Roman" w:eastAsia="Times New Roman" w:hAnsi="Times New Roman" w:cs="Times New Roman"/>
                <w:b/>
                <w:color w:val="000000"/>
                <w:sz w:val="20"/>
                <w:szCs w:val="20"/>
              </w:rPr>
            </w:pPr>
          </w:p>
        </w:tc>
      </w:tr>
      <w:tr w:rsidR="00BD7A82" w:rsidRPr="00CF40B6" w:rsidTr="005E3A74">
        <w:tc>
          <w:tcPr>
            <w:tcW w:w="2155" w:type="dxa"/>
            <w:shd w:val="clear" w:color="auto" w:fill="auto"/>
          </w:tcPr>
          <w:p w:rsidR="00BD7A82" w:rsidRPr="00CF40B6" w:rsidRDefault="00BD7A82" w:rsidP="005E3A74">
            <w:pPr>
              <w:ind w:left="337" w:hanging="180"/>
              <w:rPr>
                <w:rFonts w:ascii="Times New Roman" w:hAnsi="Times New Roman" w:cs="Times New Roman"/>
                <w:sz w:val="20"/>
                <w:szCs w:val="20"/>
              </w:rPr>
            </w:pPr>
            <w:r w:rsidRPr="00CF40B6">
              <w:rPr>
                <w:rFonts w:ascii="Times New Roman" w:hAnsi="Times New Roman" w:cs="Times New Roman"/>
                <w:sz w:val="20"/>
                <w:szCs w:val="20"/>
              </w:rPr>
              <w:t>1) Community Assessment</w:t>
            </w:r>
          </w:p>
        </w:tc>
        <w:tc>
          <w:tcPr>
            <w:tcW w:w="7830" w:type="dxa"/>
            <w:shd w:val="clear" w:color="auto" w:fill="auto"/>
          </w:tcPr>
          <w:p w:rsidR="00BD7A82" w:rsidRPr="00CF40B6" w:rsidRDefault="00BD7A82" w:rsidP="00B01F8A">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Conduct focus groups/needs assessment with the new target population</w:t>
            </w:r>
            <w:r w:rsidR="00B01F8A">
              <w:rPr>
                <w:rFonts w:ascii="Times New Roman" w:eastAsia="Times New Roman" w:hAnsi="Times New Roman" w:cs="Times New Roman"/>
                <w:color w:val="000000"/>
                <w:sz w:val="20"/>
                <w:szCs w:val="20"/>
              </w:rPr>
              <w:t xml:space="preserve"> or </w:t>
            </w:r>
            <w:r w:rsidRPr="00CF40B6">
              <w:rPr>
                <w:rFonts w:ascii="Times New Roman" w:eastAsia="Times New Roman" w:hAnsi="Times New Roman" w:cs="Times New Roman"/>
                <w:color w:val="000000"/>
                <w:sz w:val="20"/>
                <w:szCs w:val="20"/>
              </w:rPr>
              <w:t>elicitation interv</w:t>
            </w:r>
            <w:r w:rsidR="00B01F8A">
              <w:rPr>
                <w:rFonts w:ascii="Times New Roman" w:eastAsia="Times New Roman" w:hAnsi="Times New Roman" w:cs="Times New Roman"/>
                <w:color w:val="000000"/>
                <w:sz w:val="20"/>
                <w:szCs w:val="20"/>
              </w:rPr>
              <w:t>iews with the key stakeholders</w:t>
            </w:r>
          </w:p>
        </w:tc>
      </w:tr>
      <w:tr w:rsidR="00BD7A82" w:rsidRPr="00CF40B6" w:rsidTr="005E3A74">
        <w:tc>
          <w:tcPr>
            <w:tcW w:w="2155" w:type="dxa"/>
            <w:shd w:val="clear" w:color="auto" w:fill="auto"/>
          </w:tcPr>
          <w:p w:rsidR="00BD7A82" w:rsidRPr="00CF40B6" w:rsidRDefault="00BD7A82" w:rsidP="005E3A74">
            <w:pPr>
              <w:ind w:left="337" w:hanging="180"/>
              <w:rPr>
                <w:rFonts w:ascii="Times New Roman" w:hAnsi="Times New Roman" w:cs="Times New Roman"/>
                <w:sz w:val="20"/>
                <w:szCs w:val="20"/>
              </w:rPr>
            </w:pPr>
            <w:r w:rsidRPr="00CF40B6">
              <w:rPr>
                <w:rFonts w:ascii="Times New Roman" w:hAnsi="Times New Roman" w:cs="Times New Roman"/>
                <w:sz w:val="20"/>
                <w:szCs w:val="20"/>
              </w:rPr>
              <w:t>2) Selection</w:t>
            </w:r>
          </w:p>
        </w:tc>
        <w:tc>
          <w:tcPr>
            <w:tcW w:w="7830" w:type="dxa"/>
            <w:shd w:val="clear" w:color="auto" w:fill="auto"/>
          </w:tcPr>
          <w:p w:rsidR="00BD7A82" w:rsidRPr="00CF40B6" w:rsidRDefault="00BD7A82" w:rsidP="00B01F8A">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Agency makes a final selection on the EBI using assessment data. Selection also involves building capacity with subject matter and implementation skills and consulting with the community and staff regarding the decision. </w:t>
            </w:r>
          </w:p>
        </w:tc>
      </w:tr>
      <w:tr w:rsidR="00BD7A82" w:rsidRPr="00CF40B6" w:rsidTr="005E3A74">
        <w:tc>
          <w:tcPr>
            <w:tcW w:w="2155" w:type="dxa"/>
            <w:shd w:val="clear" w:color="auto" w:fill="auto"/>
          </w:tcPr>
          <w:p w:rsidR="00BD7A82" w:rsidRPr="00CF40B6" w:rsidRDefault="00BD7A82" w:rsidP="005E3A74">
            <w:pPr>
              <w:ind w:left="337" w:hanging="180"/>
              <w:rPr>
                <w:rFonts w:ascii="Times New Roman" w:hAnsi="Times New Roman" w:cs="Times New Roman"/>
                <w:sz w:val="20"/>
                <w:szCs w:val="20"/>
              </w:rPr>
            </w:pPr>
            <w:r w:rsidRPr="00CF40B6">
              <w:rPr>
                <w:rFonts w:ascii="Times New Roman" w:hAnsi="Times New Roman" w:cs="Times New Roman"/>
                <w:sz w:val="20"/>
                <w:szCs w:val="20"/>
              </w:rPr>
              <w:t>3) Determine Level of Change</w:t>
            </w:r>
          </w:p>
        </w:tc>
        <w:tc>
          <w:tcPr>
            <w:tcW w:w="7830" w:type="dxa"/>
            <w:shd w:val="clear" w:color="auto" w:fill="auto"/>
          </w:tcPr>
          <w:p w:rsidR="00BD7A82" w:rsidRPr="00CF40B6" w:rsidRDefault="00BD7A82" w:rsidP="00B01F8A">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“Determine what changes are needed based on the assess action step assessments…which uncover gaps where the intervention should be adapted, where the agency needs to build </w:t>
            </w:r>
            <w:r w:rsidRPr="00CF40B6">
              <w:rPr>
                <w:rFonts w:ascii="Times New Roman" w:eastAsia="Times New Roman" w:hAnsi="Times New Roman" w:cs="Times New Roman"/>
                <w:color w:val="000000"/>
                <w:sz w:val="20"/>
                <w:szCs w:val="20"/>
              </w:rPr>
              <w:lastRenderedPageBreak/>
              <w:t xml:space="preserve">capacity, and areas where the agency could benefit from collaborating with technical assistance (TA) providers and partners.” </w:t>
            </w:r>
            <w:r w:rsidRPr="00CF40B6">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[Bartholomew Eldredge et al.</w:t>
            </w:r>
            <w:r w:rsidRPr="00CF40B6">
              <w:rPr>
                <w:rFonts w:ascii="Times New Roman" w:eastAsia="Times New Roman" w:hAnsi="Times New Roman" w:cs="Times New Roman"/>
                <w:color w:val="000000"/>
                <w:sz w:val="20"/>
                <w:szCs w:val="20"/>
              </w:rPr>
              <w:fldChar w:fldCharType="end"/>
            </w:r>
            <w:r w:rsidR="00B01F8A">
              <w:rPr>
                <w:rFonts w:ascii="Times New Roman" w:eastAsia="Times New Roman" w:hAnsi="Times New Roman" w:cs="Times New Roman"/>
                <w:color w:val="000000"/>
                <w:sz w:val="20"/>
                <w:szCs w:val="20"/>
              </w:rPr>
              <w:t>]</w:t>
            </w:r>
          </w:p>
        </w:tc>
      </w:tr>
      <w:tr w:rsidR="00BD7A82" w:rsidRPr="00CF40B6" w:rsidTr="005E3A74">
        <w:tc>
          <w:tcPr>
            <w:tcW w:w="2155" w:type="dxa"/>
            <w:shd w:val="clear" w:color="auto" w:fill="auto"/>
          </w:tcPr>
          <w:p w:rsidR="00BD7A82" w:rsidRPr="00CF40B6" w:rsidRDefault="00BD7A82" w:rsidP="005E3A74">
            <w:pPr>
              <w:ind w:left="337" w:hanging="180"/>
              <w:rPr>
                <w:rFonts w:ascii="Times New Roman" w:hAnsi="Times New Roman" w:cs="Times New Roman"/>
                <w:sz w:val="20"/>
                <w:szCs w:val="20"/>
              </w:rPr>
            </w:pPr>
            <w:r w:rsidRPr="00CF40B6">
              <w:rPr>
                <w:rFonts w:ascii="Times New Roman" w:hAnsi="Times New Roman" w:cs="Times New Roman"/>
                <w:sz w:val="20"/>
                <w:szCs w:val="20"/>
              </w:rPr>
              <w:lastRenderedPageBreak/>
              <w:t>4) Train Staff</w:t>
            </w:r>
          </w:p>
        </w:tc>
        <w:tc>
          <w:tcPr>
            <w:tcW w:w="7830" w:type="dxa"/>
            <w:shd w:val="clear" w:color="auto" w:fill="auto"/>
          </w:tcPr>
          <w:p w:rsidR="00BD7A82" w:rsidRPr="00CF40B6" w:rsidRDefault="00BD7A82" w:rsidP="00B01F8A">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“Training personnel, including: 1) facilitators in group management and facilitation skills, 2) recruiters and retention staff in effective recruitment and retention techniques, 3) assessment staff in administering study assessments, and 4) data management staff in managing study data.” </w:t>
            </w:r>
            <w:r w:rsidRPr="00CF40B6">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ADDIN EN.CITE &lt;EndNote&gt;&lt;Cite&gt;&lt;Author&gt;Wingood&lt;/Author&gt;&lt;Year&gt;2008&lt;/Year&gt;&lt;RecNum&gt;33&lt;/RecNum&gt;&lt;DisplayText&gt;[3]&lt;/DisplayText&gt;&lt;record&gt;&lt;rec-number&gt;33&lt;/rec-number&gt;&lt;foreign-keys&gt;&lt;key app="EN" db-id="tx0f0dtw6ad2zpeewv7vx2vcv0rpp5s9z0t0" timestamp="1459363292"&gt;33&lt;/key&gt;&lt;/foreign-keys&gt;&lt;ref-type name="Journal Article"&gt;17&lt;/ref-type&gt;&lt;contributors&gt;&lt;authors&gt;&lt;author&gt;Wingood, G. M.&lt;/author&gt;&lt;author&gt;DiClemente, R. J.&lt;/author&gt;&lt;/authors&gt;&lt;/contributors&gt;&lt;auth-address&gt;Department of Behavioral Sciences and Health Education, Emory University Rollins School of Public Health, Atlanta, GA 30322, USA. gwingoo@sph.emory.edu&lt;/auth-address&gt;&lt;titles&gt;&lt;title&gt;The ADAPT-ITT model: a novel method of adapting evidence-based HIV Interventions&lt;/title&gt;&lt;secondary-title&gt;J Acquir Immune Defic Syndr&lt;/secondary-title&gt;&lt;alt-title&gt;Journal of acquired immune deficiency syndromes (1999)&lt;/alt-title&gt;&lt;/titles&gt;&lt;periodical&gt;&lt;full-title&gt;J Acquir Immune Defic Syndr&lt;/full-title&gt;&lt;abbr-1&gt;Journal of acquired immune deficiency syndromes (1999)&lt;/abbr-1&gt;&lt;/periodical&gt;&lt;alt-periodical&gt;&lt;full-title&gt;J Acquir Immune Defic Syndr&lt;/full-title&gt;&lt;abbr-1&gt;Journal of acquired immune deficiency syndromes (1999)&lt;/abbr-1&gt;&lt;/alt-periodical&gt;&lt;pages&gt;S40-6&lt;/pages&gt;&lt;volume&gt;47 Suppl 1&lt;/volume&gt;&lt;edition&gt;2008/04/09&lt;/edition&gt;&lt;keywords&gt;&lt;keyword&gt;Communicable Disease Control/*methods&lt;/keyword&gt;&lt;keyword&gt;Community Health Services/*methods&lt;/keyword&gt;&lt;keyword&gt;Evidence-Based Medicine/*methods&lt;/keyword&gt;&lt;keyword&gt;HIV Infections/epidemiology/*prevention &amp;amp; control&lt;/keyword&gt;&lt;keyword&gt;Health Promotion/*methods&lt;/keyword&gt;&lt;keyword&gt;Humans&lt;/keyword&gt;&lt;keyword&gt;Preventive Health Services/*methods&lt;/keyword&gt;&lt;keyword&gt;United States/epidemiology&lt;/keyword&gt;&lt;/keywords&gt;&lt;dates&gt;&lt;year&gt;2008&lt;/year&gt;&lt;pub-dates&gt;&lt;date&gt;Mar 1&lt;/date&gt;&lt;/pub-dates&gt;&lt;/dates&gt;&lt;isbn&gt;1525-4135 (Print)&amp;#xD;1525-4135&lt;/isbn&gt;&lt;accession-num&gt;18301133&lt;/accession-num&gt;&lt;urls&gt;&lt;/urls&gt;&lt;electronic-resource-num&gt;10.1097/QAI.0b013e3181605df1&lt;/electronic-resource-num&gt;&lt;remote-database-provider&gt;NLM&lt;/remote-database-provider&gt;&lt;language&gt;eng&lt;/language&gt;&lt;/record&gt;&lt;/Cite&gt;&lt;/EndNote&gt;</w:instrText>
            </w:r>
            <w:r w:rsidRPr="00CF40B6">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noProof/>
                <w:color w:val="000000"/>
                <w:sz w:val="20"/>
                <w:szCs w:val="20"/>
              </w:rPr>
              <w:t>[</w:t>
            </w:r>
            <w:r w:rsidR="00B01F8A">
              <w:rPr>
                <w:rFonts w:ascii="Times New Roman" w:eastAsia="Times New Roman" w:hAnsi="Times New Roman" w:cs="Times New Roman"/>
                <w:noProof/>
                <w:color w:val="000000"/>
                <w:sz w:val="20"/>
                <w:szCs w:val="20"/>
              </w:rPr>
              <w:t>Wingood &amp; DiClemente</w:t>
            </w:r>
            <w:r>
              <w:rPr>
                <w:rFonts w:ascii="Times New Roman" w:eastAsia="Times New Roman" w:hAnsi="Times New Roman" w:cs="Times New Roman"/>
                <w:noProof/>
                <w:color w:val="000000"/>
                <w:sz w:val="20"/>
                <w:szCs w:val="20"/>
              </w:rPr>
              <w:t>]</w:t>
            </w:r>
            <w:r w:rsidRPr="00CF40B6">
              <w:rPr>
                <w:rFonts w:ascii="Times New Roman" w:eastAsia="Times New Roman" w:hAnsi="Times New Roman" w:cs="Times New Roman"/>
                <w:color w:val="000000"/>
                <w:sz w:val="20"/>
                <w:szCs w:val="20"/>
              </w:rPr>
              <w:fldChar w:fldCharType="end"/>
            </w:r>
          </w:p>
        </w:tc>
      </w:tr>
      <w:tr w:rsidR="00BD7A82" w:rsidRPr="00CF40B6" w:rsidTr="005E3A74">
        <w:tc>
          <w:tcPr>
            <w:tcW w:w="2155" w:type="dxa"/>
            <w:shd w:val="clear" w:color="auto" w:fill="auto"/>
          </w:tcPr>
          <w:p w:rsidR="00BD7A82" w:rsidRPr="00CF40B6" w:rsidRDefault="00BD7A82" w:rsidP="005E3A74">
            <w:pPr>
              <w:ind w:left="337" w:hanging="180"/>
              <w:rPr>
                <w:rFonts w:ascii="Times New Roman" w:hAnsi="Times New Roman" w:cs="Times New Roman"/>
                <w:sz w:val="20"/>
                <w:szCs w:val="20"/>
              </w:rPr>
            </w:pPr>
            <w:r w:rsidRPr="00CF40B6">
              <w:rPr>
                <w:rFonts w:ascii="Times New Roman" w:hAnsi="Times New Roman" w:cs="Times New Roman"/>
                <w:sz w:val="20"/>
                <w:szCs w:val="20"/>
              </w:rPr>
              <w:t>5) Consult Experts</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E.g., “identify experts who could serve as consultants to provide specific content expertise.” (e.g., identify topical experts knowledgeable about the disease or the target audience for the intervention).</w:t>
            </w:r>
            <w:r w:rsidR="00B01F8A" w:rsidRPr="00CF40B6">
              <w:rPr>
                <w:rFonts w:ascii="Times New Roman" w:eastAsia="Times New Roman" w:hAnsi="Times New Roman" w:cs="Times New Roman"/>
                <w:color w:val="000000"/>
                <w:sz w:val="20"/>
                <w:szCs w:val="20"/>
              </w:rPr>
              <w:t xml:space="preserve">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&lt;EndNote&gt;&lt;Cite&gt;&lt;Author&gt;Wingood&lt;/Author&gt;&lt;Year&gt;2008&lt;/Year&gt;&lt;RecNum&gt;33&lt;/RecNum&gt;&lt;DisplayText&gt;[3]&lt;/DisplayText&gt;&lt;record&gt;&lt;rec-number&gt;33&lt;/rec-number&gt;&lt;foreign-keys&gt;&lt;key app="EN" db-id="tx0f0dtw6ad2zpeewv7vx2vcv0rpp5s9z0t0" timestamp="1459363292"&gt;33&lt;/key&gt;&lt;/foreign-keys&gt;&lt;ref-type name="Journal Article"&gt;17&lt;/ref-type&gt;&lt;contributors&gt;&lt;authors&gt;&lt;author&gt;Wingood, G. M.&lt;/author&gt;&lt;author&gt;DiClemente, R. J.&lt;/author&gt;&lt;/authors&gt;&lt;/contributors&gt;&lt;auth-address&gt;Department of Behavioral Sciences and Health Education, Emory University Rollins School of Public Health, Atlanta, GA 30322, USA. gwingoo@sph.emory.edu&lt;/auth-address&gt;&lt;titles&gt;&lt;title&gt;The ADAPT-ITT model: a novel method of adapting evidence-based HIV Interventions&lt;/title&gt;&lt;secondary-title&gt;J Acquir Immune Defic Syndr&lt;/secondary-title&gt;&lt;alt-title&gt;Journal of acquired immune deficiency syndromes (1999)&lt;/alt-title&gt;&lt;/titles&gt;&lt;periodical&gt;&lt;full-title&gt;J Acquir Immune Defic Syndr&lt;/full-title&gt;&lt;abbr-1&gt;Journal of acquired immune deficiency syndromes (1999)&lt;/abbr-1&gt;&lt;/periodical&gt;&lt;alt-periodical&gt;&lt;full-title&gt;J Acquir Immune Defic Syndr&lt;/full-title&gt;&lt;abbr-1&gt;Journal of acquired immune deficiency syndromes (1999)&lt;/abbr-1&gt;&lt;/alt-periodical&gt;&lt;pages&gt;S40-6&lt;/pages&gt;&lt;volume&gt;47 Suppl 1&lt;/volume&gt;&lt;edition&gt;2008/04/09&lt;/edition&gt;&lt;keywords&gt;&lt;keyword&gt;Communicable Disease Control/*methods&lt;/keyword&gt;&lt;keyword&gt;Community Health Services/*methods&lt;/keyword&gt;&lt;keyword&gt;Evidence-Based Medicine/*methods&lt;/keyword&gt;&lt;keyword&gt;HIV Infections/epidemiology/*prevention &amp;amp; control&lt;/keyword&gt;&lt;keyword&gt;Health Promotion/*methods&lt;/keyword&gt;&lt;keyword&gt;Humans&lt;/keyword&gt;&lt;keyword&gt;Preventive Health Services/*methods&lt;/keyword&gt;&lt;keyword&gt;United States/epidemiology&lt;/keyword&gt;&lt;/keywords&gt;&lt;dates&gt;&lt;year&gt;2008&lt;/year&gt;&lt;pub-dates&gt;&lt;date&gt;Mar 1&lt;/date&gt;&lt;/pub-dates&gt;&lt;/dates&gt;&lt;isbn&gt;1525-4135 (Print)&amp;#xD;1525-4135&lt;/isbn&gt;&lt;accession-num&gt;18301133&lt;/accession-num&gt;&lt;urls&gt;&lt;/urls&gt;&lt;electronic-resource-num&gt;10.1097/QAI.0b013e3181605df1&lt;/electronic-resource-num&gt;&lt;remote-database-provider&gt;NLM&lt;/remote-database-provider&gt;&lt;language&gt;eng&lt;/language&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[Wingood &amp; DiClemente]</w:t>
            </w:r>
            <w:r w:rsidR="00B01F8A" w:rsidRPr="00CF40B6">
              <w:rPr>
                <w:rFonts w:ascii="Times New Roman" w:eastAsia="Times New Roman" w:hAnsi="Times New Roman" w:cs="Times New Roman"/>
                <w:color w:val="000000"/>
                <w:sz w:val="20"/>
                <w:szCs w:val="20"/>
              </w:rPr>
              <w:fldChar w:fldCharType="end"/>
            </w:r>
          </w:p>
          <w:p w:rsidR="00BD7A82" w:rsidRPr="00CF40B6" w:rsidRDefault="00BD7A82" w:rsidP="00B01F8A">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“Work with an expert on the core/internal logic of the EBI.”</w:t>
            </w:r>
            <w:r w:rsidRPr="00CF40B6">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 xml:space="preserve">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[Bartholomew Eldredge et al.</w:t>
            </w:r>
            <w:r w:rsidR="00B01F8A" w:rsidRPr="00CF40B6">
              <w:rPr>
                <w:rFonts w:ascii="Times New Roman" w:eastAsia="Times New Roman" w:hAnsi="Times New Roman" w:cs="Times New Roman"/>
                <w:color w:val="000000"/>
                <w:sz w:val="20"/>
                <w:szCs w:val="20"/>
              </w:rPr>
              <w:fldChar w:fldCharType="end"/>
            </w:r>
            <w:r w:rsidR="00B01F8A">
              <w:rPr>
                <w:rFonts w:ascii="Times New Roman" w:eastAsia="Times New Roman" w:hAnsi="Times New Roman" w:cs="Times New Roman"/>
                <w:color w:val="000000"/>
                <w:sz w:val="20"/>
                <w:szCs w:val="20"/>
              </w:rPr>
              <w:t>]</w:t>
            </w:r>
            <w:r w:rsidRPr="00CF40B6">
              <w:rPr>
                <w:rFonts w:ascii="Times New Roman" w:eastAsia="Times New Roman" w:hAnsi="Times New Roman" w:cs="Times New Roman"/>
                <w:color w:val="000000"/>
                <w:sz w:val="20"/>
                <w:szCs w:val="20"/>
              </w:rPr>
              <w:fldChar w:fldCharType="end"/>
            </w:r>
          </w:p>
        </w:tc>
      </w:tr>
      <w:tr w:rsidR="00BD7A82" w:rsidRPr="00CF40B6" w:rsidTr="005E3A74">
        <w:tc>
          <w:tcPr>
            <w:tcW w:w="2155" w:type="dxa"/>
            <w:shd w:val="clear" w:color="auto" w:fill="auto"/>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6) Prepare Materials</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E.g., “integrate content from needs assessment data (i.e., from topical experts) based on capacity of agency and create draft 2 of adapted EBI, and integrate scales that assess new intervention content in study survey.”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&lt;EndNote&gt;&lt;Cite&gt;&lt;Author&gt;Wingood&lt;/Author&gt;&lt;Year&gt;2008&lt;/Year&gt;&lt;RecNum&gt;33&lt;/RecNum&gt;&lt;DisplayText&gt;[3]&lt;/DisplayText&gt;&lt;record&gt;&lt;rec-number&gt;33&lt;/rec-number&gt;&lt;foreign-keys&gt;&lt;key app="EN" db-id="tx0f0dtw6ad2zpeewv7vx2vcv0rpp5s9z0t0" timestamp="1459363292"&gt;33&lt;/key&gt;&lt;/foreign-keys&gt;&lt;ref-type name="Journal Article"&gt;17&lt;/ref-type&gt;&lt;contributors&gt;&lt;authors&gt;&lt;author&gt;Wingood, G. M.&lt;/author&gt;&lt;author&gt;DiClemente, R. J.&lt;/author&gt;&lt;/authors&gt;&lt;/contributors&gt;&lt;auth-address&gt;Department of Behavioral Sciences and Health Education, Emory University Rollins School of Public Health, Atlanta, GA 30322, USA. gwingoo@sph.emory.edu&lt;/auth-address&gt;&lt;titles&gt;&lt;title&gt;The ADAPT-ITT model: a novel method of adapting evidence-based HIV Interventions&lt;/title&gt;&lt;secondary-title&gt;J Acquir Immune Defic Syndr&lt;/secondary-title&gt;&lt;alt-title&gt;Journal of acquired immune deficiency syndromes (1999)&lt;/alt-title&gt;&lt;/titles&gt;&lt;periodical&gt;&lt;full-title&gt;J Acquir Immune Defic Syndr&lt;/full-title&gt;&lt;abbr-1&gt;Journal of acquired immune deficiency syndromes (1999)&lt;/abbr-1&gt;&lt;/periodical&gt;&lt;alt-periodical&gt;&lt;full-title&gt;J Acquir Immune Defic Syndr&lt;/full-title&gt;&lt;abbr-1&gt;Journal of acquired immune deficiency syndromes (1999)&lt;/abbr-1&gt;&lt;/alt-periodical&gt;&lt;pages&gt;S40-6&lt;/pages&gt;&lt;volume&gt;47 Suppl 1&lt;/volume&gt;&lt;edition&gt;2008/04/09&lt;/edition&gt;&lt;keywords&gt;&lt;keyword&gt;Communicable Disease Control/*methods&lt;/keyword&gt;&lt;keyword&gt;Community Health Services/*methods&lt;/keyword&gt;&lt;keyword&gt;Evidence-Based Medicine/*methods&lt;/keyword&gt;&lt;keyword&gt;HIV Infections/epidemiology/*prevention &amp;amp; control&lt;/keyword&gt;&lt;keyword&gt;Health Promotion/*methods&lt;/keyword&gt;&lt;keyword&gt;Humans&lt;/keyword&gt;&lt;keyword&gt;Preventive Health Services/*methods&lt;/keyword&gt;&lt;keyword&gt;United States/epidemiology&lt;/keyword&gt;&lt;/keywords&gt;&lt;dates&gt;&lt;year&gt;2008&lt;/year&gt;&lt;pub-dates&gt;&lt;date&gt;Mar 1&lt;/date&gt;&lt;/pub-dates&gt;&lt;/dates&gt;&lt;isbn&gt;1525-4135 (Print)&amp;#xD;1525-4135&lt;/isbn&gt;&lt;accession-num&gt;18301133&lt;/accession-num&gt;&lt;urls&gt;&lt;/urls&gt;&lt;electronic-resource-num&gt;10.1097/QAI.0b013e3181605df1&lt;/electronic-resource-num&gt;&lt;remote-database-provider&gt;NLM&lt;/remote-database-provider&gt;&lt;language&gt;eng&lt;/language&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[Wingood &amp; DiClemente]</w:t>
            </w:r>
            <w:r w:rsidR="00B01F8A" w:rsidRPr="00CF40B6">
              <w:rPr>
                <w:rFonts w:ascii="Times New Roman" w:eastAsia="Times New Roman" w:hAnsi="Times New Roman" w:cs="Times New Roman"/>
                <w:color w:val="000000"/>
                <w:sz w:val="20"/>
                <w:szCs w:val="20"/>
              </w:rPr>
              <w:fldChar w:fldCharType="end"/>
            </w:r>
          </w:p>
        </w:tc>
      </w:tr>
      <w:tr w:rsidR="00BD7A82" w:rsidRPr="00CF40B6" w:rsidTr="005E3A74">
        <w:tc>
          <w:tcPr>
            <w:tcW w:w="2155" w:type="dxa"/>
            <w:shd w:val="clear" w:color="auto" w:fill="auto"/>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7) Pilot</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“Pre-test materials with community advisory board, get feedback, and revise if necessary and pre-test materials with members of the target audience, get feedback, and revise as necessary until adapted materials work.”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[Bartholomew Eldredge et al.</w:t>
            </w:r>
            <w:r w:rsidR="00B01F8A" w:rsidRPr="00CF40B6">
              <w:rPr>
                <w:rFonts w:ascii="Times New Roman" w:eastAsia="Times New Roman" w:hAnsi="Times New Roman" w:cs="Times New Roman"/>
                <w:color w:val="000000"/>
                <w:sz w:val="20"/>
                <w:szCs w:val="20"/>
              </w:rPr>
              <w:fldChar w:fldCharType="end"/>
            </w:r>
            <w:r w:rsidR="00B01F8A">
              <w:rPr>
                <w:rFonts w:ascii="Times New Roman" w:eastAsia="Times New Roman" w:hAnsi="Times New Roman" w:cs="Times New Roman"/>
                <w:color w:val="000000"/>
                <w:sz w:val="20"/>
                <w:szCs w:val="20"/>
              </w:rPr>
              <w:t>]</w:t>
            </w:r>
          </w:p>
        </w:tc>
      </w:tr>
      <w:tr w:rsidR="00BD7A82" w:rsidRPr="00CF40B6" w:rsidTr="005E3A74">
        <w:tc>
          <w:tcPr>
            <w:tcW w:w="2155" w:type="dxa"/>
            <w:shd w:val="clear" w:color="auto" w:fill="auto"/>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8) Implement</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“Implement adapted intervention (most of the adaptation has been systematically completed).”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[Bartholomew Eldredge et al.</w:t>
            </w:r>
            <w:r w:rsidR="00B01F8A" w:rsidRPr="00CF40B6">
              <w:rPr>
                <w:rFonts w:ascii="Times New Roman" w:eastAsia="Times New Roman" w:hAnsi="Times New Roman" w:cs="Times New Roman"/>
                <w:color w:val="000000"/>
                <w:sz w:val="20"/>
                <w:szCs w:val="20"/>
              </w:rPr>
              <w:fldChar w:fldCharType="end"/>
            </w:r>
            <w:r w:rsidR="00B01F8A">
              <w:rPr>
                <w:rFonts w:ascii="Times New Roman" w:eastAsia="Times New Roman" w:hAnsi="Times New Roman" w:cs="Times New Roman"/>
                <w:color w:val="000000"/>
                <w:sz w:val="20"/>
                <w:szCs w:val="20"/>
              </w:rPr>
              <w:t>]</w:t>
            </w:r>
          </w:p>
        </w:tc>
      </w:tr>
      <w:tr w:rsidR="00BD7A82" w:rsidRPr="00CF40B6" w:rsidTr="005E3A74">
        <w:tc>
          <w:tcPr>
            <w:tcW w:w="2155" w:type="dxa"/>
            <w:shd w:val="clear" w:color="auto" w:fill="auto"/>
          </w:tcPr>
          <w:p w:rsidR="00BD7A82" w:rsidRPr="00CF40B6" w:rsidRDefault="00BD7A82" w:rsidP="005E3A74">
            <w:pPr>
              <w:ind w:firstLine="157"/>
              <w:rPr>
                <w:rFonts w:ascii="Times New Roman" w:hAnsi="Times New Roman" w:cs="Times New Roman"/>
                <w:sz w:val="20"/>
                <w:szCs w:val="20"/>
              </w:rPr>
            </w:pPr>
            <w:r w:rsidRPr="00CF40B6">
              <w:rPr>
                <w:rFonts w:ascii="Times New Roman" w:hAnsi="Times New Roman" w:cs="Times New Roman"/>
                <w:sz w:val="20"/>
                <w:szCs w:val="20"/>
              </w:rPr>
              <w:t>9) Evaluate</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“Collect process measures on adapted intervention implementation, conduct process monitoring and evaluation on adapted intervention i</w:t>
            </w:r>
            <w:bookmarkStart w:id="0" w:name="_GoBack"/>
            <w:bookmarkEnd w:id="0"/>
            <w:r w:rsidRPr="00CF40B6">
              <w:rPr>
                <w:rFonts w:ascii="Times New Roman" w:eastAsia="Times New Roman" w:hAnsi="Times New Roman" w:cs="Times New Roman"/>
                <w:color w:val="000000"/>
                <w:sz w:val="20"/>
                <w:szCs w:val="20"/>
              </w:rPr>
              <w:t xml:space="preserve">mplementation, collect intervention outcome measures, conduct outcome monitoring and evaluation, and make small changes as needed to staff and intervention based on process evaluation findings.” </w:t>
            </w:r>
            <w:r w:rsidR="00B01F8A" w:rsidRPr="00CF40B6">
              <w:rPr>
                <w:rFonts w:ascii="Times New Roman" w:eastAsia="Times New Roman" w:hAnsi="Times New Roman" w:cs="Times New Roman"/>
                <w:color w:val="000000"/>
                <w:sz w:val="20"/>
                <w:szCs w:val="20"/>
              </w:rPr>
              <w:fldChar w:fldCharType="begin"/>
            </w:r>
            <w:r w:rsidR="00B01F8A">
              <w:rPr>
                <w:rFonts w:ascii="Times New Roman" w:eastAsia="Times New Roman" w:hAnsi="Times New Roman" w:cs="Times New Roman"/>
                <w:color w:val="000000"/>
                <w:sz w:val="20"/>
                <w:szCs w:val="20"/>
              </w:rPr>
              <w:instrText xml:space="preserve"> ADDIN EN.CITE &lt;EndNote&gt;&lt;Cite&gt;&lt;Author&gt;McKleroy&lt;/Author&gt;&lt;Year&gt;2006&lt;/Year&gt;&lt;RecNum&gt;153&lt;/RecNum&gt;&lt;DisplayText&gt;[4]&lt;/DisplayText&gt;&lt;record&gt;&lt;rec-number&gt;153&lt;/rec-number&gt;&lt;foreign-keys&gt;&lt;key app="EN" db-id="tx0f0dtw6ad2zpeewv7vx2vcv0rpp5s9z0t0" timestamp="1476368534"&gt;153&lt;/key&gt;&lt;/foreign-keys&gt;&lt;ref-type name="Journal Article"&gt;17&lt;/ref-type&gt;&lt;contributors&gt;&lt;authors&gt;&lt;author&gt;McKleroy, Vel S&lt;/author&gt;&lt;author&gt;Galbraith, Jennifer S&lt;/author&gt;&lt;author&gt;Cummings, Beverley&lt;/author&gt;&lt;author&gt;Jones, Patricia&lt;/author&gt;&lt;/authors&gt;&lt;/contributors&gt;&lt;titles&gt;&lt;title&gt;Adapting evidence-based behavioral interventions for new settings and target populations&lt;/title&gt;&lt;secondary-title&gt;AIDS Education and Prevention&lt;/secondary-title&gt;&lt;/titles&gt;&lt;periodical&gt;&lt;full-title&gt;AIDS Education and Prevention&lt;/full-title&gt;&lt;/periodical&gt;&lt;pages&gt;59&lt;/pages&gt;&lt;volume&gt;18&lt;/volume&gt;&lt;dates&gt;&lt;year&gt;2006&lt;/year&gt;&lt;/dates&gt;&lt;isbn&gt;0899-9546&lt;/isbn&gt;&lt;urls&gt;&lt;/urls&gt;&lt;/record&gt;&lt;/Cite&gt;&lt;/EndNote&gt;</w:instrText>
            </w:r>
            <w:r w:rsidR="00B01F8A" w:rsidRPr="00CF40B6">
              <w:rPr>
                <w:rFonts w:ascii="Times New Roman" w:eastAsia="Times New Roman" w:hAnsi="Times New Roman" w:cs="Times New Roman"/>
                <w:color w:val="000000"/>
                <w:sz w:val="20"/>
                <w:szCs w:val="20"/>
              </w:rPr>
              <w:fldChar w:fldCharType="separate"/>
            </w:r>
            <w:r w:rsidR="00B01F8A">
              <w:rPr>
                <w:rFonts w:ascii="Times New Roman" w:eastAsia="Times New Roman" w:hAnsi="Times New Roman" w:cs="Times New Roman"/>
                <w:noProof/>
                <w:color w:val="000000"/>
                <w:sz w:val="20"/>
                <w:szCs w:val="20"/>
              </w:rPr>
              <w:t>[Bartholomew Eldredge et al.</w:t>
            </w:r>
            <w:r w:rsidR="00B01F8A" w:rsidRPr="00CF40B6">
              <w:rPr>
                <w:rFonts w:ascii="Times New Roman" w:eastAsia="Times New Roman" w:hAnsi="Times New Roman" w:cs="Times New Roman"/>
                <w:color w:val="000000"/>
                <w:sz w:val="20"/>
                <w:szCs w:val="20"/>
              </w:rPr>
              <w:fldChar w:fldCharType="end"/>
            </w:r>
            <w:r w:rsidR="00B01F8A">
              <w:rPr>
                <w:rFonts w:ascii="Times New Roman" w:eastAsia="Times New Roman" w:hAnsi="Times New Roman" w:cs="Times New Roman"/>
                <w:color w:val="000000"/>
                <w:sz w:val="20"/>
                <w:szCs w:val="20"/>
              </w:rPr>
              <w:t>]</w:t>
            </w:r>
          </w:p>
        </w:tc>
      </w:tr>
      <w:tr w:rsidR="00BD7A82" w:rsidRPr="00CF40B6" w:rsidTr="005E3A74">
        <w:tc>
          <w:tcPr>
            <w:tcW w:w="2155" w:type="dxa"/>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Pr>
                <w:rFonts w:ascii="Times New Roman" w:hAnsi="Times New Roman" w:cs="Times New Roman"/>
                <w:b/>
                <w:sz w:val="20"/>
                <w:szCs w:val="20"/>
              </w:rPr>
              <w:t xml:space="preserve">Consulted with Developer </w:t>
            </w:r>
          </w:p>
        </w:tc>
        <w:tc>
          <w:tcPr>
            <w:tcW w:w="7830" w:type="dxa"/>
            <w:shd w:val="clear" w:color="auto" w:fill="D9D9D9" w:themeFill="background1" w:themeFillShade="D9"/>
          </w:tcPr>
          <w:p w:rsidR="00BD7A82" w:rsidRPr="00CF40B6" w:rsidRDefault="00BD7A82" w:rsidP="005E3A74">
            <w:pPr>
              <w:rPr>
                <w:rFonts w:ascii="Times New Roman" w:hAnsi="Times New Roman" w:cs="Times New Roman"/>
                <w:sz w:val="20"/>
                <w:szCs w:val="20"/>
              </w:rPr>
            </w:pPr>
            <w:r>
              <w:rPr>
                <w:rFonts w:ascii="Times New Roman" w:hAnsi="Times New Roman" w:cs="Times New Roman"/>
                <w:sz w:val="20"/>
                <w:szCs w:val="20"/>
              </w:rPr>
              <w:t>Authors or adaptation team communicated with the original program developer(s).</w:t>
            </w:r>
          </w:p>
        </w:tc>
      </w:tr>
      <w:tr w:rsidR="00BD7A82" w:rsidRPr="00CF40B6" w:rsidTr="005E3A74">
        <w:tc>
          <w:tcPr>
            <w:tcW w:w="2155" w:type="dxa"/>
            <w:shd w:val="clear" w:color="auto" w:fill="D9D9D9" w:themeFill="background1" w:themeFillShade="D9"/>
          </w:tcPr>
          <w:p w:rsidR="00BD7A82" w:rsidRPr="00CF40B6" w:rsidRDefault="00BD7A82" w:rsidP="005E3A74">
            <w:pPr>
              <w:rPr>
                <w:rFonts w:ascii="Times New Roman" w:hAnsi="Times New Roman" w:cs="Times New Roman"/>
                <w:b/>
                <w:sz w:val="20"/>
                <w:szCs w:val="20"/>
              </w:rPr>
            </w:pPr>
            <w:r w:rsidRPr="00CF40B6">
              <w:rPr>
                <w:rFonts w:ascii="Times New Roman" w:hAnsi="Times New Roman" w:cs="Times New Roman"/>
                <w:b/>
                <w:sz w:val="20"/>
                <w:szCs w:val="20"/>
              </w:rPr>
              <w:t>Implementation Outcomes</w:t>
            </w:r>
          </w:p>
        </w:tc>
        <w:tc>
          <w:tcPr>
            <w:tcW w:w="7830" w:type="dxa"/>
            <w:shd w:val="clear" w:color="auto" w:fill="D9D9D9" w:themeFill="background1" w:themeFillShade="D9"/>
          </w:tcPr>
          <w:p w:rsidR="00BD7A82" w:rsidRPr="00CF40B6" w:rsidRDefault="00BD7A82" w:rsidP="005E3A74">
            <w:pPr>
              <w:rPr>
                <w:rFonts w:ascii="Times New Roman" w:hAnsi="Times New Roman" w:cs="Times New Roman"/>
                <w:sz w:val="20"/>
                <w:szCs w:val="20"/>
              </w:rPr>
            </w:pPr>
            <w:r>
              <w:rPr>
                <w:rFonts w:ascii="Times New Roman" w:hAnsi="Times New Roman" w:cs="Times New Roman"/>
                <w:sz w:val="20"/>
                <w:szCs w:val="20"/>
              </w:rPr>
              <w:t>Definitions from Proctor et al., 2011</w:t>
            </w:r>
          </w:p>
        </w:tc>
      </w:tr>
      <w:tr w:rsidR="00BD7A82" w:rsidRPr="00CF40B6" w:rsidTr="005E3A74">
        <w:tc>
          <w:tcPr>
            <w:tcW w:w="2155" w:type="dxa"/>
            <w:shd w:val="clear" w:color="auto" w:fill="auto"/>
          </w:tcPr>
          <w:p w:rsidR="00BD7A82" w:rsidRPr="00CF40B6" w:rsidRDefault="00BD7A82" w:rsidP="005E3A74">
            <w:pPr>
              <w:ind w:left="607" w:hanging="450"/>
              <w:rPr>
                <w:rFonts w:ascii="Times New Roman" w:hAnsi="Times New Roman" w:cs="Times New Roman"/>
                <w:sz w:val="20"/>
                <w:szCs w:val="20"/>
              </w:rPr>
            </w:pPr>
            <w:r w:rsidRPr="00CF40B6">
              <w:rPr>
                <w:rFonts w:ascii="Times New Roman" w:hAnsi="Times New Roman" w:cs="Times New Roman"/>
                <w:sz w:val="20"/>
                <w:szCs w:val="20"/>
              </w:rPr>
              <w:t>1) Acceptability</w:t>
            </w:r>
          </w:p>
        </w:tc>
        <w:tc>
          <w:tcPr>
            <w:tcW w:w="7830" w:type="dxa"/>
            <w:shd w:val="clear" w:color="auto" w:fill="auto"/>
          </w:tcPr>
          <w:p w:rsidR="00BD7A82" w:rsidRPr="00CF40B6" w:rsidRDefault="00BD7A82" w:rsidP="00BD7A82">
            <w:pPr>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perception among implementation stakeholders that a given treatment, service, practice, or innovation is agreeable, palatable, or satisfactory (e.g., in terms of content, complexity, comfort, delivery, and credibility).” </w:t>
            </w:r>
          </w:p>
        </w:tc>
      </w:tr>
      <w:tr w:rsidR="00BD7A82" w:rsidRPr="00CF40B6" w:rsidTr="005E3A74">
        <w:tc>
          <w:tcPr>
            <w:tcW w:w="2155" w:type="dxa"/>
            <w:shd w:val="clear" w:color="auto" w:fill="auto"/>
          </w:tcPr>
          <w:p w:rsidR="00BD7A82" w:rsidRPr="00CF40B6" w:rsidRDefault="00BD7A82" w:rsidP="005E3A74">
            <w:pPr>
              <w:ind w:left="607" w:hanging="450"/>
              <w:rPr>
                <w:rFonts w:ascii="Times New Roman" w:hAnsi="Times New Roman" w:cs="Times New Roman"/>
                <w:sz w:val="20"/>
                <w:szCs w:val="20"/>
              </w:rPr>
            </w:pPr>
            <w:r w:rsidRPr="00CF40B6">
              <w:rPr>
                <w:rFonts w:ascii="Times New Roman" w:hAnsi="Times New Roman" w:cs="Times New Roman"/>
                <w:sz w:val="20"/>
                <w:szCs w:val="20"/>
              </w:rPr>
              <w:t>2) Adoption</w:t>
            </w:r>
          </w:p>
        </w:tc>
        <w:tc>
          <w:tcPr>
            <w:tcW w:w="7830" w:type="dxa"/>
            <w:shd w:val="clear" w:color="auto" w:fill="auto"/>
          </w:tcPr>
          <w:p w:rsidR="00BD7A82" w:rsidRPr="00CF40B6" w:rsidRDefault="00BD7A82" w:rsidP="005E3A74">
            <w:pPr>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intention, initial decision, or action to try or employ an innovation or evidence-based practice.” </w:t>
            </w:r>
          </w:p>
        </w:tc>
      </w:tr>
      <w:tr w:rsidR="00BD7A82" w:rsidRPr="00CF40B6" w:rsidTr="005E3A74">
        <w:tc>
          <w:tcPr>
            <w:tcW w:w="2155" w:type="dxa"/>
            <w:shd w:val="clear" w:color="auto" w:fill="auto"/>
          </w:tcPr>
          <w:p w:rsidR="00BD7A82" w:rsidRPr="00CF40B6" w:rsidRDefault="00BD7A82" w:rsidP="005E3A74">
            <w:pPr>
              <w:ind w:left="607" w:hanging="450"/>
              <w:rPr>
                <w:rFonts w:ascii="Times New Roman" w:hAnsi="Times New Roman" w:cs="Times New Roman"/>
                <w:sz w:val="20"/>
                <w:szCs w:val="20"/>
              </w:rPr>
            </w:pPr>
            <w:r w:rsidRPr="00CF40B6">
              <w:rPr>
                <w:rFonts w:ascii="Times New Roman" w:hAnsi="Times New Roman" w:cs="Times New Roman"/>
                <w:sz w:val="20"/>
                <w:szCs w:val="20"/>
              </w:rPr>
              <w:t>3) Fidelity</w:t>
            </w:r>
          </w:p>
        </w:tc>
        <w:tc>
          <w:tcPr>
            <w:tcW w:w="7830" w:type="dxa"/>
            <w:shd w:val="clear" w:color="auto" w:fill="auto"/>
          </w:tcPr>
          <w:p w:rsidR="00BD7A82" w:rsidRPr="00CF40B6" w:rsidRDefault="00BD7A82" w:rsidP="005E3A74">
            <w:pPr>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degree to which an intervention was implemented as it was prescribed in the original protocol or as it was intended by the program developers.” </w:t>
            </w:r>
          </w:p>
        </w:tc>
      </w:tr>
      <w:tr w:rsidR="00BD7A82" w:rsidRPr="00CF40B6" w:rsidTr="005E3A74">
        <w:tc>
          <w:tcPr>
            <w:tcW w:w="2155" w:type="dxa"/>
            <w:shd w:val="clear" w:color="auto" w:fill="auto"/>
          </w:tcPr>
          <w:p w:rsidR="00BD7A82" w:rsidRPr="00CF40B6" w:rsidRDefault="00BD7A82" w:rsidP="005E3A74">
            <w:pPr>
              <w:ind w:left="607" w:hanging="450"/>
              <w:rPr>
                <w:rFonts w:ascii="Times New Roman" w:hAnsi="Times New Roman" w:cs="Times New Roman"/>
                <w:sz w:val="20"/>
                <w:szCs w:val="20"/>
              </w:rPr>
            </w:pPr>
            <w:r w:rsidRPr="00CF40B6">
              <w:rPr>
                <w:rFonts w:ascii="Times New Roman" w:hAnsi="Times New Roman" w:cs="Times New Roman"/>
                <w:sz w:val="20"/>
                <w:szCs w:val="20"/>
              </w:rPr>
              <w:t>4) Feasibility</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extent to which a new treatment, or an innovation, can be successfully used or carried out within a given agency or setting.” </w:t>
            </w:r>
          </w:p>
        </w:tc>
      </w:tr>
      <w:tr w:rsidR="00BD7A82" w:rsidRPr="00CF40B6" w:rsidTr="005E3A74">
        <w:tc>
          <w:tcPr>
            <w:tcW w:w="2155" w:type="dxa"/>
            <w:shd w:val="clear" w:color="auto" w:fill="auto"/>
          </w:tcPr>
          <w:p w:rsidR="00BD7A82" w:rsidRPr="00CF40B6" w:rsidRDefault="00BD7A82" w:rsidP="005E3A74">
            <w:pPr>
              <w:ind w:left="607" w:hanging="450"/>
              <w:rPr>
                <w:rFonts w:ascii="Times New Roman" w:hAnsi="Times New Roman" w:cs="Times New Roman"/>
                <w:sz w:val="20"/>
                <w:szCs w:val="20"/>
              </w:rPr>
            </w:pPr>
            <w:r w:rsidRPr="00CF40B6">
              <w:rPr>
                <w:rFonts w:ascii="Times New Roman" w:hAnsi="Times New Roman" w:cs="Times New Roman"/>
                <w:sz w:val="20"/>
                <w:szCs w:val="20"/>
              </w:rPr>
              <w:t>5) Sustainability</w:t>
            </w:r>
          </w:p>
        </w:tc>
        <w:tc>
          <w:tcPr>
            <w:tcW w:w="7830" w:type="dxa"/>
            <w:shd w:val="clear" w:color="auto" w:fill="auto"/>
          </w:tcPr>
          <w:p w:rsidR="00BD7A82" w:rsidRPr="00CF40B6" w:rsidRDefault="00BD7A82" w:rsidP="005E3A74">
            <w:pPr>
              <w:spacing w:after="120"/>
              <w:rPr>
                <w:rFonts w:ascii="Times New Roman" w:eastAsia="Times New Roman" w:hAnsi="Times New Roman" w:cs="Times New Roman"/>
                <w:color w:val="000000"/>
                <w:sz w:val="20"/>
                <w:szCs w:val="20"/>
              </w:rPr>
            </w:pPr>
            <w:r w:rsidRPr="00CF40B6">
              <w:rPr>
                <w:rFonts w:ascii="Times New Roman" w:eastAsia="Times New Roman" w:hAnsi="Times New Roman" w:cs="Times New Roman"/>
                <w:color w:val="000000"/>
                <w:sz w:val="20"/>
                <w:szCs w:val="20"/>
              </w:rPr>
              <w:t xml:space="preserve">“The extent to which a newly implemented treatment is maintained or institutionalized within a service setting’s ongoing, stable operations.” </w:t>
            </w:r>
          </w:p>
        </w:tc>
      </w:tr>
    </w:tbl>
    <w:p w:rsidR="00A26FDD" w:rsidRDefault="00B01F8A"/>
    <w:sectPr w:rsidR="00A26F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A82"/>
    <w:rsid w:val="00615938"/>
    <w:rsid w:val="008E2D57"/>
    <w:rsid w:val="00B01F8A"/>
    <w:rsid w:val="00B04BB0"/>
    <w:rsid w:val="00BD7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0FD7"/>
  <w15:chartTrackingRefBased/>
  <w15:docId w15:val="{C3C6877F-A0F5-40FC-8537-21CAD174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A8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D7A82"/>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3165</Words>
  <Characters>18047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21170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Escoffery, Ngoc Cam</dc:creator>
  <cp:keywords/>
  <dc:description/>
  <cp:lastModifiedBy>Escoffery, Ngoc Cam</cp:lastModifiedBy>
  <cp:revision>3</cp:revision>
  <dcterms:created xsi:type="dcterms:W3CDTF">2018-02-20T19:39:00Z</dcterms:created>
  <dcterms:modified xsi:type="dcterms:W3CDTF">2018-02-22T22:36:00Z</dcterms:modified>
</cp:coreProperties>
</file>