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BC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  <w:r w:rsidRPr="00BB2E76">
        <w:rPr>
          <w:rFonts w:ascii="Times New Roman" w:hAnsi="Times New Roman" w:cs="Times New Roman"/>
          <w:b/>
          <w:u w:val="single"/>
        </w:rPr>
        <w:t>Supplementary material 3</w:t>
      </w:r>
      <w:r>
        <w:rPr>
          <w:rFonts w:ascii="Times New Roman" w:hAnsi="Times New Roman" w:cs="Times New Roman"/>
          <w:b/>
          <w:u w:val="single"/>
        </w:rPr>
        <w:t>A</w:t>
      </w:r>
      <w:r w:rsidRPr="00BB2E76">
        <w:rPr>
          <w:rFonts w:ascii="Times New Roman" w:hAnsi="Times New Roman" w:cs="Times New Roman"/>
          <w:b/>
          <w:u w:val="single"/>
        </w:rPr>
        <w:t xml:space="preserve">: </w:t>
      </w:r>
      <w:r>
        <w:rPr>
          <w:rFonts w:ascii="Times New Roman" w:hAnsi="Times New Roman" w:cs="Times New Roman"/>
          <w:b/>
          <w:u w:val="single"/>
        </w:rPr>
        <w:t>Statistics</w:t>
      </w:r>
      <w:r>
        <w:rPr>
          <w:rFonts w:ascii="Times New Roman" w:hAnsi="Times New Roman" w:cs="Times New Roman"/>
          <w:b/>
          <w:u w:val="single"/>
        </w:rPr>
        <w:t xml:space="preserve"> results 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tables</w:t>
      </w:r>
    </w:p>
    <w:p w:rsidR="00BD3FBC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8461" w:type="dxa"/>
        <w:tblInd w:w="-34" w:type="dxa"/>
        <w:tblLook w:val="04A0" w:firstRow="1" w:lastRow="0" w:firstColumn="1" w:lastColumn="0" w:noHBand="0" w:noVBand="1"/>
      </w:tblPr>
      <w:tblGrid>
        <w:gridCol w:w="2775"/>
        <w:gridCol w:w="2636"/>
        <w:gridCol w:w="3050"/>
      </w:tblGrid>
      <w:tr w:rsidR="00BD3FBC" w:rsidTr="00025607">
        <w:tc>
          <w:tcPr>
            <w:tcW w:w="8461" w:type="dxa"/>
            <w:gridSpan w:val="3"/>
          </w:tcPr>
          <w:p w:rsidR="00BD3FBC" w:rsidRPr="001C5559" w:rsidRDefault="00BD3FBC" w:rsidP="0002560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1C5559">
              <w:rPr>
                <w:rFonts w:ascii="Times New Roman" w:hAnsi="Times New Roman"/>
                <w:b/>
              </w:rPr>
              <w:t>Element complexity</w:t>
            </w:r>
            <w:r>
              <w:rPr>
                <w:rFonts w:ascii="Times New Roman" w:hAnsi="Times New Roman"/>
                <w:b/>
              </w:rPr>
              <w:t xml:space="preserve"> v Compliance</w:t>
            </w:r>
          </w:p>
        </w:tc>
      </w:tr>
      <w:tr w:rsidR="00BD3FBC" w:rsidTr="00025607">
        <w:tc>
          <w:tcPr>
            <w:tcW w:w="2775" w:type="dxa"/>
          </w:tcPr>
          <w:p w:rsidR="00BD3FBC" w:rsidRPr="001F7D26" w:rsidRDefault="00BD3FBC" w:rsidP="00025607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1F7D26">
              <w:rPr>
                <w:rFonts w:ascii="Times New Roman" w:hAnsi="Times New Roman"/>
              </w:rPr>
              <w:t>Compliance V simple/complex elements</w:t>
            </w:r>
          </w:p>
        </w:tc>
        <w:tc>
          <w:tcPr>
            <w:tcW w:w="2636" w:type="dxa"/>
          </w:tcPr>
          <w:p w:rsidR="00BD3FBC" w:rsidRDefault="00BD3FBC" w:rsidP="00025607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Chi-squared=23.051</w:t>
            </w:r>
          </w:p>
          <w:p w:rsidR="00BD3FBC" w:rsidRPr="00FC3A49" w:rsidRDefault="00BD3FBC" w:rsidP="00025607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proofErr w:type="gramStart"/>
            <w:r w:rsidRPr="00FC3A49">
              <w:rPr>
                <w:rFonts w:ascii="Times New Roman" w:hAnsi="Times New Roman"/>
                <w:b/>
              </w:rPr>
              <w:t>p</w:t>
            </w:r>
            <w:proofErr w:type="gramEnd"/>
            <w:r w:rsidRPr="00FC3A49">
              <w:rPr>
                <w:rFonts w:ascii="Times New Roman" w:hAnsi="Times New Roman"/>
                <w:b/>
              </w:rPr>
              <w:t>=&lt;0.001</w:t>
            </w:r>
          </w:p>
        </w:tc>
        <w:tc>
          <w:tcPr>
            <w:tcW w:w="3050" w:type="dxa"/>
          </w:tcPr>
          <w:p w:rsidR="00BD3FBC" w:rsidRPr="001F7D26" w:rsidRDefault="00BD3FBC" w:rsidP="00025607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1F7D26">
              <w:rPr>
                <w:rFonts w:ascii="Times New Roman" w:hAnsi="Times New Roman"/>
              </w:rPr>
              <w:t>Kruskal</w:t>
            </w:r>
            <w:proofErr w:type="spellEnd"/>
            <w:r w:rsidRPr="001F7D26">
              <w:rPr>
                <w:rFonts w:ascii="Times New Roman" w:hAnsi="Times New Roman"/>
              </w:rPr>
              <w:t>-Wallis rank sum test</w:t>
            </w:r>
          </w:p>
        </w:tc>
      </w:tr>
    </w:tbl>
    <w:p w:rsidR="00BD3FBC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</w:p>
    <w:p w:rsidR="00BD3FBC" w:rsidRPr="00A81A35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  <w:r w:rsidRPr="00BB2E76">
        <w:rPr>
          <w:rFonts w:ascii="Times New Roman" w:hAnsi="Times New Roman" w:cs="Times New Roman"/>
          <w:b/>
          <w:u w:val="single"/>
        </w:rPr>
        <w:t>Table of statistical results</w:t>
      </w:r>
      <w:r>
        <w:rPr>
          <w:rFonts w:ascii="Times New Roman" w:hAnsi="Times New Roman" w:cs="Times New Roman"/>
          <w:b/>
          <w:u w:val="single"/>
        </w:rPr>
        <w:t>: good &amp;fair studies (D&amp;B 14-28)</w:t>
      </w:r>
    </w:p>
    <w:p w:rsidR="00BD3FBC" w:rsidRPr="00A81A35" w:rsidRDefault="00BD3FBC" w:rsidP="00BD3FBC">
      <w:pPr>
        <w:rPr>
          <w:rFonts w:asciiTheme="majorHAnsi" w:hAnsiTheme="majorHAnsi"/>
        </w:rPr>
      </w:pPr>
    </w:p>
    <w:p w:rsidR="00BD3FBC" w:rsidRDefault="00BD3FBC" w:rsidP="00BD3FBC">
      <w:pPr>
        <w:pStyle w:val="ListParagraph"/>
        <w:ind w:hanging="862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2126"/>
        <w:gridCol w:w="1462"/>
      </w:tblGrid>
      <w:tr w:rsidR="00BD3FBC" w:rsidRPr="001F7D26" w:rsidTr="00025607">
        <w:tc>
          <w:tcPr>
            <w:tcW w:w="8516" w:type="dxa"/>
            <w:gridSpan w:val="5"/>
          </w:tcPr>
          <w:p w:rsidR="00BD3FBC" w:rsidRPr="001C5559" w:rsidRDefault="00BD3FBC" w:rsidP="000256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Implementation strategy</w:t>
            </w:r>
            <w:r w:rsidRPr="001C5559">
              <w:rPr>
                <w:rFonts w:ascii="Times New Roman" w:hAnsi="Times New Roman" w:cs="Times New Roman"/>
                <w:b/>
              </w:rPr>
              <w:t xml:space="preserve"> v Compliance</w:t>
            </w:r>
            <w:r>
              <w:rPr>
                <w:rFonts w:ascii="Times New Roman" w:hAnsi="Times New Roman" w:cs="Times New Roman"/>
                <w:b/>
              </w:rPr>
              <w:t xml:space="preserve"> (n=44 bundles)</w:t>
            </w:r>
          </w:p>
        </w:tc>
      </w:tr>
      <w:tr w:rsidR="00BD3FBC" w:rsidRPr="001F7D26" w:rsidTr="00025607">
        <w:trPr>
          <w:trHeight w:val="95"/>
        </w:trPr>
        <w:tc>
          <w:tcPr>
            <w:tcW w:w="1384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Unadjusted coefficient</w:t>
            </w:r>
          </w:p>
        </w:tc>
        <w:tc>
          <w:tcPr>
            <w:tcW w:w="1418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Unadjusted p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coefficient *</w:t>
            </w:r>
          </w:p>
        </w:tc>
        <w:tc>
          <w:tcPr>
            <w:tcW w:w="1462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</w:t>
            </w:r>
          </w:p>
        </w:tc>
      </w:tr>
      <w:tr w:rsidR="00BD3FBC" w:rsidRPr="001F7D26" w:rsidTr="00025607">
        <w:trPr>
          <w:trHeight w:val="94"/>
        </w:trPr>
        <w:tc>
          <w:tcPr>
            <w:tcW w:w="1384" w:type="dxa"/>
          </w:tcPr>
          <w:p w:rsidR="00BD3FBC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MDT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0.0929</w:t>
            </w:r>
          </w:p>
        </w:tc>
        <w:tc>
          <w:tcPr>
            <w:tcW w:w="1418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0.2552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0.01903</w:t>
            </w:r>
          </w:p>
        </w:tc>
        <w:tc>
          <w:tcPr>
            <w:tcW w:w="1462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0.8150</w:t>
            </w:r>
          </w:p>
        </w:tc>
      </w:tr>
      <w:tr w:rsidR="00BD3FBC" w:rsidRPr="001F7D26" w:rsidTr="00025607">
        <w:tc>
          <w:tcPr>
            <w:tcW w:w="1384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Champions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0.1231</w:t>
            </w:r>
          </w:p>
        </w:tc>
        <w:tc>
          <w:tcPr>
            <w:tcW w:w="1418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0.1293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0.14233</w:t>
            </w:r>
          </w:p>
        </w:tc>
        <w:tc>
          <w:tcPr>
            <w:tcW w:w="1462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0.0685</w:t>
            </w:r>
          </w:p>
        </w:tc>
      </w:tr>
      <w:tr w:rsidR="00BD3FBC" w:rsidRPr="001F7D26" w:rsidTr="00025607">
        <w:tc>
          <w:tcPr>
            <w:tcW w:w="1384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RCA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0.29106</w:t>
            </w:r>
          </w:p>
        </w:tc>
        <w:tc>
          <w:tcPr>
            <w:tcW w:w="1418" w:type="dxa"/>
          </w:tcPr>
          <w:p w:rsidR="00BD3FBC" w:rsidRPr="00FC3A49" w:rsidRDefault="00BD3FBC" w:rsidP="00025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0.03502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0.17133</w:t>
            </w:r>
          </w:p>
        </w:tc>
        <w:tc>
          <w:tcPr>
            <w:tcW w:w="1462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0.2160</w:t>
            </w:r>
          </w:p>
        </w:tc>
      </w:tr>
      <w:tr w:rsidR="00BD3FBC" w:rsidRPr="001F7D26" w:rsidTr="00025607">
        <w:trPr>
          <w:trHeight w:val="95"/>
        </w:trPr>
        <w:tc>
          <w:tcPr>
            <w:tcW w:w="1384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PDSA cycles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0.19846</w:t>
            </w:r>
          </w:p>
        </w:tc>
        <w:tc>
          <w:tcPr>
            <w:tcW w:w="1418" w:type="dxa"/>
          </w:tcPr>
          <w:p w:rsidR="00BD3FBC" w:rsidRPr="00FC3A49" w:rsidRDefault="00BD3FBC" w:rsidP="00025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0.01695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0.13448</w:t>
            </w:r>
          </w:p>
        </w:tc>
        <w:tc>
          <w:tcPr>
            <w:tcW w:w="1462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0.0763</w:t>
            </w:r>
          </w:p>
        </w:tc>
      </w:tr>
      <w:tr w:rsidR="00BD3FBC" w:rsidRPr="001F7D26" w:rsidTr="00025607">
        <w:trPr>
          <w:trHeight w:val="94"/>
        </w:trPr>
        <w:tc>
          <w:tcPr>
            <w:tcW w:w="1384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Reminders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-0.16072</w:t>
            </w:r>
          </w:p>
        </w:tc>
        <w:tc>
          <w:tcPr>
            <w:tcW w:w="1418" w:type="dxa"/>
          </w:tcPr>
          <w:p w:rsidR="00BD3FBC" w:rsidRPr="00FC3A49" w:rsidRDefault="00BD3FBC" w:rsidP="00025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0.04545</w:t>
            </w:r>
          </w:p>
        </w:tc>
        <w:tc>
          <w:tcPr>
            <w:tcW w:w="2126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-0.18326</w:t>
            </w:r>
          </w:p>
        </w:tc>
        <w:tc>
          <w:tcPr>
            <w:tcW w:w="1462" w:type="dxa"/>
          </w:tcPr>
          <w:p w:rsidR="00BD3FBC" w:rsidRPr="00FC3A49" w:rsidRDefault="00BD3FBC" w:rsidP="00025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0.0198</w:t>
            </w:r>
          </w:p>
        </w:tc>
      </w:tr>
    </w:tbl>
    <w:p w:rsidR="00BD3FBC" w:rsidRPr="00E06223" w:rsidRDefault="00BD3FBC" w:rsidP="00BD3FBC">
      <w:pPr>
        <w:pStyle w:val="ListParagraph"/>
        <w:ind w:hanging="862"/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Pr="00E06223">
        <w:rPr>
          <w:rFonts w:ascii="Times New Roman" w:hAnsi="Times New Roman"/>
        </w:rPr>
        <w:t xml:space="preserve">Adjusted </w:t>
      </w:r>
      <w:proofErr w:type="gramStart"/>
      <w:r w:rsidRPr="00E06223">
        <w:rPr>
          <w:rFonts w:ascii="Times New Roman" w:hAnsi="Times New Roman"/>
        </w:rPr>
        <w:t>R</w:t>
      </w:r>
      <w:r w:rsidRPr="00E06223">
        <w:rPr>
          <w:rFonts w:ascii="Times New Roman" w:hAnsi="Times New Roman"/>
          <w:vertAlign w:val="superscript"/>
        </w:rPr>
        <w:t xml:space="preserve">2  </w:t>
      </w:r>
      <w:r>
        <w:rPr>
          <w:rFonts w:ascii="Times New Roman" w:hAnsi="Times New Roman"/>
        </w:rPr>
        <w:t>23</w:t>
      </w:r>
      <w:proofErr w:type="gramEnd"/>
      <w:r w:rsidRPr="00E06223">
        <w:rPr>
          <w:rFonts w:ascii="Times New Roman" w:hAnsi="Times New Roman"/>
        </w:rPr>
        <w:t>% p&lt;0.00</w:t>
      </w:r>
      <w:r>
        <w:rPr>
          <w:rFonts w:ascii="Times New Roman" w:hAnsi="Times New Roman"/>
        </w:rPr>
        <w:t>9</w:t>
      </w:r>
    </w:p>
    <w:p w:rsidR="00BD3FBC" w:rsidRDefault="00BD3FBC" w:rsidP="00BD3FBC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D3FBC" w:rsidRPr="001F7D26" w:rsidTr="00025607">
        <w:tc>
          <w:tcPr>
            <w:tcW w:w="8516" w:type="dxa"/>
            <w:gridSpan w:val="4"/>
          </w:tcPr>
          <w:p w:rsidR="00BD3FBC" w:rsidRPr="001C5559" w:rsidRDefault="00BD3FBC" w:rsidP="000256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559">
              <w:rPr>
                <w:rFonts w:ascii="Times New Roman" w:hAnsi="Times New Roman" w:cs="Times New Roman"/>
                <w:b/>
              </w:rPr>
              <w:t>Element number v Compliance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Non-parallel C</w:t>
            </w:r>
            <w:r w:rsidRPr="0049376E">
              <w:rPr>
                <w:rFonts w:ascii="Times New Roman" w:hAnsi="Times New Roman" w:cs="Times New Roman"/>
                <w:sz w:val="20"/>
                <w:szCs w:val="20"/>
              </w:rPr>
              <w:t xml:space="preserve">ohort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Study (n=25 bundles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Prospective Cohort Study (n=12 bundles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Statistical Test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Resultant compliance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-0.47</w:t>
            </w:r>
          </w:p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3A49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FC3A49">
              <w:rPr>
                <w:rFonts w:ascii="Times New Roman" w:hAnsi="Times New Roman" w:cs="Times New Roman"/>
                <w:b/>
                <w:sz w:val="20"/>
                <w:szCs w:val="20"/>
              </w:rPr>
              <w:t>=0.01672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-0.652</w:t>
            </w:r>
          </w:p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=0.0241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</w:tcPr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Non-parallel C</w:t>
            </w:r>
            <w:r w:rsidRPr="0049376E">
              <w:rPr>
                <w:rFonts w:ascii="Times New Roman" w:hAnsi="Times New Roman" w:cs="Times New Roman"/>
                <w:sz w:val="20"/>
                <w:szCs w:val="20"/>
              </w:rPr>
              <w:t xml:space="preserve">ohort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Study (n=23 bundles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Prospective Cohort Study (n=8 bundles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Improvement compliance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-0.619</w:t>
            </w:r>
          </w:p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3A49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FC3A49">
              <w:rPr>
                <w:rFonts w:ascii="Times New Roman" w:hAnsi="Times New Roman" w:cs="Times New Roman"/>
                <w:b/>
                <w:sz w:val="20"/>
                <w:szCs w:val="20"/>
              </w:rPr>
              <w:t>=0.001643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0.16366</w:t>
            </w:r>
          </w:p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=0.6986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</w:tbl>
    <w:p w:rsidR="00BD3FBC" w:rsidRDefault="00BD3FBC" w:rsidP="00BD3FBC">
      <w:pPr>
        <w:jc w:val="center"/>
      </w:pPr>
    </w:p>
    <w:p w:rsidR="00BD3FBC" w:rsidRPr="00A81A35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  <w:r w:rsidRPr="00A81A35">
        <w:rPr>
          <w:rFonts w:ascii="Times New Roman" w:hAnsi="Times New Roman" w:cs="Times New Roman"/>
          <w:b/>
          <w:u w:val="single"/>
        </w:rPr>
        <w:t>Table of statistics: poor studies (D&amp;B 0-13)</w:t>
      </w:r>
    </w:p>
    <w:p w:rsidR="00BD3FBC" w:rsidRPr="00A81A35" w:rsidRDefault="00BD3FBC" w:rsidP="00BD3FBC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2126"/>
        <w:gridCol w:w="1462"/>
      </w:tblGrid>
      <w:tr w:rsidR="00BD3FBC" w:rsidRPr="00A81A35" w:rsidTr="00025607">
        <w:tc>
          <w:tcPr>
            <w:tcW w:w="8516" w:type="dxa"/>
            <w:gridSpan w:val="5"/>
          </w:tcPr>
          <w:p w:rsidR="00BD3FBC" w:rsidRPr="00D75CE5" w:rsidRDefault="00BD3FBC" w:rsidP="000256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CE5">
              <w:rPr>
                <w:rFonts w:ascii="Times New Roman" w:hAnsi="Times New Roman" w:cs="Times New Roman"/>
                <w:b/>
              </w:rPr>
              <w:t>Implementation strategy v Compliance (n=13)</w:t>
            </w:r>
          </w:p>
        </w:tc>
      </w:tr>
      <w:tr w:rsidR="00BD3FBC" w:rsidRPr="00A81A35" w:rsidTr="00025607">
        <w:trPr>
          <w:trHeight w:val="95"/>
        </w:trPr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Unadjusted coefficient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Unadjusted p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Adjusted coefficient *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Adjusted p</w:t>
            </w:r>
          </w:p>
        </w:tc>
      </w:tr>
      <w:tr w:rsidR="00BD3FBC" w:rsidRPr="00A81A35" w:rsidTr="00025607">
        <w:trPr>
          <w:trHeight w:val="94"/>
        </w:trPr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MDT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0.3488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0.0333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0.41763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BD3FBC" w:rsidRPr="00A81A35" w:rsidTr="00025607"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Champions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0.1183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0.533595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-0.2111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</w:tr>
      <w:tr w:rsidR="00BD3FBC" w:rsidRPr="00A81A35" w:rsidTr="00025607"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RCA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0.05252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0.15674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</w:tr>
      <w:tr w:rsidR="00BD3FBC" w:rsidRPr="00A81A35" w:rsidTr="00025607">
        <w:trPr>
          <w:trHeight w:val="95"/>
        </w:trPr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PDSA cycles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0.39257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0.01023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0.2697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BD3FBC" w:rsidRPr="00A81A35" w:rsidTr="00025607">
        <w:trPr>
          <w:trHeight w:val="94"/>
        </w:trPr>
        <w:tc>
          <w:tcPr>
            <w:tcW w:w="1384" w:type="dxa"/>
          </w:tcPr>
          <w:p w:rsidR="00BD3FBC" w:rsidRPr="00A81A35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Reminders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-0.37767</w:t>
            </w:r>
          </w:p>
        </w:tc>
        <w:tc>
          <w:tcPr>
            <w:tcW w:w="1418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2126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0.05667</w:t>
            </w:r>
          </w:p>
        </w:tc>
        <w:tc>
          <w:tcPr>
            <w:tcW w:w="1462" w:type="dxa"/>
          </w:tcPr>
          <w:p w:rsidR="00BD3FBC" w:rsidRPr="00A81A35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35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</w:tr>
    </w:tbl>
    <w:p w:rsidR="00BD3FBC" w:rsidRDefault="00BD3FBC" w:rsidP="00BD3FBC">
      <w:pPr>
        <w:pStyle w:val="ListParagraph"/>
        <w:ind w:hanging="862"/>
        <w:rPr>
          <w:rFonts w:ascii="Times New Roman" w:hAnsi="Times New Roman"/>
          <w:sz w:val="20"/>
          <w:szCs w:val="20"/>
        </w:rPr>
      </w:pPr>
      <w:r w:rsidRPr="00A81A35">
        <w:rPr>
          <w:rFonts w:asciiTheme="majorHAnsi" w:hAnsiTheme="majorHAnsi"/>
          <w:sz w:val="20"/>
          <w:szCs w:val="20"/>
        </w:rPr>
        <w:t>*</w:t>
      </w:r>
      <w:r w:rsidRPr="00A81A35">
        <w:rPr>
          <w:rFonts w:ascii="Times New Roman" w:hAnsi="Times New Roman"/>
          <w:sz w:val="20"/>
          <w:szCs w:val="20"/>
        </w:rPr>
        <w:t xml:space="preserve">Adjusted </w:t>
      </w:r>
      <w:proofErr w:type="gramStart"/>
      <w:r w:rsidRPr="00A81A35">
        <w:rPr>
          <w:rFonts w:ascii="Times New Roman" w:hAnsi="Times New Roman"/>
          <w:sz w:val="20"/>
          <w:szCs w:val="20"/>
        </w:rPr>
        <w:t>R</w:t>
      </w:r>
      <w:r w:rsidRPr="00A81A35">
        <w:rPr>
          <w:rFonts w:ascii="Times New Roman" w:hAnsi="Times New Roman"/>
          <w:sz w:val="20"/>
          <w:szCs w:val="20"/>
          <w:vertAlign w:val="superscript"/>
        </w:rPr>
        <w:t xml:space="preserve">2  </w:t>
      </w:r>
      <w:r w:rsidRPr="00A81A35">
        <w:rPr>
          <w:rFonts w:ascii="Times New Roman" w:hAnsi="Times New Roman"/>
          <w:sz w:val="20"/>
          <w:szCs w:val="20"/>
        </w:rPr>
        <w:t>45</w:t>
      </w:r>
      <w:proofErr w:type="gramEnd"/>
      <w:r w:rsidRPr="00A81A35">
        <w:rPr>
          <w:rFonts w:ascii="Times New Roman" w:hAnsi="Times New Roman"/>
          <w:sz w:val="20"/>
          <w:szCs w:val="20"/>
        </w:rPr>
        <w:t>% p=0.093</w:t>
      </w:r>
    </w:p>
    <w:p w:rsidR="00BD3FBC" w:rsidRPr="00A81A35" w:rsidRDefault="00BD3FBC" w:rsidP="00BD3FBC">
      <w:pPr>
        <w:pStyle w:val="ListParagraph"/>
        <w:ind w:hanging="862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D3FBC" w:rsidRPr="001F7D26" w:rsidTr="00025607">
        <w:tc>
          <w:tcPr>
            <w:tcW w:w="8516" w:type="dxa"/>
            <w:gridSpan w:val="4"/>
          </w:tcPr>
          <w:p w:rsidR="00BD3FBC" w:rsidRPr="001C5559" w:rsidRDefault="00BD3FBC" w:rsidP="000256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559">
              <w:rPr>
                <w:rFonts w:ascii="Times New Roman" w:hAnsi="Times New Roman" w:cs="Times New Roman"/>
                <w:b/>
              </w:rPr>
              <w:t>Element number v Compliance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BD3FBC" w:rsidRPr="00C96032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Non-parallel Cohort Study (n=7 bundles)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Prospective Cohort Study (n=5 bundles)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Statistical Test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Resultant compliance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Rho= -0.312</w:t>
            </w:r>
          </w:p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=0.4957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Rho= -0.975</w:t>
            </w:r>
          </w:p>
          <w:p w:rsidR="00BD3FBC" w:rsidRPr="00C96032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96032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C96032">
              <w:rPr>
                <w:rFonts w:ascii="Times New Roman" w:hAnsi="Times New Roman" w:cs="Times New Roman"/>
                <w:b/>
                <w:sz w:val="20"/>
                <w:szCs w:val="20"/>
              </w:rPr>
              <w:t>=0.004818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Non-parallel C</w:t>
            </w:r>
            <w:r w:rsidRPr="0049376E">
              <w:rPr>
                <w:rFonts w:ascii="Times New Roman" w:hAnsi="Times New Roman" w:cs="Times New Roman"/>
                <w:sz w:val="20"/>
                <w:szCs w:val="20"/>
              </w:rPr>
              <w:t xml:space="preserve">ohort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Study (n=7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Prospective Cohort Study (n=1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Improvement compliance</w:t>
            </w:r>
          </w:p>
        </w:tc>
        <w:tc>
          <w:tcPr>
            <w:tcW w:w="2129" w:type="dxa"/>
          </w:tcPr>
          <w:p w:rsidR="00BD3FBC" w:rsidRPr="007514E3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Rho= -0.03704</w:t>
            </w:r>
          </w:p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=0.9372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N/A</w:t>
            </w:r>
          </w:p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=N/A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FBC" w:rsidRPr="00A81A35" w:rsidRDefault="00BD3FBC" w:rsidP="00BD3FBC">
      <w:pPr>
        <w:rPr>
          <w:sz w:val="20"/>
          <w:szCs w:val="20"/>
        </w:rPr>
      </w:pPr>
      <w:r w:rsidRPr="00A81A35">
        <w:rPr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D3FBC" w:rsidRPr="001F7D26" w:rsidTr="00025607">
        <w:tc>
          <w:tcPr>
            <w:tcW w:w="8516" w:type="dxa"/>
            <w:gridSpan w:val="4"/>
          </w:tcPr>
          <w:p w:rsidR="00BD3FBC" w:rsidRPr="001C5559" w:rsidRDefault="00BD3FBC" w:rsidP="000256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559">
              <w:rPr>
                <w:rFonts w:ascii="Times New Roman" w:hAnsi="Times New Roman" w:cs="Times New Roman"/>
                <w:b/>
              </w:rPr>
              <w:lastRenderedPageBreak/>
              <w:t>Element number v Compliance</w:t>
            </w:r>
            <w:r>
              <w:rPr>
                <w:rFonts w:ascii="Times New Roman" w:hAnsi="Times New Roman" w:cs="Times New Roman"/>
                <w:b/>
              </w:rPr>
              <w:t xml:space="preserve"> (n=13)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BD3FBC" w:rsidRPr="00C96032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Non-parallel Cohort Study (n=7 bundles)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Prospective Cohort Study (n=5 bundles)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Statistical Test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Resultant compliance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Rho= -0.312</w:t>
            </w:r>
          </w:p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=0.4957</w:t>
            </w:r>
          </w:p>
        </w:tc>
        <w:tc>
          <w:tcPr>
            <w:tcW w:w="2129" w:type="dxa"/>
          </w:tcPr>
          <w:p w:rsidR="00BD3FBC" w:rsidRPr="00C96032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032">
              <w:rPr>
                <w:rFonts w:ascii="Times New Roman" w:hAnsi="Times New Roman" w:cs="Times New Roman"/>
                <w:sz w:val="20"/>
                <w:szCs w:val="20"/>
              </w:rPr>
              <w:t>Rho= -0.975</w:t>
            </w:r>
          </w:p>
          <w:p w:rsidR="00BD3FBC" w:rsidRPr="00C96032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96032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C96032">
              <w:rPr>
                <w:rFonts w:ascii="Times New Roman" w:hAnsi="Times New Roman" w:cs="Times New Roman"/>
                <w:b/>
                <w:sz w:val="20"/>
                <w:szCs w:val="20"/>
              </w:rPr>
              <w:t>=0.004818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BD3FBC" w:rsidRPr="00FC3A49" w:rsidRDefault="00BD3FBC" w:rsidP="00025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Non-parallel C</w:t>
            </w:r>
            <w:r w:rsidRPr="0049376E">
              <w:rPr>
                <w:rFonts w:ascii="Times New Roman" w:hAnsi="Times New Roman" w:cs="Times New Roman"/>
                <w:sz w:val="20"/>
                <w:szCs w:val="20"/>
              </w:rPr>
              <w:t xml:space="preserve">ohort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Study (n=7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Prospective Cohort Study (n=1</w:t>
            </w: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26">
              <w:rPr>
                <w:rFonts w:ascii="Times New Roman" w:hAnsi="Times New Roman" w:cs="Times New Roman"/>
                <w:sz w:val="20"/>
                <w:szCs w:val="20"/>
              </w:rPr>
              <w:t>Spearman’s rank order correlation</w:t>
            </w:r>
          </w:p>
        </w:tc>
      </w:tr>
      <w:tr w:rsidR="00BD3FBC" w:rsidRPr="001F7D26" w:rsidTr="00025607"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Improvement compliance</w:t>
            </w:r>
          </w:p>
        </w:tc>
        <w:tc>
          <w:tcPr>
            <w:tcW w:w="2129" w:type="dxa"/>
          </w:tcPr>
          <w:p w:rsidR="00BD3FBC" w:rsidRPr="007514E3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Rho= -0.03704</w:t>
            </w:r>
          </w:p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7514E3">
              <w:rPr>
                <w:rFonts w:ascii="Times New Roman" w:hAnsi="Times New Roman" w:cs="Times New Roman"/>
                <w:sz w:val="20"/>
                <w:szCs w:val="20"/>
              </w:rPr>
              <w:t>=0.9372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Rho= N/A</w:t>
            </w:r>
          </w:p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=N/A</w:t>
            </w:r>
          </w:p>
        </w:tc>
        <w:tc>
          <w:tcPr>
            <w:tcW w:w="2129" w:type="dxa"/>
          </w:tcPr>
          <w:p w:rsidR="00BD3FBC" w:rsidRPr="001F7D26" w:rsidRDefault="00BD3FBC" w:rsidP="00025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FBC" w:rsidRPr="00A81A35" w:rsidRDefault="00BD3FBC" w:rsidP="00BD3FBC">
      <w:pPr>
        <w:rPr>
          <w:sz w:val="20"/>
          <w:szCs w:val="20"/>
        </w:rPr>
      </w:pPr>
    </w:p>
    <w:p w:rsidR="00BD3FBC" w:rsidRDefault="00BD3FBC" w:rsidP="00BD3FBC"/>
    <w:p w:rsidR="00BD3FBC" w:rsidRPr="00222C4E" w:rsidRDefault="00BD3FBC" w:rsidP="00BD3FBC">
      <w:pPr>
        <w:jc w:val="center"/>
        <w:rPr>
          <w:rFonts w:ascii="Times New Roman" w:hAnsi="Times New Roman" w:cs="Times New Roman"/>
          <w:b/>
          <w:u w:val="single"/>
        </w:rPr>
      </w:pPr>
    </w:p>
    <w:p w:rsidR="00BD3FBC" w:rsidRPr="00BB2E76" w:rsidRDefault="00BD3FBC" w:rsidP="00BD3FBC">
      <w:pPr>
        <w:jc w:val="center"/>
        <w:rPr>
          <w:b/>
          <w:u w:val="single"/>
        </w:rPr>
      </w:pPr>
      <w:r>
        <w:rPr>
          <w:b/>
          <w:u w:val="single"/>
        </w:rPr>
        <w:t>Supplementary material 3B</w:t>
      </w:r>
      <w:r w:rsidRPr="00BB2E76">
        <w:rPr>
          <w:b/>
          <w:u w:val="single"/>
        </w:rPr>
        <w:t>: Studies used for statistical analysis</w:t>
      </w:r>
    </w:p>
    <w:p w:rsidR="00BD3FBC" w:rsidRDefault="00BD3FBC" w:rsidP="00BD3FBC"/>
    <w:p w:rsidR="00BD3FBC" w:rsidRDefault="00BD3FBC" w:rsidP="00BD3FBC">
      <w:r>
        <w:t xml:space="preserve">List of studies used for linear regression of implementation strategy against compliance based on study quality: 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>
        <w:rPr>
          <w:sz w:val="20"/>
          <w:szCs w:val="20"/>
        </w:rPr>
        <w:fldChar w:fldCharType="begin" w:fldLock="1"/>
      </w:r>
      <w:r>
        <w:rPr>
          <w:sz w:val="20"/>
          <w:szCs w:val="20"/>
        </w:rPr>
        <w:instrText xml:space="preserve">ADDIN Mendeley Bibliography CSL_BIBLIOGRAPHY </w:instrText>
      </w:r>
      <w:r>
        <w:rPr>
          <w:sz w:val="20"/>
          <w:szCs w:val="20"/>
        </w:rPr>
        <w:fldChar w:fldCharType="separate"/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>
        <w:rPr>
          <w:rFonts w:ascii="Cambria" w:hAnsi="Cambria"/>
          <w:noProof/>
          <w:sz w:val="20"/>
          <w:lang w:val="en-US"/>
        </w:rPr>
        <w:t xml:space="preserve"> </w:t>
      </w:r>
      <w:r w:rsidRPr="001C1A6D">
        <w:rPr>
          <w:rFonts w:ascii="Cambria" w:hAnsi="Cambria"/>
          <w:noProof/>
          <w:sz w:val="20"/>
          <w:lang w:val="en-US"/>
        </w:rPr>
        <w:t xml:space="preserve">Antworth A, Collins CD, Kunapuli A, et al. Impact of an antimicrobial stewardship program comprehensive care bundle on management of candidemia.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Pharmacotherapy</w:t>
      </w:r>
      <w:r w:rsidRPr="001C1A6D">
        <w:rPr>
          <w:rFonts w:ascii="Cambria" w:hAnsi="Cambria"/>
          <w:noProof/>
          <w:sz w:val="20"/>
          <w:lang w:val="en-US"/>
        </w:rPr>
        <w:t>. 2013;33(2):137-143. doi:10.1002/phar.1186.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>
        <w:rPr>
          <w:rFonts w:ascii="Cambria" w:hAnsi="Cambria"/>
          <w:noProof/>
          <w:sz w:val="20"/>
          <w:lang w:val="en-US"/>
        </w:rPr>
        <w:t xml:space="preserve"> </w:t>
      </w:r>
      <w:r w:rsidRPr="001C1A6D">
        <w:rPr>
          <w:rFonts w:ascii="Cambria" w:hAnsi="Cambria"/>
          <w:noProof/>
          <w:sz w:val="20"/>
          <w:lang w:val="en-US"/>
        </w:rPr>
        <w:t xml:space="preserve">Bandara S, Lynch G, Cooke C, Varghese P, Ward N. Using Care Bundles to Improve Surgical Outcomes and Reduce Variation in Care for Fragility Hip Fracture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Geriatr Orthop Surg Rehabil</w:t>
      </w:r>
      <w:r w:rsidRPr="001C1A6D">
        <w:rPr>
          <w:rFonts w:ascii="Cambria" w:hAnsi="Cambria"/>
          <w:noProof/>
          <w:sz w:val="20"/>
          <w:lang w:val="en-US"/>
        </w:rPr>
        <w:t>. 2017;8(2):104-108. doi:10.1177/2151458516681634.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Berg GM, Vasquez DG, Hale LS, Nyberg SM, Moran DA. Evaluation of Process Variations in Noncompliance in the Implementation of Evidence-Based Sepsis Care.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Healthc Qual</w:t>
      </w:r>
      <w:r w:rsidRPr="001C1A6D">
        <w:rPr>
          <w:rFonts w:ascii="Cambria" w:hAnsi="Cambria"/>
          <w:noProof/>
          <w:sz w:val="20"/>
          <w:lang w:val="en-US"/>
        </w:rPr>
        <w:t>. 2013;35(1):60-69. doi:10.1111/j.1945-1474.2011.00168.x.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Bessesen MT, Lopez K, Guerin K, et al. Comparison of control strategies for methicillin-resistant Staphylococcus aureus.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Infect Control</w:t>
      </w:r>
      <w:r w:rsidRPr="001C1A6D">
        <w:rPr>
          <w:rFonts w:ascii="Cambria" w:hAnsi="Cambria"/>
          <w:noProof/>
          <w:sz w:val="20"/>
          <w:lang w:val="en-US"/>
        </w:rPr>
        <w:t>. 2013;41(11):1048-1052. doi:10.1016/j.ajic.2013.01.032.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Carreno JJ, Kenney RM, Bloome M, et al. Evaluation of pharmacy generalists performing antimicrobial stewardship services.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Heal Pharm</w:t>
      </w:r>
      <w:r w:rsidRPr="001C1A6D">
        <w:rPr>
          <w:rFonts w:ascii="Cambria" w:hAnsi="Cambria"/>
          <w:noProof/>
          <w:sz w:val="20"/>
          <w:lang w:val="en-US"/>
        </w:rPr>
        <w:t>. 2015;72(15):1298-1303. doi:10.2146/ajhp140619.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Casserly B, Baram M, Walsh P, Sucov A, Ward NS, Levy MM. Implementing a collaborative protocol in a sepsis intervention program: Lessons learned.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Lung</w:t>
      </w:r>
      <w:r w:rsidRPr="001C1A6D">
        <w:rPr>
          <w:rFonts w:ascii="Cambria" w:hAnsi="Cambria"/>
          <w:noProof/>
          <w:sz w:val="20"/>
          <w:lang w:val="en-US"/>
        </w:rPr>
        <w:t>. 2011;189(1):11-19. doi:10.1007/s00408-010-9266-z.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Crolla RMPH, van der Laan L, Veen EJ, Hendriks Y, van Schendel C, Kluytmans J. Reduction of surgical site infections after implementation of a bundle of care.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2012;7(9):e44599. doi:10.1371/journal.pone.0044599.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Coba V, Whitmill M, Mooney R, et al. Resuscitation bundle compliance in severe sepsis and septic shock: improves survival, is better late than never.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Intensive Care Med</w:t>
      </w:r>
      <w:r w:rsidRPr="001C1A6D">
        <w:rPr>
          <w:rFonts w:ascii="Cambria" w:hAnsi="Cambria"/>
          <w:noProof/>
          <w:sz w:val="20"/>
          <w:lang w:val="en-US"/>
        </w:rPr>
        <w:t>. 2011;26(5):304-313. doi:10.1177/0885066610392499.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Daniels R, Nutbeam T, McNamara G, Galvin C. The sepsis six and the severe sepsis resuscitation bundle: a prospective observational cohort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Emerg Med J</w:t>
      </w:r>
      <w:r w:rsidRPr="001C1A6D">
        <w:rPr>
          <w:rFonts w:ascii="Cambria" w:hAnsi="Cambria"/>
          <w:noProof/>
          <w:sz w:val="20"/>
          <w:lang w:val="en-US"/>
        </w:rPr>
        <w:t>. 2011;28(6):507-512. doi:10.1136/emj.2010.095067.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De Miguel-Yanes JM, Muñoz-González J, Andueza-Lillo J a., Moyano-Villaseca B, González-Ramallo VJ, Bustamante-Fermosel A. Implementation of a bundle of actions to improve adherence to the Surviving Sepsis Campaign guidelines at the ED.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Emerg Med</w:t>
      </w:r>
      <w:r w:rsidRPr="001C1A6D">
        <w:rPr>
          <w:rFonts w:ascii="Cambria" w:hAnsi="Cambria"/>
          <w:noProof/>
          <w:sz w:val="20"/>
          <w:lang w:val="en-US"/>
        </w:rPr>
        <w:t>. 2009;27(6):668-674. doi:10.1016/j.ajem.2008.05.010.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Duffy EA, Rodgers CC, Shever LL, Hockenberry MJ. Implementing a Daily Maintenance Care Bundle to Prevent Central Line-Associated Bloodstream Infections in Pediatric Oncology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Pediatr Oncol Nurs</w:t>
      </w:r>
      <w:r w:rsidRPr="001C1A6D">
        <w:rPr>
          <w:rFonts w:ascii="Cambria" w:hAnsi="Cambria"/>
          <w:noProof/>
          <w:sz w:val="20"/>
          <w:lang w:val="en-US"/>
        </w:rPr>
        <w:t>. 2015;(4):1-8. doi:10.1177/1043454214563756.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Ferrer R. Improvement in Process of Care and Outcome After a Multicenter Severe Sepsis Educational Program in Spain.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JAMA</w:t>
      </w:r>
      <w:r w:rsidRPr="001C1A6D">
        <w:rPr>
          <w:rFonts w:ascii="Cambria" w:hAnsi="Cambria"/>
          <w:noProof/>
          <w:sz w:val="20"/>
          <w:lang w:val="en-US"/>
        </w:rPr>
        <w:t>. 2008;299(19):2294. doi:10.1001/jama.299.19.2294.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Girardis M, Rinaldi L, Donno L, et al. Effects on management and outcome of severe sepsis and septic shock patients admitted to the intensive care unit after implementation of a sepsis program: a pilot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Crit Care</w:t>
      </w:r>
      <w:r w:rsidRPr="001C1A6D">
        <w:rPr>
          <w:rFonts w:ascii="Cambria" w:hAnsi="Cambria"/>
          <w:noProof/>
          <w:sz w:val="20"/>
          <w:lang w:val="en-US"/>
        </w:rPr>
        <w:t>. 2009;13(5):R143. doi:10.1186/cc8029.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Joslin J, Wilson H, Zubli D, et al. Recognition and management of acute kidney injury in hospitalised patients can be partially improved with the use of a care bundle.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Clin Med (Northfield Il)</w:t>
      </w:r>
      <w:r w:rsidRPr="001C1A6D">
        <w:rPr>
          <w:rFonts w:ascii="Cambria" w:hAnsi="Cambria"/>
          <w:noProof/>
          <w:sz w:val="20"/>
          <w:lang w:val="en-US"/>
        </w:rPr>
        <w:t>. 2015;15(5):431-436. doi:10.7861/clinmedicine.15-5-431.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Kakebeeke D, Vis A, de Deckere ER, Sandel MH, de Groot B. Lack of clinically evident signs of organ failure affects ED treatment of patients with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 J Emerg Med</w:t>
      </w:r>
      <w:r w:rsidRPr="001C1A6D">
        <w:rPr>
          <w:rFonts w:ascii="Cambria" w:hAnsi="Cambria"/>
          <w:noProof/>
          <w:sz w:val="20"/>
          <w:lang w:val="en-US"/>
        </w:rPr>
        <w:t>. 2013;6(1):4. doi:10.1186/1865-1380-6-4.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Kang MJ, Shin TG, Jo IJ, et al. Factors influencing compliance with early resuscitation bundle in the management of severe sepsis and septic shock.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Shock</w:t>
      </w:r>
      <w:r w:rsidRPr="001C1A6D">
        <w:rPr>
          <w:rFonts w:ascii="Cambria" w:hAnsi="Cambria"/>
          <w:noProof/>
          <w:sz w:val="20"/>
          <w:lang w:val="en-US"/>
        </w:rPr>
        <w:t>. 2012;38(5):474-479. doi:10.1097/SHK.0b013e31826eea2b.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Kim J, Na S, Yoo YC, Koh SO. Implementing a Sepsis Resuscitation Bundle Improved Clinical Outcome: A Before-and-After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Korean J Crit Care Med</w:t>
      </w:r>
      <w:r w:rsidRPr="001C1A6D">
        <w:rPr>
          <w:rFonts w:ascii="Cambria" w:hAnsi="Cambria"/>
          <w:noProof/>
          <w:sz w:val="20"/>
          <w:lang w:val="en-US"/>
        </w:rPr>
        <w:t>. 2014;29(4):250-256. doi:10.4266/kjccm.2014.29.4.250.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Kleidon T, Illing A, Fogarty G, Edwards R, Tomlinson J, Ullman A. Improving the central venous access devices maintenance process to reduce associated infections in paediatrics: evaluation of a practical, multi-faceted quality-improvement initiative.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Healthc Infect</w:t>
      </w:r>
      <w:r w:rsidRPr="001C1A6D">
        <w:rPr>
          <w:rFonts w:ascii="Cambria" w:hAnsi="Cambria"/>
          <w:noProof/>
          <w:sz w:val="20"/>
          <w:lang w:val="en-US"/>
        </w:rPr>
        <w:t>. 2015;20(2):46. doi:10.1071/HI14038.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Kolhe N V, Staples D, Reilly T, et al. Impact of Compliance with a Care Bundle on Acute Kidney Injury Outcomes: A Prospective Observational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2015;10(7):e0132279. doi:10.1371/journal.pone.0132279.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Kolhe N V., Reilly T, Leung J, et al. A simple care bundle for use in acute kidney injury: A propensity score-matched cohort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Nephrol Dial Transplant</w:t>
      </w:r>
      <w:r w:rsidRPr="001C1A6D">
        <w:rPr>
          <w:rFonts w:ascii="Cambria" w:hAnsi="Cambria"/>
          <w:noProof/>
          <w:sz w:val="20"/>
          <w:lang w:val="en-US"/>
        </w:rPr>
        <w:t>. 2016;31(11):1846-1854. doi:10.1093/ndt/gfw087.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Kuan WS, Mahadevan M, Tan JH, Guo J, Ibrahim I. Feasibility of introduction and implementation of the Surviving Sepsis Campaign bundle in a Singapore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Eur J Emerg Med</w:t>
      </w:r>
      <w:r w:rsidRPr="001C1A6D">
        <w:rPr>
          <w:rFonts w:ascii="Cambria" w:hAnsi="Cambria"/>
          <w:noProof/>
          <w:sz w:val="20"/>
          <w:lang w:val="en-US"/>
        </w:rPr>
        <w:t>. 2013;20(5):344-349. doi:10.1097/MEJ.0b013e32835c2ba3.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Laguna-Pérez A, Chilet-Rosell E, Delgado Lacosta M, Alvarez-Dardet C, Uris Selles J, Muñoz-Mendoza CL. Clinical pathway intervention compliance and effectiveness when used in the treatment of patients with severe sepsis and septic shock at an Intensive Care Unit in Spain.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Rev Lat Am Enfermagem</w:t>
      </w:r>
      <w:r w:rsidRPr="001C1A6D">
        <w:rPr>
          <w:rFonts w:ascii="Cambria" w:hAnsi="Cambria"/>
          <w:noProof/>
          <w:sz w:val="20"/>
          <w:lang w:val="en-US"/>
        </w:rPr>
        <w:t>. 2012;20(4):635-643. http://www.ncbi.nlm.nih.gov/pubmed/22990147.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Levy MM, Dellinger RP, Townsend SR, et al. The surviving sepsis campaign: Results of an international guideline-based performance improvement program targeting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Intensive Care Med</w:t>
      </w:r>
      <w:r w:rsidRPr="001C1A6D">
        <w:rPr>
          <w:rFonts w:ascii="Cambria" w:hAnsi="Cambria"/>
          <w:noProof/>
          <w:sz w:val="20"/>
          <w:lang w:val="en-US"/>
        </w:rPr>
        <w:t>. 2010;36(2):222-231. doi:10.1007/s00134-009-1738-3.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Liu VX, Morehouse JW, Marelich GP, et al. Multicenter implementation of a treatment bundle for patients with sepsis and intermediate lactate values.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Respir Crit Care Med</w:t>
      </w:r>
      <w:r w:rsidRPr="001C1A6D">
        <w:rPr>
          <w:rFonts w:ascii="Cambria" w:hAnsi="Cambria"/>
          <w:noProof/>
          <w:sz w:val="20"/>
          <w:lang w:val="en-US"/>
        </w:rPr>
        <w:t>. 2016;193(11):1264-1270. doi:10.1164/rccm.201507-1489OC.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Nguyen CT, Gandhi T, Chenoweth C, et al. Impact of an antimicrobial stewardship-led intervention for Staphylococcus aureus bacteraemia: a quasi-experimental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Antimicrob Chemother</w:t>
      </w:r>
      <w:r w:rsidRPr="001C1A6D">
        <w:rPr>
          <w:rFonts w:ascii="Cambria" w:hAnsi="Cambria"/>
          <w:noProof/>
          <w:sz w:val="20"/>
          <w:lang w:val="en-US"/>
        </w:rPr>
        <w:t>. 2015;70(12):3390-3396. doi:10.1093/jac/dkv256.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Nguyen HB, Lynch EL, Mou JA, Lyon K, Wittlake WA, Corbett SW. The utility of a quality improvement bundle in bridging the gap between research and standard care in the management of severe sepsis and septic shock in the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Acad Emerg Med</w:t>
      </w:r>
      <w:r w:rsidRPr="001C1A6D">
        <w:rPr>
          <w:rFonts w:ascii="Cambria" w:hAnsi="Cambria"/>
          <w:noProof/>
          <w:sz w:val="20"/>
          <w:lang w:val="en-US"/>
        </w:rPr>
        <w:t>. 2007;14(11):1079-1086. doi:10.1197/j.aem.2007.06.024.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Nguyen HB, Kuan W, Batech M, et al. Outcome effectiveness of the severe sepsis resuscitation bundle with addition of lactate clearance as a bundle item: a multi-national evaluation.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Crit Care</w:t>
      </w:r>
      <w:r w:rsidRPr="001C1A6D">
        <w:rPr>
          <w:rFonts w:ascii="Cambria" w:hAnsi="Cambria"/>
          <w:noProof/>
          <w:sz w:val="20"/>
          <w:lang w:val="en-US"/>
        </w:rPr>
        <w:t>. 2011;15(5):R229. doi:10.1186/cc10469.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Noritomi DT, Ranzani OT, Monteiro MB, et al. Implementation of a multifaceted sepsis education program in an emerging country setting: clinical outcomes and cost-effectiveness in a long-term follow-up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Intensive Care Med</w:t>
      </w:r>
      <w:r w:rsidRPr="001C1A6D">
        <w:rPr>
          <w:rFonts w:ascii="Cambria" w:hAnsi="Cambria"/>
          <w:noProof/>
          <w:sz w:val="20"/>
          <w:lang w:val="en-US"/>
        </w:rPr>
        <w:t>. 2014;40(2):182-191. doi:10.1007/s00134-013-3131-5.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Pastor C, Artinyan A, Varma MG, Kim E, Gibbs L, Garcia-Aguilar J. An Increase in Compliance With the Surgical Care Improvement Project Measures Does Not Prevent Surgical Site Infection in Colorectal Surgery.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Dis Colon Rectum</w:t>
      </w:r>
      <w:r w:rsidRPr="001C1A6D">
        <w:rPr>
          <w:rFonts w:ascii="Cambria" w:hAnsi="Cambria"/>
          <w:noProof/>
          <w:sz w:val="20"/>
          <w:lang w:val="en-US"/>
        </w:rPr>
        <w:t>. 2010;53(1):24-30. doi:10.1007/DCR.0b013e3181ba782a.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Plambech MZ, Lurie AI, Ipsen HL. Initial, successful implementation of sepsis guidelines in an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Dan Med J</w:t>
      </w:r>
      <w:r w:rsidRPr="001C1A6D">
        <w:rPr>
          <w:rFonts w:ascii="Cambria" w:hAnsi="Cambria"/>
          <w:noProof/>
          <w:sz w:val="20"/>
          <w:lang w:val="en-US"/>
        </w:rPr>
        <w:t>. 2012;59(12).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Power M, Tyrrell PJ, Rudd AG, et al. Did a quality improvement collaborative make stroke care better? A cluster randomized trial.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Implement Sci</w:t>
      </w:r>
      <w:r w:rsidRPr="001C1A6D">
        <w:rPr>
          <w:rFonts w:ascii="Cambria" w:hAnsi="Cambria"/>
          <w:noProof/>
          <w:sz w:val="20"/>
          <w:lang w:val="en-US"/>
        </w:rPr>
        <w:t>. 2014;9(1):40. doi:10.1186/1748-5908-9-40.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Ramsdell TH, Smith AN, Kerkhove E. Compliance with Updated Sepsis Bundles to Meet New Sepsis Core Measure in a Tertiary Care Hospital.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Hosp Pharm</w:t>
      </w:r>
      <w:r w:rsidRPr="001C1A6D">
        <w:rPr>
          <w:rFonts w:ascii="Cambria" w:hAnsi="Cambria"/>
          <w:noProof/>
          <w:sz w:val="20"/>
          <w:lang w:val="en-US"/>
        </w:rPr>
        <w:t>. 2017;52(3):177-186. doi:10.1310/hpj5203-177.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Rinke ML, Chen AR, Bundy DG, et al. Implementation of a Central Line Maintenance Care Bundle in Hospitalized Pediatric Oncology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Pediatrics</w:t>
      </w:r>
      <w:r w:rsidRPr="001C1A6D">
        <w:rPr>
          <w:rFonts w:ascii="Cambria" w:hAnsi="Cambria"/>
          <w:noProof/>
          <w:sz w:val="20"/>
          <w:lang w:val="en-US"/>
        </w:rPr>
        <w:t>. 2012;130(4):e996-e1004. doi:10.1542/peds.2012-0295.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Secola R, Lewis MA, Pike N, Needleman J, Doering L. Feasibility of the use of a reliable and valid central venous catheter blood draw bundle checklist.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Nurs Care Qual</w:t>
      </w:r>
      <w:r w:rsidRPr="001C1A6D">
        <w:rPr>
          <w:rFonts w:ascii="Cambria" w:hAnsi="Cambria"/>
          <w:noProof/>
          <w:sz w:val="20"/>
          <w:lang w:val="en-US"/>
        </w:rPr>
        <w:t>. 2012;27(3):218-225. doi:10.1097/NCQ.0b013e3182461fab.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Seoane L, Winterbottom F, Nash T, et al. Using quality improvement principles to improve the care of patients with severe sepsis and septic shock.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Ochsner J</w:t>
      </w:r>
      <w:r w:rsidRPr="001C1A6D">
        <w:rPr>
          <w:rFonts w:ascii="Cambria" w:hAnsi="Cambria"/>
          <w:noProof/>
          <w:sz w:val="20"/>
          <w:lang w:val="en-US"/>
        </w:rPr>
        <w:t>. 2013;13(3):359-366. http://www.ncbi.nlm.nih.gov/pubmed/24052765.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Shin T, Jo I, Choi D, et al. The adverse effect of emergency department crowding on compliance with the resuscitation bundle in the management of severe sepsis and septic shock.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Crit Care</w:t>
      </w:r>
      <w:r w:rsidRPr="001C1A6D">
        <w:rPr>
          <w:rFonts w:ascii="Cambria" w:hAnsi="Cambria"/>
          <w:noProof/>
          <w:sz w:val="20"/>
          <w:lang w:val="en-US"/>
        </w:rPr>
        <w:t>. 2013;17(5):R224. doi:10.1186/cc13047.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Takesue Y, Ueda T, Mikamo H, et al. Management bundles for candidaemia: the impact of compliance on clinical outcomes.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Antimicrob Chemother</w:t>
      </w:r>
      <w:r w:rsidRPr="001C1A6D">
        <w:rPr>
          <w:rFonts w:ascii="Cambria" w:hAnsi="Cambria"/>
          <w:noProof/>
          <w:sz w:val="20"/>
          <w:lang w:val="en-US"/>
        </w:rPr>
        <w:t>. 2015;70(2):587-593. doi:10.1093/jac/dku414.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Tanner J, Padley W, Assadian O, Leaper D, Kiernan M, Edmiston C. Do surgical care bundles reduce the risk of surgical site infections in patients undergoing colorectal surgery? A systematic review and cohort meta-analysis of 8,515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Surgery</w:t>
      </w:r>
      <w:r w:rsidRPr="001C1A6D">
        <w:rPr>
          <w:rFonts w:ascii="Cambria" w:hAnsi="Cambria"/>
          <w:noProof/>
          <w:sz w:val="20"/>
          <w:lang w:val="en-US"/>
        </w:rPr>
        <w:t>. 2015;158(1):66-77. doi:10.1016/j.surg.2015.03.009.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Toth NR, Chambers RM, Davis SL. Implementation of a care bundle for antimicrobial stewardship.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Health Syst Pharm</w:t>
      </w:r>
      <w:r w:rsidRPr="001C1A6D">
        <w:rPr>
          <w:rFonts w:ascii="Cambria" w:hAnsi="Cambria"/>
          <w:noProof/>
          <w:sz w:val="20"/>
          <w:lang w:val="en-US"/>
        </w:rPr>
        <w:t>. 2010;67(9):746-749. doi:10.2146/ajhp090259.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Tromp M, Hulscher M, Bleeker-Rovers CP, et al. The role of nurses in the recognition and treatment of patients with sepsis in the emergency department: a prospective before-and-after intervention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 J Nurs Stud</w:t>
      </w:r>
      <w:r w:rsidRPr="001C1A6D">
        <w:rPr>
          <w:rFonts w:ascii="Cambria" w:hAnsi="Cambria"/>
          <w:noProof/>
          <w:sz w:val="20"/>
          <w:lang w:val="en-US"/>
        </w:rPr>
        <w:t>. 2010;47(12):1464-1473. doi:10.1016/j.ijnurstu.2010.04.007.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van der Slegt J, van der Laan L, Veen EJ, Hendriks Y, Romme J, Kluytmans J. Implementation of a bundle of care to reduce surgical site infections in patients undergoing vascular surgery.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2013;8(8):e71566. doi:10.1371/journal.pone.0071566.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Wang Z, Xiong Y, Schorr C, Dellinger RP. Impact of sepsis bundle strategy on outcomes of patients suffering from severe sepsis and septic shock in china.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Emerg Med</w:t>
      </w:r>
      <w:r w:rsidRPr="001C1A6D">
        <w:rPr>
          <w:rFonts w:ascii="Cambria" w:hAnsi="Cambria"/>
          <w:noProof/>
          <w:sz w:val="20"/>
          <w:lang w:val="en-US"/>
        </w:rPr>
        <w:t>. 2013;44(4):735-741. doi:10.1016/j.jemermed.2012.07.084.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Westphal GA, Koenig Á, Caldeira Filho M, et al. Reduced mortality after the implementation of a protocol for the early detection of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Crit Care</w:t>
      </w:r>
      <w:r w:rsidRPr="001C1A6D">
        <w:rPr>
          <w:rFonts w:ascii="Cambria" w:hAnsi="Cambria"/>
          <w:noProof/>
          <w:sz w:val="20"/>
          <w:lang w:val="en-US"/>
        </w:rPr>
        <w:t>. 2011;26(1):76-81. doi:10.1016/j.jcrc.2010.08.001.</w:t>
      </w:r>
    </w:p>
    <w:p w:rsidR="00BD3FBC" w:rsidRDefault="00BD3FBC" w:rsidP="00BD3FBC">
      <w:r>
        <w:rPr>
          <w:sz w:val="20"/>
          <w:szCs w:val="20"/>
        </w:rPr>
        <w:fldChar w:fldCharType="end"/>
      </w:r>
    </w:p>
    <w:p w:rsidR="00BD3FBC" w:rsidRDefault="00BD3FBC" w:rsidP="00BD3FBC"/>
    <w:p w:rsidR="00BD3FBC" w:rsidRDefault="00BD3FBC" w:rsidP="00BD3FBC">
      <w:r>
        <w:t>List of studies not used for linear regression of implementation strategy against compliance due to poor quality:</w:t>
      </w:r>
    </w:p>
    <w:p w:rsidR="00BD3FBC" w:rsidRDefault="00BD3FBC" w:rsidP="00BD3FBC"/>
    <w:p w:rsidR="00BD3FBC" w:rsidRDefault="00BD3FBC" w:rsidP="00BD3FBC">
      <w:pPr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Baldwin LN, Smith SA, Fender V, Gisby S, Fraser J. An audit of compliance with the sepsis </w:t>
      </w:r>
      <w:r>
        <w:rPr>
          <w:rFonts w:ascii="Cambria" w:hAnsi="Cambria"/>
          <w:noProof/>
          <w:sz w:val="20"/>
          <w:lang w:val="en-US"/>
        </w:rPr>
        <w:t xml:space="preserve">  </w:t>
      </w:r>
      <w:r w:rsidRPr="001C1A6D">
        <w:rPr>
          <w:rFonts w:ascii="Cambria" w:hAnsi="Cambria"/>
          <w:noProof/>
          <w:sz w:val="20"/>
          <w:lang w:val="en-US"/>
        </w:rPr>
        <w:t xml:space="preserve">resuscitation care bundle in patients admitted to A&amp;amp;E with severe sepsis or septic shock.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 Emerg Nurs</w:t>
      </w:r>
      <w:r w:rsidRPr="001C1A6D">
        <w:rPr>
          <w:rFonts w:ascii="Cambria" w:hAnsi="Cambria"/>
          <w:noProof/>
          <w:sz w:val="20"/>
          <w:lang w:val="en-US"/>
        </w:rPr>
        <w:t>. 2008;16(4):250-256. doi:10.1016/j.ienj.2008.05.008.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567" w:hanging="567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Bull A, Wilson J, Worth LJ, et al. A bundle of care to reduce colorectal surgical infections: An Australian experience.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Hosp Infect</w:t>
      </w:r>
      <w:r w:rsidRPr="001C1A6D">
        <w:rPr>
          <w:rFonts w:ascii="Cambria" w:hAnsi="Cambria"/>
          <w:noProof/>
          <w:sz w:val="20"/>
          <w:lang w:val="en-US"/>
        </w:rPr>
        <w:t>. 2011;78(4):297-301. doi:10.1016/j.jhin.2011.03.029.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Bundy DG, Gaur AH, Billett AL, He B, Colantuoni EA, Miller MR. Preventing CLABSIs among pediatric hematology/oncology inpatients: national collaborative results.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Pediatrics</w:t>
      </w:r>
      <w:r w:rsidRPr="001C1A6D">
        <w:rPr>
          <w:rFonts w:ascii="Cambria" w:hAnsi="Cambria"/>
          <w:noProof/>
          <w:sz w:val="20"/>
          <w:lang w:val="en-US"/>
        </w:rPr>
        <w:t>. 2014;134(6):e1678-85. doi:10.1542/peds.2014-0582.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Choi SW, Chang L, Hanauer DA, et al. Rapid reduction of central line infections in hospitalized pediatric oncology patients through simple quality improvement methods.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Pediatr Blood Cancer</w:t>
      </w:r>
      <w:r w:rsidRPr="001C1A6D">
        <w:rPr>
          <w:rFonts w:ascii="Cambria" w:hAnsi="Cambria"/>
          <w:noProof/>
          <w:sz w:val="20"/>
          <w:lang w:val="en-US"/>
        </w:rPr>
        <w:t>. 2013;60(2):262-269. doi:10.1002/pbc.24187.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Fisher JC, Godfried DH, Lighter-Fisher J, et al. A novel approach to leveraging electronic health record data to enhance pediatric surgical quality improvement bundle process compliance.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Pediatr Surg</w:t>
      </w:r>
      <w:r w:rsidRPr="001C1A6D">
        <w:rPr>
          <w:rFonts w:ascii="Cambria" w:hAnsi="Cambria"/>
          <w:noProof/>
          <w:sz w:val="20"/>
          <w:lang w:val="en-US"/>
        </w:rPr>
        <w:t>. 2016;51(6):1030-1033. doi:10.1016/j.jpedsurg.2016.02.080.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Hettige R, Arora A, Ifeacho S, Narula A. Improving tracheostomy management through design, implementation and prospective audit of a care bundle: how we do it.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Clin Otolaryngol</w:t>
      </w:r>
      <w:r w:rsidRPr="001C1A6D">
        <w:rPr>
          <w:rFonts w:ascii="Cambria" w:hAnsi="Cambria"/>
          <w:noProof/>
          <w:sz w:val="20"/>
          <w:lang w:val="en-US"/>
        </w:rPr>
        <w:t>. 2008;33(5):488-491. doi:10.1111/j.1749-4486.2008.01725.x.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Richardson DA, Bhagwat A, Forster K, et al. The Royal College of Physicians’ Fallsafe care bundles applied trustwide: The Northumbria experience 2013.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Clin Med J R Coll Physicians London</w:t>
      </w:r>
      <w:r w:rsidRPr="001C1A6D">
        <w:rPr>
          <w:rFonts w:ascii="Cambria" w:hAnsi="Cambria"/>
          <w:noProof/>
          <w:sz w:val="20"/>
          <w:lang w:val="en-US"/>
        </w:rPr>
        <w:t>. 2015;15(6):530-535. doi:10.7861/clinmedicine.15-6-530.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Wheeler DS, Giaccone MJ, Hutchinson N, et al. A hospital-wide quality-improvement collaborative to reduce catheter-associated bloodstream infections.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Pediatrics</w:t>
      </w:r>
      <w:r w:rsidRPr="001C1A6D">
        <w:rPr>
          <w:rFonts w:ascii="Cambria" w:hAnsi="Cambria"/>
          <w:noProof/>
          <w:sz w:val="20"/>
          <w:lang w:val="en-US"/>
        </w:rPr>
        <w:t>. 2011;128(4):e995-NaN-7. doi:10.1542/peds.2010-2601.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Whippy A, Skeath M, Crawford B, et al. Kaiser Permanente’s performance improvement system, part 3: multisite improvements in care for patients with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Jt Comm J Qual Patient Saf</w:t>
      </w:r>
      <w:r w:rsidRPr="001C1A6D">
        <w:rPr>
          <w:rFonts w:ascii="Cambria" w:hAnsi="Cambria"/>
          <w:noProof/>
          <w:sz w:val="20"/>
          <w:lang w:val="en-US"/>
        </w:rPr>
        <w:t>. 2011;37(11):483-493. http://www.ncbi.nlm.nih.gov/pubmed/22132659.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</w:p>
    <w:p w:rsidR="00BD3FBC" w:rsidRDefault="00BD3FBC" w:rsidP="00BD3FBC"/>
    <w:p w:rsidR="00BD3FBC" w:rsidRDefault="00BD3FBC" w:rsidP="00BD3FBC">
      <w:r>
        <w:t xml:space="preserve">List of studies used for Spearman’s test (element number versus compliance) </w:t>
      </w:r>
    </w:p>
    <w:p w:rsidR="00BD3FBC" w:rsidRDefault="00BD3FBC" w:rsidP="00BD3FBC"/>
    <w:p w:rsidR="00BD3FBC" w:rsidRDefault="00BD3FBC" w:rsidP="00BD3FBC">
      <w:r>
        <w:t>Cohort studies:</w:t>
      </w:r>
    </w:p>
    <w:p w:rsidR="00BD3FBC" w:rsidRDefault="00BD3FBC" w:rsidP="00BD3FBC"/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Bessesen MT, Lopez K, Guerin K, et al. Comparison of control strategies for methicillin-resistant Staphylococcus aureus.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Infect Control</w:t>
      </w:r>
      <w:r w:rsidRPr="001C1A6D">
        <w:rPr>
          <w:rFonts w:ascii="Cambria" w:hAnsi="Cambria"/>
          <w:noProof/>
          <w:sz w:val="20"/>
          <w:lang w:val="en-US"/>
        </w:rPr>
        <w:t>. 2013;41(11):1048-1052. doi:10.1016/j.ajic.2013.01.032.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Casserly B, Baram M, Walsh P, Sucov A, Ward NS, Levy MM. Implementing a collaborative protocol in a sepsis intervention program: Lessons learned.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Lung</w:t>
      </w:r>
      <w:r w:rsidRPr="001C1A6D">
        <w:rPr>
          <w:rFonts w:ascii="Cambria" w:hAnsi="Cambria"/>
          <w:noProof/>
          <w:sz w:val="20"/>
          <w:lang w:val="en-US"/>
        </w:rPr>
        <w:t>. 2011;189(1):11-19. doi:10.1007/s00408-010-9266-z.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Coba V, Whitmill M, Mooney R, et al. Resuscitation bundle compliance in severe sepsis and septic shock: improves survival, is better late than never.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Intensive Care Med</w:t>
      </w:r>
      <w:r w:rsidRPr="001C1A6D">
        <w:rPr>
          <w:rFonts w:ascii="Cambria" w:hAnsi="Cambria"/>
          <w:noProof/>
          <w:sz w:val="20"/>
          <w:lang w:val="en-US"/>
        </w:rPr>
        <w:t>. 2011;26(5):304-313. doi:10.1177/0885066610392499.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Daniels R, Nutbeam T, McNamara G, Galvin C. The sepsis six and the severe sepsis resuscitation bundle: a prospective observational cohort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Emerg Med J</w:t>
      </w:r>
      <w:r w:rsidRPr="001C1A6D">
        <w:rPr>
          <w:rFonts w:ascii="Cambria" w:hAnsi="Cambria"/>
          <w:noProof/>
          <w:sz w:val="20"/>
          <w:lang w:val="en-US"/>
        </w:rPr>
        <w:t>. 2011;28(6):507-512. doi:10.1136/emj.2010.095067.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Girardis M, Rinaldi L, Donno L, et al. Effects on management and outcome of severe sepsis and septic shock patients admitted to the intensive care unit after implementation of a sepsis program: a pilot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Crit Care</w:t>
      </w:r>
      <w:r w:rsidRPr="001C1A6D">
        <w:rPr>
          <w:rFonts w:ascii="Cambria" w:hAnsi="Cambria"/>
          <w:noProof/>
          <w:sz w:val="20"/>
          <w:lang w:val="en-US"/>
        </w:rPr>
        <w:t>. 2009;13(5):R143. doi:10.1186/cc8029.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Kakebeeke D, Vis A, de Deckere ER, Sandel MH, de Groot B. Lack of clinically evident signs of organ failure affects ED treatment of patients with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 J Emerg Med</w:t>
      </w:r>
      <w:r w:rsidRPr="001C1A6D">
        <w:rPr>
          <w:rFonts w:ascii="Cambria" w:hAnsi="Cambria"/>
          <w:noProof/>
          <w:sz w:val="20"/>
          <w:lang w:val="en-US"/>
        </w:rPr>
        <w:t>. 2013;6(1):4. doi:10.1186/1865-1380-6-4.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Kuan WS, Mahadevan M, Tan JH, Guo J, Ibrahim I. Feasibility of introduction and implementation of the Surviving Sepsis Campaign bundle in a Singapore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Eur J Emerg Med</w:t>
      </w:r>
      <w:r w:rsidRPr="001C1A6D">
        <w:rPr>
          <w:rFonts w:ascii="Cambria" w:hAnsi="Cambria"/>
          <w:noProof/>
          <w:sz w:val="20"/>
          <w:lang w:val="en-US"/>
        </w:rPr>
        <w:t>. 2013;20(5):344-349. doi:10.1097/MEJ.0b013e32835c2ba3.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Levy MM, Dellinger RP, Townsend SR, et al. The surviving sepsis campaign: Results of an international guideline-based performance improvement program targeting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Intensive Care Med</w:t>
      </w:r>
      <w:r w:rsidRPr="001C1A6D">
        <w:rPr>
          <w:rFonts w:ascii="Cambria" w:hAnsi="Cambria"/>
          <w:noProof/>
          <w:sz w:val="20"/>
          <w:lang w:val="en-US"/>
        </w:rPr>
        <w:t>. 2010;36(2):222-231. doi:10.1007/s00134-009-1738-3.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Pastor C, Artinyan A, Varma MG, Kim E, Gibbs L, Garcia-Aguilar J. An Increase in Compliance With the Surgical Care Improvement Project Measures Does Not Prevent Surgical Site Infection in Colorectal Surgery.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Dis Colon Rectum</w:t>
      </w:r>
      <w:r w:rsidRPr="001C1A6D">
        <w:rPr>
          <w:rFonts w:ascii="Cambria" w:hAnsi="Cambria"/>
          <w:noProof/>
          <w:sz w:val="20"/>
          <w:lang w:val="en-US"/>
        </w:rPr>
        <w:t>. 2010;53(1):24-30. doi:10.1007/DCR.0b013e3181ba782a.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Seoane L, Winterbottom F, Nash T, et al. Using quality improvement principles to improve the care of patients with severe sepsis and septic shock.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Ochsner J</w:t>
      </w:r>
      <w:r w:rsidRPr="001C1A6D">
        <w:rPr>
          <w:rFonts w:ascii="Cambria" w:hAnsi="Cambria"/>
          <w:noProof/>
          <w:sz w:val="20"/>
          <w:lang w:val="en-US"/>
        </w:rPr>
        <w:t>. 2013;13(3):359-366. http://www.ncbi.nlm.nih.gov/pubmed/24052765.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Takesue Y, Ueda T, Mikamo H, et al. Management bundles for candidaemia: the impact of compliance on clinical outcomes.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Antimicrob Chemother</w:t>
      </w:r>
      <w:r w:rsidRPr="001C1A6D">
        <w:rPr>
          <w:rFonts w:ascii="Cambria" w:hAnsi="Cambria"/>
          <w:noProof/>
          <w:sz w:val="20"/>
          <w:lang w:val="en-US"/>
        </w:rPr>
        <w:t>. 2015;70(2):587-593. doi:10.1093/jac/dku414.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noProof/>
          <w:lang w:val="en-US"/>
        </w:rPr>
      </w:pPr>
      <w:r>
        <w:rPr>
          <w:noProof/>
          <w:lang w:val="en-US"/>
        </w:rPr>
        <w:t>Non-parellel cohort</w:t>
      </w:r>
      <w:r w:rsidRPr="00F31018">
        <w:rPr>
          <w:noProof/>
          <w:lang w:val="en-US"/>
        </w:rPr>
        <w:t xml:space="preserve"> studies</w:t>
      </w:r>
      <w:r>
        <w:rPr>
          <w:noProof/>
          <w:lang w:val="en-US"/>
        </w:rPr>
        <w:t>: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noProof/>
          <w:lang w:val="en-US"/>
        </w:rPr>
      </w:pP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Antworth A, Collins CD, Kunapuli A, et al. Impact of an antimicrobial stewardship program comprehensive care bundle on management of candidemia.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Pharmacotherapy</w:t>
      </w:r>
      <w:r w:rsidRPr="001C1A6D">
        <w:rPr>
          <w:rFonts w:ascii="Cambria" w:hAnsi="Cambria"/>
          <w:noProof/>
          <w:sz w:val="20"/>
          <w:lang w:val="en-US"/>
        </w:rPr>
        <w:t>. 2013;33(2):137-143. doi:10.1002/phar.1186.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Bandara S, Lynch G, Cooke C, Varghese P, Ward N. Using Care Bundles to Improve Surgical Outcomes and Reduce Variation in Care for Fragility Hip Fracture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Geriatr Orthop Surg Rehabil</w:t>
      </w:r>
      <w:r w:rsidRPr="001C1A6D">
        <w:rPr>
          <w:rFonts w:ascii="Cambria" w:hAnsi="Cambria"/>
          <w:noProof/>
          <w:sz w:val="20"/>
          <w:lang w:val="en-US"/>
        </w:rPr>
        <w:t>. 2017;8(2):104-108. doi:10.1177/2151458516681634.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Carreno JJ, Kenney RM, Bloome M, et al. Evaluation of pharmacy generalists performing antimicrobial stewardship services.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Heal Pharm</w:t>
      </w:r>
      <w:r w:rsidRPr="001C1A6D">
        <w:rPr>
          <w:rFonts w:ascii="Cambria" w:hAnsi="Cambria"/>
          <w:noProof/>
          <w:sz w:val="20"/>
          <w:lang w:val="en-US"/>
        </w:rPr>
        <w:t>. 2015;72(15):1298-1303. doi:10.2146/ajhp140619.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Crolla RMPH, van der Laan L, Veen EJ, Hendriks Y, van Schendel C, Kluytmans J. Reduction of surgical site infections after implementation of a bundle of care.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2012;7(9):e44599. doi:10.1371/journal.pone.0044599.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De Miguel-Yanes JM, Muñoz-González J, Andueza-Lillo J a., Moyano-Villaseca B, González-Ramallo VJ, Bustamante-Fermosel A. Implementation of a bundle of actions to improve adherence to the Surviving Sepsis Campaign guidelines at the ED.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Emerg Med</w:t>
      </w:r>
      <w:r w:rsidRPr="001C1A6D">
        <w:rPr>
          <w:rFonts w:ascii="Cambria" w:hAnsi="Cambria"/>
          <w:noProof/>
          <w:sz w:val="20"/>
          <w:lang w:val="en-US"/>
        </w:rPr>
        <w:t>. 2009;27(6):668-674. doi:10.1016/j.ajem.2008.05.010.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Duffy EA, Rodgers CC, Shever LL, Hockenberry MJ. Implementing a Daily Maintenance Care Bundle to Prevent Central Line-Associated Bloodstream Infections in Pediatric Oncology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Pediatr Oncol Nurs</w:t>
      </w:r>
      <w:r w:rsidRPr="001C1A6D">
        <w:rPr>
          <w:rFonts w:ascii="Cambria" w:hAnsi="Cambria"/>
          <w:noProof/>
          <w:sz w:val="20"/>
          <w:lang w:val="en-US"/>
        </w:rPr>
        <w:t>. 2015;(4):1-8. doi:10.1177/1043454214563756.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Ferrer R. Improvement in Process of Care and Outcome After a Multicenter Severe Sepsis Educational Program in Spain.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JAMA</w:t>
      </w:r>
      <w:r w:rsidRPr="001C1A6D">
        <w:rPr>
          <w:rFonts w:ascii="Cambria" w:hAnsi="Cambria"/>
          <w:noProof/>
          <w:sz w:val="20"/>
          <w:lang w:val="en-US"/>
        </w:rPr>
        <w:t>. 2008;299(19):2294. doi:10.1001/jama.299.19.2294.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Joslin J, Wilson H, Zubli D, et al. Recognition and management of acute kidney injury in hospitalised patients can be partially improved with the use of a care bundle.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Clin Med (Northfield Il)</w:t>
      </w:r>
      <w:r w:rsidRPr="001C1A6D">
        <w:rPr>
          <w:rFonts w:ascii="Cambria" w:hAnsi="Cambria"/>
          <w:noProof/>
          <w:sz w:val="20"/>
          <w:lang w:val="en-US"/>
        </w:rPr>
        <w:t>. 2015;15(5):431-436. doi:10.7861/clinmedicine.15-5-431.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Kleidon T, Illing A, Fogarty G, Edwards R, Tomlinson J, Ullman A. Improving the central venous access devices maintenance process to reduce associated infections in paediatrics: evaluation of a practical, multi-faceted quality-improvement initiative.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Healthc Infect</w:t>
      </w:r>
      <w:r w:rsidRPr="001C1A6D">
        <w:rPr>
          <w:rFonts w:ascii="Cambria" w:hAnsi="Cambria"/>
          <w:noProof/>
          <w:sz w:val="20"/>
          <w:lang w:val="en-US"/>
        </w:rPr>
        <w:t>. 2015;20(2):46. doi:10.1071/HI14038.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Kolhe N V, Staples D, Reilly T, et al. Impact of Compliance with a Care Bundle on Acute Kidney Injury Outcomes: A Prospective Observational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2015;10(7):e0132279. doi:10.1371/journal.pone.0132279.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Laguna-Pérez A, Chilet-Rosell E, Delgado Lacosta M, Alvarez-Dardet C, Uris Selles J, Muñoz-Mendoza CL. Clinical pathway intervention compliance and effectiveness when used in the treatment of patients with severe sepsis and septic shock at an Intensive Care Unit in Spain.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Rev Lat Am Enfermagem</w:t>
      </w:r>
      <w:r w:rsidRPr="001C1A6D">
        <w:rPr>
          <w:rFonts w:ascii="Cambria" w:hAnsi="Cambria"/>
          <w:noProof/>
          <w:sz w:val="20"/>
          <w:lang w:val="en-US"/>
        </w:rPr>
        <w:t xml:space="preserve">. 2012;20(4):635-643. </w:t>
      </w:r>
      <w:hyperlink r:id="rId5" w:history="1">
        <w:r w:rsidRPr="00001382">
          <w:rPr>
            <w:rStyle w:val="Hyperlink"/>
            <w:rFonts w:ascii="Cambria" w:hAnsi="Cambria"/>
            <w:noProof/>
            <w:sz w:val="20"/>
            <w:lang w:val="en-US"/>
          </w:rPr>
          <w:t>http://www.ncbi.nlm.nih.gov/pubmed/22990147</w:t>
        </w:r>
      </w:hyperlink>
      <w:r w:rsidRPr="001C1A6D">
        <w:rPr>
          <w:rFonts w:ascii="Cambria" w:hAnsi="Cambria"/>
          <w:noProof/>
          <w:sz w:val="20"/>
          <w:lang w:val="en-US"/>
        </w:rPr>
        <w:t>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Liu VX, Morehouse JW, Marelich GP, et al. Multicenter implementation of a treatment bundle for patients with sepsis and intermediate lactate values.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Respir Crit Care Med</w:t>
      </w:r>
      <w:r w:rsidRPr="001C1A6D">
        <w:rPr>
          <w:rFonts w:ascii="Cambria" w:hAnsi="Cambria"/>
          <w:noProof/>
          <w:sz w:val="20"/>
          <w:lang w:val="en-US"/>
        </w:rPr>
        <w:t>. 2016;193(11):1264-1270. doi:10.1164/rccm.201507-1489OC.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Nguyen CT, Gandhi T, Chenoweth C, et al. Impact of an antimicrobial stewardship-led intervention for Staphylococcus aureus bacteraemia: a quasi-experimental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Antimicrob Chemother</w:t>
      </w:r>
      <w:r w:rsidRPr="001C1A6D">
        <w:rPr>
          <w:rFonts w:ascii="Cambria" w:hAnsi="Cambria"/>
          <w:noProof/>
          <w:sz w:val="20"/>
          <w:lang w:val="en-US"/>
        </w:rPr>
        <w:t>. 2015;70(12):3390-3396. doi:10.1093/jac/dkv256.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Nguyen HB, Lynch EL, Mou JA, Lyon K, Wittlake WA, Corbett SW. The utility of a quality improvement bundle in bridging the gap between research and standard care in the management of severe sepsis and septic shock in the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Acad Emerg Med</w:t>
      </w:r>
      <w:r w:rsidRPr="001C1A6D">
        <w:rPr>
          <w:rFonts w:ascii="Cambria" w:hAnsi="Cambria"/>
          <w:noProof/>
          <w:sz w:val="20"/>
          <w:lang w:val="en-US"/>
        </w:rPr>
        <w:t>. 2007;14(11):1079-1086. doi:10.1197/j.aem.2007.06.024.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Noritomi DT, Ranzani OT, Monteiro MB, et al. Implementation of a multifaceted sepsis education program in an emerging country setting: clinical outcomes and cost-effectiveness in a long-term follow-up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Intensive Care Med</w:t>
      </w:r>
      <w:r w:rsidRPr="001C1A6D">
        <w:rPr>
          <w:rFonts w:ascii="Cambria" w:hAnsi="Cambria"/>
          <w:noProof/>
          <w:sz w:val="20"/>
          <w:lang w:val="en-US"/>
        </w:rPr>
        <w:t>. 2014;40(2):182-191. doi:10.1007/s00134-013-3131-5.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Plambech MZ, Lurie AI, Ipsen HL. Initial, successful implementation of sepsis guidelines in an emergency department.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Dan Med J</w:t>
      </w:r>
      <w:r w:rsidRPr="001C1A6D">
        <w:rPr>
          <w:rFonts w:ascii="Cambria" w:hAnsi="Cambria"/>
          <w:noProof/>
          <w:sz w:val="20"/>
          <w:lang w:val="en-US"/>
        </w:rPr>
        <w:t>. 2012;59(12).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Ramsdell TH, Smith AN, Kerkhove E. Compliance with Updated Sepsis Bundles to Meet New Sepsis Core Measure in a Tertiary Care Hospital.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Hosp Pharm</w:t>
      </w:r>
      <w:r w:rsidRPr="001C1A6D">
        <w:rPr>
          <w:rFonts w:ascii="Cambria" w:hAnsi="Cambria"/>
          <w:noProof/>
          <w:sz w:val="20"/>
          <w:lang w:val="en-US"/>
        </w:rPr>
        <w:t>. 2017;52(3):177-186. doi:10.1310/hpj5203-177.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Rinke ML, Chen AR, Bundy DG, et al. Implementation of a Central Line Maintenance Care Bundle in Hospitalized Pediatric Oncology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Pediatrics</w:t>
      </w:r>
      <w:r w:rsidRPr="001C1A6D">
        <w:rPr>
          <w:rFonts w:ascii="Cambria" w:hAnsi="Cambria"/>
          <w:noProof/>
          <w:sz w:val="20"/>
          <w:lang w:val="en-US"/>
        </w:rPr>
        <w:t>. 2012;130(4):e996-e1004. doi:10.1542/peds.2012-0295.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Tanner J, Padley W, Assadian O, Leaper D, Kiernan M, Edmiston C. Do surgical care bundles reduce the risk of surgical site infections in patients undergoing colorectal surgery? A systematic review and cohort meta-analysis of 8,515 patients.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Surgery</w:t>
      </w:r>
      <w:r w:rsidRPr="001C1A6D">
        <w:rPr>
          <w:rFonts w:ascii="Cambria" w:hAnsi="Cambria"/>
          <w:noProof/>
          <w:sz w:val="20"/>
          <w:lang w:val="en-US"/>
        </w:rPr>
        <w:t>. 2015;158(1):66-77. doi:10.1016/j.surg.2015.03.009.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Toth NR, Chambers RM, Davis SL. Implementation of a care bundle for antimicrobial stewardship.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Am J Health Syst Pharm</w:t>
      </w:r>
      <w:r w:rsidRPr="001C1A6D">
        <w:rPr>
          <w:rFonts w:ascii="Cambria" w:hAnsi="Cambria"/>
          <w:noProof/>
          <w:sz w:val="20"/>
          <w:lang w:val="en-US"/>
        </w:rPr>
        <w:t>. 2010;67(9):746-749. doi:10.2146/ajhp090259.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Tromp M, Hulscher M, Bleeker-Rovers CP, et al. The role of nurses in the recognition and treatment of patients with sepsis in the emergency department: a prospective before-and-after intervention study.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Int J Nurs Stud</w:t>
      </w:r>
      <w:r w:rsidRPr="001C1A6D">
        <w:rPr>
          <w:rFonts w:ascii="Cambria" w:hAnsi="Cambria"/>
          <w:noProof/>
          <w:sz w:val="20"/>
          <w:lang w:val="en-US"/>
        </w:rPr>
        <w:t>. 2010;47(12):1464-1473. doi:10.1016/j.ijnurstu.2010.04.007.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van der Slegt J, van der Laan L, Veen EJ, Hendriks Y, Romme J, Kluytmans J. Implementation of a bundle of care to reduce surgical site infections in patients undergoing vascular surgery.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PLoS One</w:t>
      </w:r>
      <w:r w:rsidRPr="001C1A6D">
        <w:rPr>
          <w:rFonts w:ascii="Cambria" w:hAnsi="Cambria"/>
          <w:noProof/>
          <w:sz w:val="20"/>
          <w:lang w:val="en-US"/>
        </w:rPr>
        <w:t>. 2013;8(8):e71566. doi:10.1371/journal.pone.0071566.</w:t>
      </w:r>
    </w:p>
    <w:p w:rsidR="00BD3FBC" w:rsidRPr="001C1A6D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</w:pPr>
      <w:r w:rsidRPr="001C1A6D">
        <w:rPr>
          <w:rFonts w:ascii="Cambria" w:hAnsi="Cambria"/>
          <w:noProof/>
          <w:sz w:val="20"/>
          <w:lang w:val="en-US"/>
        </w:rPr>
        <w:t xml:space="preserve">Wang Z, Xiong Y, Schorr C, Dellinger RP. Impact of sepsis bundle strategy on outcomes of patients suffering from severe sepsis and septic shock in china.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Emerg Med</w:t>
      </w:r>
      <w:r w:rsidRPr="001C1A6D">
        <w:rPr>
          <w:rFonts w:ascii="Cambria" w:hAnsi="Cambria"/>
          <w:noProof/>
          <w:sz w:val="20"/>
          <w:lang w:val="en-US"/>
        </w:rPr>
        <w:t>. 2013;44(4):735-741. doi:10.1016/j.jemermed.2012.07.084.</w:t>
      </w:r>
    </w:p>
    <w:p w:rsidR="00BD3FBC" w:rsidRDefault="00BD3FBC" w:rsidP="00BD3FB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noProof/>
          <w:sz w:val="20"/>
          <w:lang w:val="en-US"/>
        </w:rPr>
        <w:sectPr w:rsidR="00BD3FBC" w:rsidSect="00123A24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 w:rsidRPr="001C1A6D">
        <w:rPr>
          <w:rFonts w:ascii="Cambria" w:hAnsi="Cambria"/>
          <w:noProof/>
          <w:sz w:val="20"/>
          <w:lang w:val="en-US"/>
        </w:rPr>
        <w:t xml:space="preserve">Westphal GA, Koenig Á, Caldeira Filho M, et al. Reduced mortality after the implementation of a protocol for the early detection of severe sepsis. </w:t>
      </w:r>
      <w:r w:rsidRPr="001C1A6D">
        <w:rPr>
          <w:rFonts w:ascii="Cambria" w:hAnsi="Cambria"/>
          <w:i/>
          <w:iCs/>
          <w:noProof/>
          <w:sz w:val="20"/>
          <w:lang w:val="en-US"/>
        </w:rPr>
        <w:t>J Crit Care</w:t>
      </w:r>
      <w:r w:rsidRPr="001C1A6D">
        <w:rPr>
          <w:rFonts w:ascii="Cambria" w:hAnsi="Cambria"/>
          <w:noProof/>
          <w:sz w:val="20"/>
          <w:lang w:val="en-US"/>
        </w:rPr>
        <w:t>. 2011;26(1):76-81. doi:10.1016/j.jcrc.2010.08.001.</w:t>
      </w:r>
    </w:p>
    <w:p w:rsidR="00B54EE5" w:rsidRDefault="00B54EE5"/>
    <w:sectPr w:rsidR="00B54EE5" w:rsidSect="00123A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BC"/>
    <w:rsid w:val="00123A24"/>
    <w:rsid w:val="00B54EE5"/>
    <w:rsid w:val="00BD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6B32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FB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FBC"/>
    <w:pPr>
      <w:ind w:left="720"/>
      <w:contextualSpacing/>
    </w:pPr>
    <w:rPr>
      <w:rFonts w:ascii="Univers" w:eastAsia="Times New Roman" w:hAnsi="Univers" w:cs="Times New Roman"/>
      <w:sz w:val="22"/>
      <w:szCs w:val="22"/>
    </w:rPr>
  </w:style>
  <w:style w:type="table" w:styleId="TableGrid">
    <w:name w:val="Table Grid"/>
    <w:basedOn w:val="TableNormal"/>
    <w:uiPriority w:val="59"/>
    <w:rsid w:val="00BD3F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D3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FB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FBC"/>
    <w:pPr>
      <w:ind w:left="720"/>
      <w:contextualSpacing/>
    </w:pPr>
    <w:rPr>
      <w:rFonts w:ascii="Univers" w:eastAsia="Times New Roman" w:hAnsi="Univers" w:cs="Times New Roman"/>
      <w:sz w:val="22"/>
      <w:szCs w:val="22"/>
    </w:rPr>
  </w:style>
  <w:style w:type="table" w:styleId="TableGrid">
    <w:name w:val="Table Grid"/>
    <w:basedOn w:val="TableNormal"/>
    <w:uiPriority w:val="59"/>
    <w:rsid w:val="00BD3F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D3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cbi.nlm.nih.gov/pubmed/22990147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3423</Words>
  <Characters>19517</Characters>
  <Application>Microsoft Macintosh Word</Application>
  <DocSecurity>0</DocSecurity>
  <Lines>162</Lines>
  <Paragraphs>45</Paragraphs>
  <ScaleCrop>false</ScaleCrop>
  <Company/>
  <LinksUpToDate>false</LinksUpToDate>
  <CharactersWithSpaces>22895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2018-12-21T14:56:00Z</dcterms:created>
  <dcterms:modified xsi:type="dcterms:W3CDTF">2018-12-21T14:57:00Z</dcterms:modified>
</cp:coreProperties>
</file>