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6D9" w:rsidRPr="000C1528" w:rsidRDefault="008536D9" w:rsidP="008536D9">
      <w:pPr>
        <w:rPr>
          <w:rFonts w:ascii="Times New Roman" w:hAnsi="Times New Roman" w:cs="Times New Roman"/>
          <w:lang w:val="en-GB"/>
        </w:rPr>
      </w:pPr>
      <w:r w:rsidRPr="000C1528">
        <w:rPr>
          <w:rFonts w:ascii="Times New Roman" w:hAnsi="Times New Roman" w:cs="Times New Roman"/>
          <w:lang w:val="en-GB"/>
        </w:rPr>
        <w:t xml:space="preserve">Additional file 2. </w:t>
      </w:r>
      <w:r w:rsidRPr="000C1528">
        <w:rPr>
          <w:rFonts w:ascii="Times New Roman" w:hAnsi="Times New Roman"/>
          <w:lang w:val="en-GB"/>
        </w:rPr>
        <w:t xml:space="preserve">Selection of </w:t>
      </w:r>
      <w:r w:rsidR="005B240E">
        <w:rPr>
          <w:rFonts w:ascii="Times New Roman" w:hAnsi="Times New Roman" w:cs="Times New Roman"/>
          <w:lang w:val="en-GB"/>
        </w:rPr>
        <w:t>behaviour change techniques [35</w:t>
      </w:r>
      <w:r w:rsidRPr="000C1528">
        <w:rPr>
          <w:rFonts w:ascii="Times New Roman" w:hAnsi="Times New Roman" w:cs="Times New Roman"/>
          <w:lang w:val="en-GB"/>
        </w:rPr>
        <w:t xml:space="preserve">] applied in the </w:t>
      </w:r>
      <w:r w:rsidRPr="000C1528">
        <w:rPr>
          <w:rFonts w:ascii="Times New Roman" w:hAnsi="Times New Roman"/>
          <w:lang w:val="en-GB"/>
        </w:rPr>
        <w:t xml:space="preserve">facilitation methods to target facilitators </w:t>
      </w:r>
      <w:r>
        <w:rPr>
          <w:rFonts w:ascii="Times New Roman" w:hAnsi="Times New Roman"/>
          <w:lang w:val="en-GB"/>
        </w:rPr>
        <w:t xml:space="preserve">and barriers </w:t>
      </w:r>
      <w:r w:rsidRPr="000C1528">
        <w:rPr>
          <w:rFonts w:ascii="Times New Roman" w:hAnsi="Times New Roman"/>
          <w:lang w:val="en-GB"/>
        </w:rPr>
        <w:t xml:space="preserve">for using the </w:t>
      </w:r>
      <w:r w:rsidRPr="000C1528">
        <w:rPr>
          <w:rFonts w:ascii="Times New Roman" w:hAnsi="Times New Roman" w:cs="Times New Roman"/>
          <w:lang w:val="en-GB"/>
        </w:rPr>
        <w:t xml:space="preserve">behavioural medicine </w:t>
      </w:r>
      <w:r w:rsidR="005B240E">
        <w:rPr>
          <w:rFonts w:ascii="Times New Roman" w:hAnsi="Times New Roman"/>
          <w:lang w:val="en-GB"/>
        </w:rPr>
        <w:t>approach [34</w:t>
      </w:r>
      <w:r w:rsidRPr="000C1528">
        <w:rPr>
          <w:rFonts w:ascii="Times New Roman" w:hAnsi="Times New Roman"/>
          <w:lang w:val="en-GB"/>
        </w:rPr>
        <w:t>], and concepts related to</w:t>
      </w:r>
      <w:r w:rsidR="005B240E">
        <w:rPr>
          <w:rFonts w:ascii="Times New Roman" w:hAnsi="Times New Roman"/>
          <w:lang w:val="en-GB"/>
        </w:rPr>
        <w:t xml:space="preserve"> the social cognitive theory [27, 29, 30</w:t>
      </w:r>
      <w:bookmarkStart w:id="0" w:name="_GoBack"/>
      <w:bookmarkEnd w:id="0"/>
      <w:r w:rsidRPr="000C1528">
        <w:rPr>
          <w:rFonts w:ascii="Times New Roman" w:hAnsi="Times New Roman"/>
          <w:lang w:val="en-GB"/>
        </w:rPr>
        <w:t xml:space="preserve">]. </w:t>
      </w:r>
    </w:p>
    <w:tbl>
      <w:tblPr>
        <w:tblStyle w:val="Tabellrutnt"/>
        <w:tblW w:w="13745" w:type="dxa"/>
        <w:tblLook w:val="04A0" w:firstRow="1" w:lastRow="0" w:firstColumn="1" w:lastColumn="0" w:noHBand="0" w:noVBand="1"/>
      </w:tblPr>
      <w:tblGrid>
        <w:gridCol w:w="2263"/>
        <w:gridCol w:w="4962"/>
        <w:gridCol w:w="2126"/>
        <w:gridCol w:w="4394"/>
      </w:tblGrid>
      <w:tr w:rsidR="008536D9" w:rsidRPr="003E6FA1" w:rsidTr="000430F3">
        <w:tc>
          <w:tcPr>
            <w:tcW w:w="2263" w:type="dxa"/>
            <w:shd w:val="clear" w:color="auto" w:fill="D0CECE" w:themeFill="background2" w:themeFillShade="E6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C1528">
              <w:rPr>
                <w:rFonts w:ascii="Times New Roman" w:hAnsi="Times New Roman" w:cs="Times New Roman"/>
                <w:b/>
                <w:lang w:val="en-GB"/>
              </w:rPr>
              <w:t>Social cognitive theory</w:t>
            </w:r>
          </w:p>
        </w:tc>
        <w:tc>
          <w:tcPr>
            <w:tcW w:w="4962" w:type="dxa"/>
            <w:shd w:val="clear" w:color="auto" w:fill="D0CECE" w:themeFill="background2" w:themeFillShade="E6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C1528">
              <w:rPr>
                <w:rFonts w:ascii="Times New Roman" w:hAnsi="Times New Roman" w:cs="Times New Roman"/>
                <w:b/>
                <w:lang w:val="en-GB"/>
              </w:rPr>
              <w:t>Facilitators (+) and barriers (-)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C1528">
              <w:rPr>
                <w:rFonts w:ascii="Times New Roman" w:hAnsi="Times New Roman" w:cs="Times New Roman"/>
                <w:b/>
                <w:lang w:val="en-GB"/>
              </w:rPr>
              <w:t>Facilitation methods</w:t>
            </w:r>
          </w:p>
        </w:tc>
        <w:tc>
          <w:tcPr>
            <w:tcW w:w="4394" w:type="dxa"/>
            <w:shd w:val="clear" w:color="auto" w:fill="D0CECE" w:themeFill="background2" w:themeFillShade="E6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C1528">
              <w:rPr>
                <w:rFonts w:ascii="Times New Roman" w:hAnsi="Times New Roman" w:cs="Times New Roman"/>
                <w:b/>
                <w:lang w:val="en-GB"/>
              </w:rPr>
              <w:t xml:space="preserve">Behaviour change techniques 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8536D9" w:rsidRPr="005B240E" w:rsidTr="000430F3">
        <w:tc>
          <w:tcPr>
            <w:tcW w:w="2263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Social support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Self-efficacy beliefs</w:t>
            </w:r>
          </w:p>
        </w:tc>
        <w:tc>
          <w:tcPr>
            <w:tcW w:w="4962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External support (+)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Behavioural medicine knowledge (+)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Ambivalence towards the behavioural medicine approach (</w:t>
            </w:r>
            <w:r>
              <w:rPr>
                <w:rFonts w:ascii="Times New Roman" w:hAnsi="Times New Roman" w:cs="Times New Roman"/>
                <w:lang w:val="en-GB"/>
              </w:rPr>
              <w:t>+/</w:t>
            </w:r>
            <w:r w:rsidRPr="000C1528">
              <w:rPr>
                <w:rFonts w:ascii="Times New Roman" w:hAnsi="Times New Roman" w:cs="Times New Roman"/>
                <w:lang w:val="en-GB"/>
              </w:rPr>
              <w:t>-)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Embarrassment asking about psychosocial factors (-)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Incomplete skills for applying a behavioural medicine approach (-)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Biomedical instead of biopsychosocial focus (-)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26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Outreach visits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94" w:type="dxa"/>
            <w:shd w:val="clear" w:color="auto" w:fill="auto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1.4 Action planning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 xml:space="preserve">2.2 Feedback on behaviour 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3.2 Social support (practical)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3.3 Social support (emotional)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4.1 Instruction on how to perform a behaviour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7.1 Prompts/cues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 xml:space="preserve">8.7 Graded tasks 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10.4 Social reward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11.2 Reduce negative emotions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15.1 Verbal persuasion about capability</w:t>
            </w:r>
          </w:p>
        </w:tc>
      </w:tr>
      <w:tr w:rsidR="008536D9" w:rsidRPr="005B240E" w:rsidTr="000430F3">
        <w:tc>
          <w:tcPr>
            <w:tcW w:w="2263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Observational learning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Social support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Self-efficacy beliefs</w:t>
            </w:r>
          </w:p>
        </w:tc>
        <w:tc>
          <w:tcPr>
            <w:tcW w:w="4962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Support from peers (+)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Embarrassment asking about psychosocial factors (-)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Incomplete skills for applying a behavioural medicine approach (-)</w:t>
            </w:r>
          </w:p>
        </w:tc>
        <w:tc>
          <w:tcPr>
            <w:tcW w:w="2126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Peer coaching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94" w:type="dxa"/>
            <w:shd w:val="clear" w:color="auto" w:fill="auto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 xml:space="preserve">2.2 Feedback on behaviour 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3.2 Social support (practical)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3.3 Social support (emotional)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6.2 Social comparison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10.4 Social reward</w:t>
            </w:r>
          </w:p>
        </w:tc>
      </w:tr>
      <w:tr w:rsidR="008536D9" w:rsidRPr="003E6FA1" w:rsidTr="000430F3">
        <w:tc>
          <w:tcPr>
            <w:tcW w:w="2263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Observational learning</w:t>
            </w:r>
          </w:p>
        </w:tc>
        <w:tc>
          <w:tcPr>
            <w:tcW w:w="4962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Behavioural medicine knowledge (+)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Lack of time (-)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Ambivalence towards the behavioural medicine approach (-)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Incomplete skills for applying a behavioural medicine approach (-)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Biomedical instead of biopsychosocial focus (-)</w:t>
            </w:r>
          </w:p>
        </w:tc>
        <w:tc>
          <w:tcPr>
            <w:tcW w:w="2126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Educational material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94" w:type="dxa"/>
            <w:shd w:val="clear" w:color="auto" w:fill="auto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4.1 Instruction on how to perform a behaviour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4.2 Information about antecedents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 xml:space="preserve">6.1 Demonstration of the behaviour 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6.2 Social comparison</w:t>
            </w:r>
          </w:p>
        </w:tc>
      </w:tr>
      <w:tr w:rsidR="008536D9" w:rsidRPr="003E6FA1" w:rsidTr="000430F3">
        <w:tc>
          <w:tcPr>
            <w:tcW w:w="2263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Forethought capability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Self-efficacy beliefs</w:t>
            </w:r>
          </w:p>
        </w:tc>
        <w:tc>
          <w:tcPr>
            <w:tcW w:w="4962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Incomplete skills for applying a behavioural medicine approach (-)</w:t>
            </w:r>
          </w:p>
        </w:tc>
        <w:tc>
          <w:tcPr>
            <w:tcW w:w="2126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Individual goalsetting</w:t>
            </w:r>
          </w:p>
        </w:tc>
        <w:tc>
          <w:tcPr>
            <w:tcW w:w="4394" w:type="dxa"/>
            <w:shd w:val="clear" w:color="auto" w:fill="auto"/>
          </w:tcPr>
          <w:p w:rsidR="008536D9" w:rsidRPr="000C1528" w:rsidRDefault="008536D9" w:rsidP="008536D9">
            <w:pPr>
              <w:pStyle w:val="Liststycke"/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Goal setting (behaviour)</w:t>
            </w:r>
          </w:p>
          <w:p w:rsidR="008536D9" w:rsidRPr="000C1528" w:rsidRDefault="008536D9" w:rsidP="008536D9">
            <w:pPr>
              <w:pStyle w:val="Liststycke"/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Problem solving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1.4 Action planning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 xml:space="preserve">1.5 Review behaviour goal(s) 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1.8 Behavioural contract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7.1 Prompts/cues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8.1 Behavioural practice/ rehearsal</w:t>
            </w:r>
          </w:p>
        </w:tc>
      </w:tr>
      <w:tr w:rsidR="008536D9" w:rsidRPr="005B240E" w:rsidTr="000430F3">
        <w:tc>
          <w:tcPr>
            <w:tcW w:w="2263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Forethought capability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lastRenderedPageBreak/>
              <w:t>Self-monitoring</w:t>
            </w:r>
          </w:p>
        </w:tc>
        <w:tc>
          <w:tcPr>
            <w:tcW w:w="4962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lastRenderedPageBreak/>
              <w:t>Lack of self-awareness of professional practice (-)</w:t>
            </w:r>
          </w:p>
        </w:tc>
        <w:tc>
          <w:tcPr>
            <w:tcW w:w="2126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Video feedback</w:t>
            </w:r>
          </w:p>
        </w:tc>
        <w:tc>
          <w:tcPr>
            <w:tcW w:w="4394" w:type="dxa"/>
            <w:shd w:val="clear" w:color="auto" w:fill="auto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 xml:space="preserve">2.2 Feedback on behaviour 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lastRenderedPageBreak/>
              <w:t>2.3 Self-monitoring of behaviour</w:t>
            </w:r>
          </w:p>
        </w:tc>
      </w:tr>
      <w:tr w:rsidR="008536D9" w:rsidRPr="005B240E" w:rsidTr="000430F3">
        <w:tc>
          <w:tcPr>
            <w:tcW w:w="2263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lastRenderedPageBreak/>
              <w:t>Forethought capability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Self-monitoring</w:t>
            </w:r>
          </w:p>
        </w:tc>
        <w:tc>
          <w:tcPr>
            <w:tcW w:w="4962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Lack of self-awareness of professional practice (-)</w:t>
            </w:r>
          </w:p>
        </w:tc>
        <w:tc>
          <w:tcPr>
            <w:tcW w:w="2126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Self-monitoring in a diary</w:t>
            </w:r>
          </w:p>
        </w:tc>
        <w:tc>
          <w:tcPr>
            <w:tcW w:w="4394" w:type="dxa"/>
            <w:shd w:val="clear" w:color="auto" w:fill="auto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2.3 Self-monitoring of behaviour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7.1 Prompts/cues</w:t>
            </w:r>
          </w:p>
        </w:tc>
      </w:tr>
      <w:tr w:rsidR="008536D9" w:rsidRPr="00394A11" w:rsidTr="000430F3">
        <w:tc>
          <w:tcPr>
            <w:tcW w:w="2263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Social support</w:t>
            </w:r>
          </w:p>
        </w:tc>
        <w:tc>
          <w:tcPr>
            <w:tcW w:w="4962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Lack of support from manager (-)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26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Manager support</w:t>
            </w:r>
          </w:p>
        </w:tc>
        <w:tc>
          <w:tcPr>
            <w:tcW w:w="4394" w:type="dxa"/>
            <w:shd w:val="clear" w:color="auto" w:fill="auto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3.2 Social support (practical)</w:t>
            </w:r>
          </w:p>
        </w:tc>
      </w:tr>
      <w:tr w:rsidR="008536D9" w:rsidRPr="00394A11" w:rsidTr="000430F3">
        <w:tc>
          <w:tcPr>
            <w:tcW w:w="2263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Contextual factors</w:t>
            </w:r>
          </w:p>
        </w:tc>
        <w:tc>
          <w:tcPr>
            <w:tcW w:w="4962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Patients as active and passive agents (+/-)</w:t>
            </w:r>
          </w:p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Patients’ role expectations of the physiotherapist</w:t>
            </w:r>
            <w:r w:rsidRPr="000C1528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Pr="000C1528">
              <w:rPr>
                <w:rFonts w:ascii="Times New Roman" w:hAnsi="Times New Roman" w:cs="Times New Roman"/>
                <w:lang w:val="en-GB"/>
              </w:rPr>
              <w:t>(+/-)</w:t>
            </w:r>
          </w:p>
        </w:tc>
        <w:tc>
          <w:tcPr>
            <w:tcW w:w="2126" w:type="dxa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Patient information</w:t>
            </w:r>
          </w:p>
        </w:tc>
        <w:tc>
          <w:tcPr>
            <w:tcW w:w="4394" w:type="dxa"/>
            <w:shd w:val="clear" w:color="auto" w:fill="auto"/>
          </w:tcPr>
          <w:p w:rsidR="008536D9" w:rsidRPr="000C1528" w:rsidRDefault="008536D9" w:rsidP="000430F3">
            <w:pPr>
              <w:rPr>
                <w:rFonts w:ascii="Times New Roman" w:hAnsi="Times New Roman" w:cs="Times New Roman"/>
                <w:lang w:val="en-GB"/>
              </w:rPr>
            </w:pPr>
            <w:r w:rsidRPr="000C1528">
              <w:rPr>
                <w:rFonts w:ascii="Times New Roman" w:hAnsi="Times New Roman" w:cs="Times New Roman"/>
                <w:lang w:val="en-GB"/>
              </w:rPr>
              <w:t>12.2 Restructuring the social environment</w:t>
            </w:r>
          </w:p>
        </w:tc>
      </w:tr>
    </w:tbl>
    <w:p w:rsidR="00432643" w:rsidRDefault="00432643"/>
    <w:sectPr w:rsidR="00432643" w:rsidSect="008536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474A4"/>
    <w:multiLevelType w:val="multilevel"/>
    <w:tmpl w:val="328C93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6D9"/>
    <w:rsid w:val="00432643"/>
    <w:rsid w:val="005B240E"/>
    <w:rsid w:val="0085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CBF9"/>
  <w15:chartTrackingRefBased/>
  <w15:docId w15:val="{F3420AC5-0FE8-4132-890E-2FC15608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6D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536D9"/>
    <w:pPr>
      <w:ind w:left="720"/>
      <w:contextualSpacing/>
    </w:pPr>
  </w:style>
  <w:style w:type="table" w:styleId="Tabellrutnt">
    <w:name w:val="Table Grid"/>
    <w:basedOn w:val="Normaltabell"/>
    <w:uiPriority w:val="39"/>
    <w:rsid w:val="0085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Mälardalens högskola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Fritz</dc:creator>
  <cp:keywords/>
  <dc:description/>
  <cp:lastModifiedBy>Johanna Fritz</cp:lastModifiedBy>
  <cp:revision>2</cp:revision>
  <dcterms:created xsi:type="dcterms:W3CDTF">2019-08-29T12:52:00Z</dcterms:created>
  <dcterms:modified xsi:type="dcterms:W3CDTF">2019-08-29T12:52:00Z</dcterms:modified>
</cp:coreProperties>
</file>