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44BF1" w14:textId="6A9B4A49" w:rsidR="00FA1882" w:rsidRPr="006B55B4" w:rsidRDefault="00920A48" w:rsidP="00FA1882">
      <w:pPr>
        <w:spacing w:line="480" w:lineRule="auto"/>
        <w:rPr>
          <w:rFonts w:ascii="Times New Roman" w:hAnsi="Times New Roman" w:cs="Times New Roman"/>
          <w:b/>
        </w:rPr>
      </w:pPr>
      <w:r w:rsidRPr="006B55B4">
        <w:rPr>
          <w:rFonts w:ascii="Times New Roman" w:hAnsi="Times New Roman" w:cs="Times New Roman"/>
          <w:b/>
        </w:rPr>
        <w:t>Additional File 2</w:t>
      </w:r>
      <w:r w:rsidR="00CF267D" w:rsidRPr="006B55B4">
        <w:rPr>
          <w:rFonts w:ascii="Times New Roman" w:hAnsi="Times New Roman" w:cs="Times New Roman"/>
          <w:b/>
        </w:rPr>
        <w:t>.</w:t>
      </w:r>
      <w:r w:rsidR="00CF267D" w:rsidRPr="006B55B4">
        <w:rPr>
          <w:rFonts w:ascii="Times New Roman" w:hAnsi="Times New Roman" w:cs="Times New Roman"/>
        </w:rPr>
        <w:t xml:space="preserve"> </w:t>
      </w:r>
      <w:r w:rsidR="00CF267D" w:rsidRPr="006B55B4">
        <w:rPr>
          <w:rFonts w:ascii="Times New Roman" w:hAnsi="Times New Roman" w:cs="Times New Roman"/>
          <w:b/>
        </w:rPr>
        <w:t xml:space="preserve">Detailed Statistical Analysis Plan and </w:t>
      </w:r>
      <w:r w:rsidR="00FA1882" w:rsidRPr="006B55B4">
        <w:rPr>
          <w:rFonts w:ascii="Times New Roman" w:hAnsi="Times New Roman" w:cs="Times New Roman"/>
          <w:b/>
        </w:rPr>
        <w:t>Power Considerations</w:t>
      </w:r>
    </w:p>
    <w:p w14:paraId="64F0A63C" w14:textId="77777777" w:rsidR="00CF267D" w:rsidRPr="006B55B4" w:rsidRDefault="00CF267D" w:rsidP="00CF267D">
      <w:pPr>
        <w:widowControl w:val="0"/>
        <w:spacing w:after="120" w:line="480" w:lineRule="auto"/>
        <w:rPr>
          <w:rFonts w:ascii="Times New Roman" w:hAnsi="Times New Roman" w:cs="Times New Roman"/>
          <w:b/>
          <w:i/>
        </w:rPr>
      </w:pPr>
      <w:r w:rsidRPr="006B55B4">
        <w:rPr>
          <w:rFonts w:ascii="Times New Roman" w:hAnsi="Times New Roman" w:cs="Times New Roman"/>
          <w:b/>
        </w:rPr>
        <w:t>Statistical Approach.</w:t>
      </w:r>
      <w:r w:rsidRPr="006B55B4">
        <w:rPr>
          <w:rFonts w:ascii="Times New Roman" w:hAnsi="Times New Roman" w:cs="Times New Roman"/>
          <w:b/>
          <w:i/>
        </w:rPr>
        <w:t xml:space="preserve"> </w:t>
      </w:r>
    </w:p>
    <w:p w14:paraId="7F263524" w14:textId="22915A8A" w:rsidR="00CF267D" w:rsidRPr="006B55B4" w:rsidRDefault="00CF267D" w:rsidP="00CF267D">
      <w:pPr>
        <w:widowControl w:val="0"/>
        <w:spacing w:after="120" w:line="480" w:lineRule="auto"/>
        <w:rPr>
          <w:rFonts w:ascii="Times New Roman" w:hAnsi="Times New Roman" w:cs="Times New Roman"/>
          <w:sz w:val="28"/>
        </w:rPr>
      </w:pPr>
      <w:r w:rsidRPr="006B55B4">
        <w:rPr>
          <w:rFonts w:ascii="Times New Roman" w:hAnsi="Times New Roman" w:cs="Times New Roman"/>
          <w:i/>
        </w:rPr>
        <w:t>Effectiveness of intervention.</w:t>
      </w:r>
      <w:r w:rsidRPr="006B55B4">
        <w:rPr>
          <w:rFonts w:ascii="Times New Roman" w:hAnsi="Times New Roman" w:cs="Times New Roman"/>
          <w:b/>
          <w:i/>
        </w:rPr>
        <w:t xml:space="preserve"> </w:t>
      </w:r>
      <w:r w:rsidRPr="006B55B4">
        <w:rPr>
          <w:rFonts w:ascii="Times New Roman" w:hAnsi="Times New Roman" w:cs="Times New Roman"/>
        </w:rPr>
        <w:t xml:space="preserve">The relative </w:t>
      </w:r>
      <w:r w:rsidRPr="006B55B4">
        <w:rPr>
          <w:rFonts w:ascii="Times New Roman" w:eastAsia="Times New Roman" w:hAnsi="Times New Roman" w:cs="Times New Roman"/>
          <w:color w:val="000000"/>
        </w:rPr>
        <w:t>change, from the 12-month pre-intervention period to the 12-month post-intervention period, in the proportion of patient visits after which guideline-eligible patients complete out-of-office BP testing</w:t>
      </w:r>
      <w:r w:rsidRPr="006B55B4">
        <w:rPr>
          <w:rFonts w:ascii="Times New Roman" w:hAnsi="Times New Roman" w:cs="Times New Roman"/>
        </w:rPr>
        <w:t xml:space="preserve"> (either ABPM or HBPM) will be the primary outcome measured at the clinic level. This change will be estimated using a multilevel Poisson regression model</w:t>
      </w:r>
      <w:r w:rsidRPr="006B55B4">
        <w:rPr>
          <w:rFonts w:ascii="Times New Roman" w:hAnsi="Times New Roman" w:cs="Times New Roman"/>
        </w:rPr>
        <w:fldChar w:fldCharType="begin">
          <w:fldData xml:space="preserve">PEVuZE5vdGU+PENpdGU+PEF1dGhvcj5TaW5nZXI8L0F1dGhvcj48WWVhcj4xOTkzPC9ZZWFyPjxS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</w:fldData>
        </w:fldChar>
      </w:r>
      <w:r w:rsidRPr="006B55B4">
        <w:rPr>
          <w:rFonts w:ascii="Times New Roman" w:hAnsi="Times New Roman" w:cs="Times New Roman"/>
        </w:rPr>
        <w:instrText xml:space="preserve"> ADDIN EN.CITE </w:instrText>
      </w:r>
      <w:r w:rsidRPr="006B55B4">
        <w:rPr>
          <w:rFonts w:ascii="Times New Roman" w:hAnsi="Times New Roman" w:cs="Times New Roman"/>
        </w:rPr>
        <w:fldChar w:fldCharType="begin">
          <w:fldData xml:space="preserve">PEVuZE5vdGU+PENpdGU+PEF1dGhvcj5TaW5nZXI8L0F1dGhvcj48WWVhcj4xOTkzPC9ZZWFyPjxS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</w:fldData>
        </w:fldChar>
      </w:r>
      <w:r w:rsidRPr="006B55B4">
        <w:rPr>
          <w:rFonts w:ascii="Times New Roman" w:hAnsi="Times New Roman" w:cs="Times New Roman"/>
        </w:rPr>
        <w:instrText xml:space="preserve"> ADDIN EN.CITE.DATA </w:instrText>
      </w:r>
      <w:r w:rsidRPr="006B55B4">
        <w:rPr>
          <w:rFonts w:ascii="Times New Roman" w:hAnsi="Times New Roman" w:cs="Times New Roman"/>
        </w:rPr>
      </w:r>
      <w:r w:rsidRPr="006B55B4">
        <w:rPr>
          <w:rFonts w:ascii="Times New Roman" w:hAnsi="Times New Roman" w:cs="Times New Roman"/>
        </w:rPr>
        <w:fldChar w:fldCharType="end"/>
      </w:r>
      <w:r w:rsidRPr="006B55B4">
        <w:rPr>
          <w:rFonts w:ascii="Times New Roman" w:hAnsi="Times New Roman" w:cs="Times New Roman"/>
        </w:rPr>
      </w:r>
      <w:r w:rsidRPr="006B55B4">
        <w:rPr>
          <w:rFonts w:ascii="Times New Roman" w:hAnsi="Times New Roman" w:cs="Times New Roman"/>
        </w:rPr>
        <w:fldChar w:fldCharType="separate"/>
      </w:r>
      <w:r w:rsidRPr="006B55B4">
        <w:rPr>
          <w:rFonts w:ascii="Times New Roman" w:hAnsi="Times New Roman" w:cs="Times New Roman"/>
          <w:noProof/>
        </w:rPr>
        <w:t>(1, 2)</w:t>
      </w:r>
      <w:r w:rsidRPr="006B55B4">
        <w:rPr>
          <w:rFonts w:ascii="Times New Roman" w:hAnsi="Times New Roman" w:cs="Times New Roman"/>
        </w:rPr>
        <w:fldChar w:fldCharType="end"/>
      </w:r>
      <w:r w:rsidRPr="006B55B4">
        <w:rPr>
          <w:rFonts w:ascii="Times New Roman" w:hAnsi="Times New Roman" w:cs="Times New Roman"/>
        </w:rPr>
        <w:t xml:space="preserve"> in which level 1 is the eligible patient and level 2 is the clinic. There will be two observations for each of the 8 clinics, one for the pre-intervention and one for the post-intervention 12-month period, and each observation will include:</w:t>
      </w:r>
    </w:p>
    <w:p w14:paraId="77D1B51D" w14:textId="77777777" w:rsidR="00CF267D" w:rsidRPr="006B55B4" w:rsidRDefault="00CF267D" w:rsidP="00CF267D">
      <w:pPr>
        <w:pStyle w:val="ListParagraph"/>
        <w:widowControl w:val="0"/>
        <w:numPr>
          <w:ilvl w:val="0"/>
          <w:numId w:val="2"/>
        </w:numPr>
        <w:spacing w:after="120" w:line="480" w:lineRule="auto"/>
        <w:rPr>
          <w:rFonts w:ascii="Times New Roman" w:hAnsi="Times New Roman" w:cs="Times New Roman"/>
          <w:sz w:val="24"/>
        </w:rPr>
      </w:pPr>
      <w:r w:rsidRPr="006B55B4">
        <w:rPr>
          <w:rFonts w:ascii="Times New Roman" w:hAnsi="Times New Roman" w:cs="Times New Roman"/>
          <w:sz w:val="24"/>
        </w:rPr>
        <w:t xml:space="preserve">the outcome: the number of patients who </w:t>
      </w:r>
      <w:r w:rsidRPr="006B55B4">
        <w:rPr>
          <w:rFonts w:ascii="Times New Roman" w:eastAsia="Times New Roman" w:hAnsi="Times New Roman" w:cs="Times New Roman"/>
          <w:color w:val="000000"/>
          <w:sz w:val="24"/>
        </w:rPr>
        <w:t>completed out-of-office BP testing within six months of an eligible visit that occurred within the given 12-month period,</w:t>
      </w:r>
    </w:p>
    <w:p w14:paraId="431E104C" w14:textId="77777777" w:rsidR="00CF267D" w:rsidRPr="006B55B4" w:rsidRDefault="00CF267D" w:rsidP="00CF267D">
      <w:pPr>
        <w:pStyle w:val="ListParagraph"/>
        <w:widowControl w:val="0"/>
        <w:numPr>
          <w:ilvl w:val="0"/>
          <w:numId w:val="2"/>
        </w:numPr>
        <w:spacing w:after="120" w:line="480" w:lineRule="auto"/>
        <w:rPr>
          <w:rFonts w:ascii="Times New Roman" w:hAnsi="Times New Roman" w:cs="Times New Roman"/>
          <w:sz w:val="24"/>
        </w:rPr>
      </w:pPr>
      <w:r w:rsidRPr="006B55B4">
        <w:rPr>
          <w:rFonts w:ascii="Times New Roman" w:hAnsi="Times New Roman" w:cs="Times New Roman"/>
          <w:sz w:val="24"/>
        </w:rPr>
        <w:t xml:space="preserve">the total number of unique eligible patient-visits during the </w:t>
      </w:r>
      <w:r w:rsidRPr="006B55B4">
        <w:rPr>
          <w:rFonts w:ascii="Times New Roman" w:eastAsia="Times New Roman" w:hAnsi="Times New Roman" w:cs="Times New Roman"/>
          <w:color w:val="000000"/>
          <w:sz w:val="24"/>
        </w:rPr>
        <w:t>given 12-month period (used as an “offset” variable, after log-transformation, in the Poisson regression), and</w:t>
      </w:r>
    </w:p>
    <w:p w14:paraId="736409B3" w14:textId="77777777" w:rsidR="00CF267D" w:rsidRPr="006B55B4" w:rsidRDefault="00CF267D" w:rsidP="00CF267D">
      <w:pPr>
        <w:pStyle w:val="ListParagraph"/>
        <w:widowControl w:val="0"/>
        <w:numPr>
          <w:ilvl w:val="0"/>
          <w:numId w:val="2"/>
        </w:numPr>
        <w:spacing w:after="120" w:line="480" w:lineRule="auto"/>
        <w:rPr>
          <w:rFonts w:ascii="Times New Roman" w:hAnsi="Times New Roman" w:cs="Times New Roman"/>
          <w:sz w:val="24"/>
        </w:rPr>
      </w:pPr>
      <w:r w:rsidRPr="006B55B4">
        <w:rPr>
          <w:rFonts w:ascii="Times New Roman" w:hAnsi="Times New Roman" w:cs="Times New Roman"/>
          <w:sz w:val="24"/>
        </w:rPr>
        <w:t xml:space="preserve">two binary predictors, Condition (0=control site, 1=intervention site) and Period (0=pre-intervention, 1=post-intervention). </w:t>
      </w:r>
    </w:p>
    <w:p w14:paraId="5FD50CEA" w14:textId="1EC523A3" w:rsidR="00CF267D" w:rsidRPr="006B55B4" w:rsidRDefault="00CF267D" w:rsidP="00CF267D">
      <w:pPr>
        <w:widowControl w:val="0"/>
        <w:spacing w:after="120" w:line="480" w:lineRule="auto"/>
        <w:rPr>
          <w:rFonts w:ascii="Times New Roman" w:hAnsi="Times New Roman" w:cs="Times New Roman"/>
        </w:rPr>
      </w:pPr>
      <w:r w:rsidRPr="006B55B4">
        <w:rPr>
          <w:rFonts w:ascii="Times New Roman" w:hAnsi="Times New Roman" w:cs="Times New Roman"/>
        </w:rPr>
        <w:t xml:space="preserve">The model will include two correlated random intercepts, one to capture site-specific differences (i.e., clustering by site) during the pre-intervention period and one for the </w:t>
      </w:r>
      <w:r w:rsidRPr="006B55B4">
        <w:rPr>
          <w:rFonts w:ascii="Times New Roman" w:eastAsia="Times New Roman" w:hAnsi="Times New Roman" w:cs="Times New Roman"/>
          <w:color w:val="000000"/>
        </w:rPr>
        <w:t>post-intervention period. We considered a much more complex model that would include random effects for each individual physician, but recent work suggests that it is sufficient to model only clustering at the highest level of analysis at which clustering is assumed to occur.</w:t>
      </w:r>
      <w:r w:rsidRPr="006B55B4">
        <w:rPr>
          <w:rFonts w:ascii="Times New Roman" w:eastAsia="Times New Roman" w:hAnsi="Times New Roman" w:cs="Times New Roman"/>
          <w:color w:val="000000"/>
        </w:rPr>
        <w:fldChar w:fldCharType="begin"/>
      </w:r>
      <w:r w:rsidRPr="006B55B4">
        <w:rPr>
          <w:rFonts w:ascii="Times New Roman" w:eastAsia="Times New Roman" w:hAnsi="Times New Roman" w:cs="Times New Roman"/>
          <w:color w:val="000000"/>
        </w:rPr>
        <w:instrText xml:space="preserve"> ADDIN EN.CITE &lt;EndNote&gt;&lt;Cite&gt;&lt;Author&gt;Murray&lt;/Author&gt;&lt;Year&gt;1996&lt;/Year&gt;&lt;IDText&gt;A Monte Carlo study of alternative responses to intraclass correlation in community trials. Is it ever possible to avoid Cornfield&amp;apos;s penalties?&lt;/IDText&gt;&lt;DisplayText&gt;(3)&lt;/DisplayText&gt;&lt;record&gt;&lt;dates&gt;&lt;pub-dates&gt;&lt;date&gt;Jun&lt;/date&gt;&lt;/pub-dates&gt;&lt;year&gt;1996&lt;/year&gt;&lt;/dates&gt;&lt;keywords&gt;&lt;keyword&gt;Analysis of Variance&lt;/keyword&gt;&lt;keyword&gt;Bias&lt;/keyword&gt;&lt;keyword&gt;Community Health Services&lt;/keyword&gt;&lt;keyword&gt;Data Interpretation, Statistical&lt;/keyword&gt;&lt;keyword&gt;Humans&lt;/keyword&gt;&lt;keyword&gt;Models, Statistical&lt;/keyword&gt;&lt;keyword&gt;Monte Carlo Method&lt;/keyword&gt;&lt;keyword&gt;Program Evaluation&lt;/keyword&gt;&lt;keyword&gt;Regression Analysis&lt;/keyword&gt;&lt;keyword&gt;Reproducibility of Results&lt;/keyword&gt;&lt;/keywords&gt;&lt;urls&gt;&lt;related-urls&gt;&lt;url&gt;https://www.ncbi.nlm.nih.gov/pubmed/10182207&lt;/url&gt;&lt;/related-urls&gt;&lt;/urls&gt;&lt;isbn&gt;0193-841X&lt;/isbn&gt;&lt;titles&gt;&lt;title&gt;A Monte Carlo study of alternative responses to intraclass correlation in community trials. Is it ever possible to avoid Cornfield&amp;apos;s penalties?&lt;/title&gt;&lt;secondary-title&gt;Eval Rev&lt;/secondary-title&gt;&lt;/titles&gt;&lt;pages&gt;313-37&lt;/pages&gt;&lt;number&gt;3&lt;/number&gt;&lt;contributors&gt;&lt;authors&gt;&lt;author&gt;Murray, D. M.&lt;/author&gt;&lt;author&gt;Hannan, P. J.&lt;/author&gt;&lt;author&gt;Baker, W. L.&lt;/author&gt;&lt;/authors&gt;&lt;/contributors&gt;&lt;language&gt;eng&lt;/language&gt;&lt;added-date format="utc"&gt;1565814218&lt;/added-date&gt;&lt;ref-type name="Journal Article"&gt;17&lt;/ref-type&gt;&lt;rec-number&gt;2174&lt;/rec-number&gt;&lt;last-updated-date format="utc"&gt;1565814218&lt;/last-updated-date&gt;&lt;accession-num&gt;10182207&lt;/accession-num&gt;&lt;electronic-resource-num&gt;10.1177/0193841X9602000305&lt;/electronic-resource-num&gt;&lt;volume&gt;20&lt;/volume&gt;&lt;/record&gt;&lt;/Cite&gt;&lt;/EndNote&gt;</w:instrText>
      </w:r>
      <w:r w:rsidRPr="006B55B4">
        <w:rPr>
          <w:rFonts w:ascii="Times New Roman" w:eastAsia="Times New Roman" w:hAnsi="Times New Roman" w:cs="Times New Roman"/>
          <w:color w:val="000000"/>
        </w:rPr>
        <w:fldChar w:fldCharType="separate"/>
      </w:r>
      <w:r w:rsidRPr="006B55B4">
        <w:rPr>
          <w:rFonts w:ascii="Times New Roman" w:eastAsia="Times New Roman" w:hAnsi="Times New Roman" w:cs="Times New Roman"/>
          <w:noProof/>
          <w:color w:val="000000"/>
        </w:rPr>
        <w:t>(3)</w:t>
      </w:r>
      <w:r w:rsidRPr="006B55B4">
        <w:rPr>
          <w:rFonts w:ascii="Times New Roman" w:eastAsia="Times New Roman" w:hAnsi="Times New Roman" w:cs="Times New Roman"/>
          <w:color w:val="000000"/>
        </w:rPr>
        <w:fldChar w:fldCharType="end"/>
      </w:r>
      <w:r w:rsidRPr="006B55B4">
        <w:rPr>
          <w:rFonts w:ascii="Times New Roman" w:hAnsi="Times New Roman" w:cs="Times New Roman"/>
        </w:rPr>
        <w:t xml:space="preserve"> Using a log link function, we will estimate the following model:</w:t>
      </w:r>
    </w:p>
    <w:p w14:paraId="0B5D54A3" w14:textId="77777777" w:rsidR="00CF267D" w:rsidRPr="006B55B4" w:rsidRDefault="00CF267D" w:rsidP="00CF267D">
      <w:pPr>
        <w:widowControl w:val="0"/>
        <w:tabs>
          <w:tab w:val="center" w:pos="4680"/>
          <w:tab w:val="right" w:pos="9270"/>
        </w:tabs>
        <w:spacing w:after="120" w:line="480" w:lineRule="auto"/>
        <w:rPr>
          <w:rFonts w:ascii="Times New Roman" w:hAnsi="Times New Roman" w:cs="Times New Roman"/>
        </w:rPr>
      </w:pPr>
      <w:r w:rsidRPr="006B55B4">
        <w:rPr>
          <w:rFonts w:ascii="Times New Roman" w:hAnsi="Times New Roman" w:cs="Times New Roman"/>
        </w:rPr>
        <w:tab/>
        <w:t>ln(</w:t>
      </w:r>
      <w:proofErr w:type="spellStart"/>
      <w:r w:rsidRPr="006B55B4">
        <w:rPr>
          <w:rFonts w:ascii="Times New Roman" w:hAnsi="Times New Roman" w:cs="Times New Roman"/>
        </w:rPr>
        <w:t>OOO_BP</w:t>
      </w:r>
      <w:r w:rsidRPr="006B55B4">
        <w:rPr>
          <w:rFonts w:ascii="Times New Roman" w:hAnsi="Times New Roman" w:cs="Times New Roman"/>
          <w:i/>
          <w:vertAlign w:val="subscript"/>
        </w:rPr>
        <w:t>sp</w:t>
      </w:r>
      <w:proofErr w:type="spellEnd"/>
      <w:r w:rsidRPr="006B55B4">
        <w:rPr>
          <w:rFonts w:ascii="Times New Roman" w:hAnsi="Times New Roman" w:cs="Times New Roman"/>
        </w:rPr>
        <w:t>) = α</w:t>
      </w:r>
      <w:proofErr w:type="spellStart"/>
      <w:r w:rsidRPr="006B55B4">
        <w:rPr>
          <w:rFonts w:ascii="Times New Roman" w:hAnsi="Times New Roman" w:cs="Times New Roman"/>
          <w:i/>
          <w:vertAlign w:val="subscript"/>
        </w:rPr>
        <w:t>sp</w:t>
      </w:r>
      <w:proofErr w:type="spellEnd"/>
      <w:r w:rsidRPr="006B55B4">
        <w:rPr>
          <w:rFonts w:ascii="Times New Roman" w:hAnsi="Times New Roman" w:cs="Times New Roman"/>
        </w:rPr>
        <w:t xml:space="preserve"> + β</w:t>
      </w:r>
      <w:r w:rsidRPr="006B55B4">
        <w:rPr>
          <w:rFonts w:ascii="Times New Roman" w:hAnsi="Times New Roman" w:cs="Times New Roman"/>
          <w:vertAlign w:val="subscript"/>
        </w:rPr>
        <w:t>1</w:t>
      </w:r>
      <w:r w:rsidRPr="006B55B4">
        <w:rPr>
          <w:rFonts w:ascii="Times New Roman" w:hAnsi="Times New Roman" w:cs="Times New Roman"/>
        </w:rPr>
        <w:t>*Condition</w:t>
      </w:r>
      <w:r w:rsidRPr="006B55B4">
        <w:rPr>
          <w:rFonts w:ascii="Times New Roman" w:hAnsi="Times New Roman" w:cs="Times New Roman"/>
          <w:i/>
          <w:vertAlign w:val="subscript"/>
        </w:rPr>
        <w:t>s</w:t>
      </w:r>
      <w:r w:rsidRPr="006B55B4">
        <w:rPr>
          <w:rFonts w:ascii="Times New Roman" w:hAnsi="Times New Roman" w:cs="Times New Roman"/>
        </w:rPr>
        <w:t xml:space="preserve"> + β</w:t>
      </w:r>
      <w:r w:rsidRPr="006B55B4">
        <w:rPr>
          <w:rFonts w:ascii="Times New Roman" w:hAnsi="Times New Roman" w:cs="Times New Roman"/>
          <w:vertAlign w:val="subscript"/>
        </w:rPr>
        <w:t>2</w:t>
      </w:r>
      <w:r w:rsidRPr="006B55B4">
        <w:rPr>
          <w:rFonts w:ascii="Times New Roman" w:hAnsi="Times New Roman" w:cs="Times New Roman"/>
        </w:rPr>
        <w:t>*</w:t>
      </w:r>
      <w:proofErr w:type="spellStart"/>
      <w:r w:rsidRPr="006B55B4">
        <w:rPr>
          <w:rFonts w:ascii="Times New Roman" w:hAnsi="Times New Roman" w:cs="Times New Roman"/>
        </w:rPr>
        <w:t>Period</w:t>
      </w:r>
      <w:r w:rsidRPr="006B55B4">
        <w:rPr>
          <w:rFonts w:ascii="Times New Roman" w:hAnsi="Times New Roman" w:cs="Times New Roman"/>
          <w:i/>
          <w:vertAlign w:val="subscript"/>
        </w:rPr>
        <w:t>p</w:t>
      </w:r>
      <w:proofErr w:type="spellEnd"/>
      <w:r w:rsidRPr="006B55B4">
        <w:rPr>
          <w:rFonts w:ascii="Times New Roman" w:hAnsi="Times New Roman" w:cs="Times New Roman"/>
        </w:rPr>
        <w:t xml:space="preserve"> + β</w:t>
      </w:r>
      <w:r w:rsidRPr="006B55B4">
        <w:rPr>
          <w:rFonts w:ascii="Times New Roman" w:hAnsi="Times New Roman" w:cs="Times New Roman"/>
          <w:vertAlign w:val="subscript"/>
        </w:rPr>
        <w:t>3</w:t>
      </w:r>
      <w:r w:rsidRPr="006B55B4">
        <w:rPr>
          <w:rFonts w:ascii="Times New Roman" w:hAnsi="Times New Roman" w:cs="Times New Roman"/>
        </w:rPr>
        <w:t>*Condition</w:t>
      </w:r>
      <w:r w:rsidRPr="006B55B4">
        <w:rPr>
          <w:rFonts w:ascii="Times New Roman" w:hAnsi="Times New Roman" w:cs="Times New Roman"/>
          <w:i/>
          <w:vertAlign w:val="subscript"/>
        </w:rPr>
        <w:t>s</w:t>
      </w:r>
      <w:r w:rsidRPr="006B55B4">
        <w:rPr>
          <w:rFonts w:ascii="Times New Roman" w:hAnsi="Times New Roman" w:cs="Times New Roman"/>
        </w:rPr>
        <w:t>*</w:t>
      </w:r>
      <w:proofErr w:type="spellStart"/>
      <w:r w:rsidRPr="006B55B4">
        <w:rPr>
          <w:rFonts w:ascii="Times New Roman" w:hAnsi="Times New Roman" w:cs="Times New Roman"/>
        </w:rPr>
        <w:t>Period</w:t>
      </w:r>
      <w:r w:rsidRPr="006B55B4">
        <w:rPr>
          <w:rFonts w:ascii="Times New Roman" w:hAnsi="Times New Roman" w:cs="Times New Roman"/>
          <w:i/>
          <w:vertAlign w:val="subscript"/>
        </w:rPr>
        <w:t>p</w:t>
      </w:r>
      <w:proofErr w:type="spellEnd"/>
      <w:r w:rsidRPr="006B55B4">
        <w:rPr>
          <w:rFonts w:ascii="Times New Roman" w:hAnsi="Times New Roman" w:cs="Times New Roman"/>
        </w:rPr>
        <w:tab/>
        <w:t>(1)</w:t>
      </w:r>
    </w:p>
    <w:p w14:paraId="1684ACB6" w14:textId="77777777" w:rsidR="00CF267D" w:rsidRPr="006B55B4" w:rsidRDefault="00CF267D" w:rsidP="00CF267D">
      <w:pPr>
        <w:widowControl w:val="0"/>
        <w:rPr>
          <w:rFonts w:ascii="Times New Roman" w:hAnsi="Times New Roman" w:cs="Times New Roman"/>
        </w:rPr>
      </w:pPr>
      <w:r w:rsidRPr="006B55B4">
        <w:rPr>
          <w:rFonts w:ascii="Times New Roman" w:hAnsi="Times New Roman" w:cs="Times New Roman"/>
        </w:rPr>
        <w:lastRenderedPageBreak/>
        <w:t>Where,</w:t>
      </w:r>
      <w:r w:rsidRPr="006B55B4">
        <w:rPr>
          <w:rFonts w:ascii="Times New Roman" w:hAnsi="Times New Roman" w:cs="Times New Roman"/>
          <w:i/>
          <w:iCs/>
        </w:rPr>
        <w:t xml:space="preserve"> s</w:t>
      </w:r>
      <w:r w:rsidRPr="006B55B4">
        <w:rPr>
          <w:rFonts w:ascii="Times New Roman" w:hAnsi="Times New Roman" w:cs="Times New Roman"/>
        </w:rPr>
        <w:t xml:space="preserve"> indexes clinic sites, </w:t>
      </w:r>
      <w:r w:rsidRPr="006B55B4">
        <w:rPr>
          <w:rFonts w:ascii="Times New Roman" w:hAnsi="Times New Roman" w:cs="Times New Roman"/>
          <w:i/>
          <w:iCs/>
        </w:rPr>
        <w:t>s</w:t>
      </w:r>
      <w:r w:rsidRPr="006B55B4">
        <w:rPr>
          <w:rFonts w:ascii="Times New Roman" w:hAnsi="Times New Roman" w:cs="Times New Roman"/>
        </w:rPr>
        <w:t xml:space="preserve"> = 1 to 8,</w:t>
      </w:r>
    </w:p>
    <w:p w14:paraId="7AE27E22" w14:textId="77777777" w:rsidR="00CF267D" w:rsidRPr="006B55B4" w:rsidRDefault="00CF267D" w:rsidP="00CF267D">
      <w:pPr>
        <w:widowControl w:val="0"/>
        <w:ind w:left="1080" w:hanging="360"/>
        <w:rPr>
          <w:rFonts w:ascii="Times New Roman" w:hAnsi="Times New Roman" w:cs="Times New Roman"/>
        </w:rPr>
      </w:pPr>
      <w:r w:rsidRPr="006B55B4">
        <w:rPr>
          <w:rFonts w:ascii="Times New Roman" w:hAnsi="Times New Roman" w:cs="Times New Roman"/>
          <w:i/>
          <w:iCs/>
        </w:rPr>
        <w:t>p</w:t>
      </w:r>
      <w:r w:rsidRPr="006B55B4">
        <w:rPr>
          <w:rFonts w:ascii="Times New Roman" w:hAnsi="Times New Roman" w:cs="Times New Roman"/>
        </w:rPr>
        <w:t xml:space="preserve"> equals 0 for Pre-intervention period, 1 for Post-intervention period,</w:t>
      </w:r>
    </w:p>
    <w:p w14:paraId="5E0DCB25" w14:textId="77777777" w:rsidR="00CF267D" w:rsidRPr="006B55B4" w:rsidRDefault="00CF267D" w:rsidP="00CF267D">
      <w:pPr>
        <w:widowControl w:val="0"/>
        <w:ind w:left="1080" w:hanging="360"/>
        <w:rPr>
          <w:rFonts w:ascii="Times New Roman" w:hAnsi="Times New Roman" w:cs="Times New Roman"/>
        </w:rPr>
      </w:pPr>
      <w:proofErr w:type="spellStart"/>
      <w:r w:rsidRPr="006B55B4">
        <w:rPr>
          <w:rFonts w:ascii="Times New Roman" w:hAnsi="Times New Roman" w:cs="Times New Roman"/>
        </w:rPr>
        <w:t>OOO_BP</w:t>
      </w:r>
      <w:r w:rsidRPr="006B55B4">
        <w:rPr>
          <w:rFonts w:ascii="Times New Roman" w:hAnsi="Times New Roman" w:cs="Times New Roman"/>
          <w:i/>
          <w:iCs/>
          <w:vertAlign w:val="subscript"/>
        </w:rPr>
        <w:t>sp</w:t>
      </w:r>
      <w:proofErr w:type="spellEnd"/>
      <w:r w:rsidRPr="006B55B4">
        <w:rPr>
          <w:rFonts w:ascii="Times New Roman" w:hAnsi="Times New Roman" w:cs="Times New Roman"/>
        </w:rPr>
        <w:t xml:space="preserve"> equals the number of out-of-office BP assessments at site s during period p,</w:t>
      </w:r>
    </w:p>
    <w:p w14:paraId="523740C1" w14:textId="77777777" w:rsidR="00CF267D" w:rsidRPr="006B55B4" w:rsidRDefault="00CF267D" w:rsidP="00CF267D">
      <w:pPr>
        <w:widowControl w:val="0"/>
        <w:ind w:left="1080" w:hanging="360"/>
        <w:rPr>
          <w:rFonts w:ascii="Times New Roman" w:hAnsi="Times New Roman" w:cs="Times New Roman"/>
        </w:rPr>
      </w:pPr>
      <w:r w:rsidRPr="006B55B4">
        <w:rPr>
          <w:rFonts w:ascii="Times New Roman" w:hAnsi="Times New Roman" w:cs="Times New Roman"/>
        </w:rPr>
        <w:t>α</w:t>
      </w:r>
      <w:r w:rsidRPr="006B55B4">
        <w:rPr>
          <w:rFonts w:ascii="Times New Roman" w:hAnsi="Times New Roman" w:cs="Times New Roman"/>
          <w:vertAlign w:val="subscript"/>
        </w:rPr>
        <w:t>s1</w:t>
      </w:r>
      <w:r w:rsidRPr="006B55B4">
        <w:rPr>
          <w:rFonts w:ascii="Times New Roman" w:hAnsi="Times New Roman" w:cs="Times New Roman"/>
        </w:rPr>
        <w:t xml:space="preserve"> equals the </w:t>
      </w:r>
      <w:proofErr w:type="gramStart"/>
      <w:r w:rsidRPr="006B55B4">
        <w:rPr>
          <w:rFonts w:ascii="Times New Roman" w:hAnsi="Times New Roman" w:cs="Times New Roman"/>
        </w:rPr>
        <w:t>site specific</w:t>
      </w:r>
      <w:proofErr w:type="gramEnd"/>
      <w:r w:rsidRPr="006B55B4">
        <w:rPr>
          <w:rFonts w:ascii="Times New Roman" w:hAnsi="Times New Roman" w:cs="Times New Roman"/>
        </w:rPr>
        <w:t xml:space="preserve"> effect for the pre-intervention period, </w:t>
      </w:r>
    </w:p>
    <w:p w14:paraId="2CBBFEB0" w14:textId="77777777" w:rsidR="00CF267D" w:rsidRPr="006B55B4" w:rsidRDefault="00CF267D" w:rsidP="00CF267D">
      <w:pPr>
        <w:widowControl w:val="0"/>
        <w:ind w:left="1080" w:hanging="360"/>
        <w:rPr>
          <w:rFonts w:ascii="Times New Roman" w:hAnsi="Times New Roman" w:cs="Times New Roman"/>
        </w:rPr>
      </w:pPr>
      <w:r w:rsidRPr="006B55B4">
        <w:rPr>
          <w:rFonts w:ascii="Times New Roman" w:hAnsi="Times New Roman" w:cs="Times New Roman"/>
        </w:rPr>
        <w:t>α</w:t>
      </w:r>
      <w:r w:rsidRPr="006B55B4">
        <w:rPr>
          <w:rFonts w:ascii="Times New Roman" w:hAnsi="Times New Roman" w:cs="Times New Roman"/>
          <w:vertAlign w:val="subscript"/>
        </w:rPr>
        <w:t>s2</w:t>
      </w:r>
      <w:r w:rsidRPr="006B55B4">
        <w:rPr>
          <w:rFonts w:ascii="Times New Roman" w:hAnsi="Times New Roman" w:cs="Times New Roman"/>
        </w:rPr>
        <w:t xml:space="preserve"> equals the </w:t>
      </w:r>
      <w:proofErr w:type="gramStart"/>
      <w:r w:rsidRPr="006B55B4">
        <w:rPr>
          <w:rFonts w:ascii="Times New Roman" w:hAnsi="Times New Roman" w:cs="Times New Roman"/>
        </w:rPr>
        <w:t>site specific</w:t>
      </w:r>
      <w:proofErr w:type="gramEnd"/>
      <w:r w:rsidRPr="006B55B4">
        <w:rPr>
          <w:rFonts w:ascii="Times New Roman" w:hAnsi="Times New Roman" w:cs="Times New Roman"/>
        </w:rPr>
        <w:t xml:space="preserve"> effect for the post-intervention period, and</w:t>
      </w:r>
    </w:p>
    <w:p w14:paraId="43265FDB" w14:textId="77777777" w:rsidR="00CF267D" w:rsidRPr="006B55B4" w:rsidRDefault="00CF267D" w:rsidP="00CF267D">
      <w:pPr>
        <w:widowControl w:val="0"/>
        <w:ind w:left="1080" w:hanging="360"/>
        <w:rPr>
          <w:rFonts w:ascii="Times New Roman" w:eastAsiaTheme="minorEastAsia" w:hAnsi="Times New Roman" w:cs="Times New Roman"/>
        </w:rPr>
      </w:pPr>
      <w:r w:rsidRPr="006B55B4">
        <w:rPr>
          <w:rFonts w:ascii="Times New Roman" w:hAnsi="Times New Roman" w:cs="Times New Roman"/>
        </w:rPr>
        <w:t>α</w:t>
      </w:r>
      <w:r w:rsidRPr="006B55B4">
        <w:rPr>
          <w:rFonts w:ascii="Times New Roman" w:hAnsi="Times New Roman" w:cs="Times New Roman"/>
          <w:vertAlign w:val="subscript"/>
        </w:rPr>
        <w:t>s1</w:t>
      </w:r>
      <w:r w:rsidRPr="006B55B4">
        <w:rPr>
          <w:rFonts w:ascii="Times New Roman" w:hAnsi="Times New Roman" w:cs="Times New Roman"/>
        </w:rPr>
        <w:t xml:space="preserve"> and α</w:t>
      </w:r>
      <w:r w:rsidRPr="006B55B4">
        <w:rPr>
          <w:rFonts w:ascii="Times New Roman" w:hAnsi="Times New Roman" w:cs="Times New Roman"/>
          <w:vertAlign w:val="subscript"/>
        </w:rPr>
        <w:t>s2</w:t>
      </w:r>
      <w:r w:rsidRPr="006B55B4">
        <w:rPr>
          <w:rFonts w:ascii="Times New Roman" w:hAnsi="Times New Roman" w:cs="Times New Roman"/>
        </w:rPr>
        <w:t xml:space="preserve"> are assumed to have equal standard deviations, σ, and a bivariate normal distribution with correlation </w:t>
      </w:r>
      <w:r w:rsidRPr="006B55B4">
        <w:rPr>
          <w:rFonts w:ascii="Times New Roman" w:hAnsi="Times New Roman" w:cs="Times New Roman"/>
          <w:i/>
        </w:rPr>
        <w:t>r</w:t>
      </w:r>
      <w:r w:rsidRPr="006B55B4">
        <w:rPr>
          <w:rFonts w:ascii="Times New Roman" w:hAnsi="Times New Roman" w:cs="Times New Roman"/>
        </w:rPr>
        <w:t>.</w:t>
      </w:r>
    </w:p>
    <w:p w14:paraId="32383E0F" w14:textId="77777777" w:rsidR="00CF267D" w:rsidRPr="006B55B4" w:rsidRDefault="00CF267D" w:rsidP="00CF267D">
      <w:pPr>
        <w:widowControl w:val="0"/>
        <w:spacing w:before="240" w:line="480" w:lineRule="auto"/>
        <w:rPr>
          <w:rFonts w:ascii="Times New Roman" w:hAnsi="Times New Roman" w:cs="Times New Roman"/>
        </w:rPr>
      </w:pPr>
      <w:r w:rsidRPr="006B55B4">
        <w:rPr>
          <w:rFonts w:ascii="Times New Roman" w:hAnsi="Times New Roman" w:cs="Times New Roman"/>
        </w:rPr>
        <w:t>This analysis will be used to test three closely related hypotheses:</w:t>
      </w:r>
    </w:p>
    <w:p w14:paraId="32B195B3" w14:textId="77777777" w:rsidR="00CF267D" w:rsidRPr="006B55B4" w:rsidRDefault="00CF267D" w:rsidP="00CF267D">
      <w:pPr>
        <w:pStyle w:val="ListParagraph"/>
        <w:widowControl w:val="0"/>
        <w:numPr>
          <w:ilvl w:val="0"/>
          <w:numId w:val="3"/>
        </w:numPr>
        <w:spacing w:after="120" w:line="480" w:lineRule="auto"/>
        <w:rPr>
          <w:rFonts w:ascii="Times New Roman" w:hAnsi="Times New Roman" w:cs="Times New Roman"/>
          <w:sz w:val="24"/>
          <w:szCs w:val="24"/>
        </w:rPr>
      </w:pPr>
      <w:r w:rsidRPr="006B55B4">
        <w:rPr>
          <w:rFonts w:ascii="Times New Roman" w:hAnsi="Times New Roman" w:cs="Times New Roman"/>
          <w:sz w:val="24"/>
          <w:szCs w:val="24"/>
        </w:rPr>
        <w:t xml:space="preserve">The rate of out-of-office BP completion during the post-intervention period will be higher in clinics that received the intervention than in the control clinics.  </w:t>
      </w:r>
      <w:proofErr w:type="spellStart"/>
      <w:r w:rsidRPr="006B55B4">
        <w:rPr>
          <w:rFonts w:ascii="Times New Roman" w:hAnsi="Times New Roman" w:cs="Times New Roman"/>
          <w:sz w:val="24"/>
          <w:szCs w:val="24"/>
        </w:rPr>
        <w:t>Exp</w:t>
      </w:r>
      <w:proofErr w:type="spellEnd"/>
      <w:r w:rsidRPr="006B55B4">
        <w:rPr>
          <w:rFonts w:ascii="Times New Roman" w:hAnsi="Times New Roman" w:cs="Times New Roman"/>
          <w:sz w:val="24"/>
          <w:szCs w:val="24"/>
        </w:rPr>
        <w:t>(β</w:t>
      </w:r>
      <w:r w:rsidRPr="006B55B4">
        <w:rPr>
          <w:rFonts w:ascii="Times New Roman" w:hAnsi="Times New Roman" w:cs="Times New Roman"/>
          <w:sz w:val="24"/>
          <w:szCs w:val="24"/>
          <w:vertAlign w:val="subscript"/>
        </w:rPr>
        <w:t>1</w:t>
      </w:r>
      <w:r w:rsidRPr="006B55B4">
        <w:rPr>
          <w:rFonts w:ascii="Times New Roman" w:hAnsi="Times New Roman" w:cs="Times New Roman"/>
          <w:sz w:val="24"/>
          <w:szCs w:val="24"/>
        </w:rPr>
        <w:t xml:space="preserve"> + β</w:t>
      </w:r>
      <w:r w:rsidRPr="006B55B4">
        <w:rPr>
          <w:rFonts w:ascii="Times New Roman" w:hAnsi="Times New Roman" w:cs="Times New Roman"/>
          <w:sz w:val="24"/>
          <w:szCs w:val="24"/>
          <w:vertAlign w:val="subscript"/>
        </w:rPr>
        <w:t>3</w:t>
      </w:r>
      <w:r w:rsidRPr="006B55B4">
        <w:rPr>
          <w:rFonts w:ascii="Times New Roman" w:hAnsi="Times New Roman" w:cs="Times New Roman"/>
          <w:sz w:val="24"/>
          <w:szCs w:val="24"/>
        </w:rPr>
        <w:t>) equals the relative risk (RR) of out-of-office BP assessment in intervention compared to control clinics during the post-intervention period, and testing the hypothesis that β</w:t>
      </w:r>
      <w:r w:rsidRPr="006B55B4">
        <w:rPr>
          <w:rFonts w:ascii="Times New Roman" w:hAnsi="Times New Roman" w:cs="Times New Roman"/>
          <w:sz w:val="24"/>
          <w:szCs w:val="24"/>
          <w:vertAlign w:val="subscript"/>
        </w:rPr>
        <w:t>1</w:t>
      </w:r>
      <w:r w:rsidRPr="006B55B4">
        <w:rPr>
          <w:rFonts w:ascii="Times New Roman" w:hAnsi="Times New Roman" w:cs="Times New Roman"/>
          <w:sz w:val="24"/>
          <w:szCs w:val="24"/>
        </w:rPr>
        <w:t xml:space="preserve"> + β</w:t>
      </w:r>
      <w:r w:rsidRPr="006B55B4">
        <w:rPr>
          <w:rFonts w:ascii="Times New Roman" w:hAnsi="Times New Roman" w:cs="Times New Roman"/>
          <w:sz w:val="24"/>
          <w:szCs w:val="24"/>
          <w:vertAlign w:val="subscript"/>
        </w:rPr>
        <w:t>3</w:t>
      </w:r>
      <w:r w:rsidRPr="006B55B4">
        <w:rPr>
          <w:rFonts w:ascii="Times New Roman" w:hAnsi="Times New Roman" w:cs="Times New Roman"/>
          <w:sz w:val="24"/>
          <w:szCs w:val="24"/>
        </w:rPr>
        <w:t xml:space="preserve"> = 0 is equivalent to testing the hypothesis that this RR=1.0.</w:t>
      </w:r>
    </w:p>
    <w:p w14:paraId="61C8BC1B" w14:textId="77777777" w:rsidR="00CF267D" w:rsidRPr="006B55B4" w:rsidRDefault="00CF267D" w:rsidP="00CF267D">
      <w:pPr>
        <w:pStyle w:val="ListParagraph"/>
        <w:widowControl w:val="0"/>
        <w:numPr>
          <w:ilvl w:val="0"/>
          <w:numId w:val="3"/>
        </w:numPr>
        <w:spacing w:before="240" w:after="120" w:line="480" w:lineRule="auto"/>
        <w:rPr>
          <w:rFonts w:ascii="Times New Roman" w:hAnsi="Times New Roman" w:cs="Times New Roman"/>
          <w:sz w:val="24"/>
          <w:szCs w:val="24"/>
        </w:rPr>
      </w:pPr>
      <w:r w:rsidRPr="006B55B4">
        <w:rPr>
          <w:rFonts w:ascii="Times New Roman" w:hAnsi="Times New Roman" w:cs="Times New Roman"/>
          <w:sz w:val="24"/>
          <w:szCs w:val="24"/>
        </w:rPr>
        <w:t xml:space="preserve">The rate of out-of-office BP completion within clinics assigned to the intervention condition will be higher during the post-intervention period than during the pre-intervention period.  </w:t>
      </w:r>
      <w:proofErr w:type="spellStart"/>
      <w:r w:rsidRPr="006B55B4">
        <w:rPr>
          <w:rFonts w:ascii="Times New Roman" w:hAnsi="Times New Roman" w:cs="Times New Roman"/>
          <w:sz w:val="24"/>
          <w:szCs w:val="24"/>
        </w:rPr>
        <w:t>Exp</w:t>
      </w:r>
      <w:proofErr w:type="spellEnd"/>
      <w:r w:rsidRPr="006B55B4">
        <w:rPr>
          <w:rFonts w:ascii="Times New Roman" w:hAnsi="Times New Roman" w:cs="Times New Roman"/>
          <w:sz w:val="24"/>
          <w:szCs w:val="24"/>
        </w:rPr>
        <w:t>(β</w:t>
      </w:r>
      <w:r w:rsidRPr="006B55B4">
        <w:rPr>
          <w:rFonts w:ascii="Times New Roman" w:hAnsi="Times New Roman" w:cs="Times New Roman"/>
          <w:sz w:val="24"/>
          <w:szCs w:val="24"/>
          <w:vertAlign w:val="subscript"/>
        </w:rPr>
        <w:t>2</w:t>
      </w:r>
      <w:r w:rsidRPr="006B55B4">
        <w:rPr>
          <w:rFonts w:ascii="Times New Roman" w:hAnsi="Times New Roman" w:cs="Times New Roman"/>
          <w:sz w:val="24"/>
          <w:szCs w:val="24"/>
        </w:rPr>
        <w:t xml:space="preserve"> + β</w:t>
      </w:r>
      <w:r w:rsidRPr="006B55B4">
        <w:rPr>
          <w:rFonts w:ascii="Times New Roman" w:hAnsi="Times New Roman" w:cs="Times New Roman"/>
          <w:sz w:val="24"/>
          <w:szCs w:val="24"/>
          <w:vertAlign w:val="subscript"/>
        </w:rPr>
        <w:t>3</w:t>
      </w:r>
      <w:r w:rsidRPr="006B55B4">
        <w:rPr>
          <w:rFonts w:ascii="Times New Roman" w:hAnsi="Times New Roman" w:cs="Times New Roman"/>
          <w:sz w:val="24"/>
          <w:szCs w:val="24"/>
        </w:rPr>
        <w:t>) equals the RR of out-of-office BP assessment in during the post-intervention period compared to the pre-intervention period, within the clinics assigned to the intervention condition, and testing the hypothesis that β</w:t>
      </w:r>
      <w:r w:rsidRPr="006B55B4">
        <w:rPr>
          <w:rFonts w:ascii="Times New Roman" w:hAnsi="Times New Roman" w:cs="Times New Roman"/>
          <w:sz w:val="24"/>
          <w:szCs w:val="24"/>
          <w:vertAlign w:val="subscript"/>
        </w:rPr>
        <w:t>2</w:t>
      </w:r>
      <w:r w:rsidRPr="006B55B4">
        <w:rPr>
          <w:rFonts w:ascii="Times New Roman" w:hAnsi="Times New Roman" w:cs="Times New Roman"/>
          <w:sz w:val="24"/>
          <w:szCs w:val="24"/>
        </w:rPr>
        <w:t xml:space="preserve"> + β</w:t>
      </w:r>
      <w:r w:rsidRPr="006B55B4">
        <w:rPr>
          <w:rFonts w:ascii="Times New Roman" w:hAnsi="Times New Roman" w:cs="Times New Roman"/>
          <w:sz w:val="24"/>
          <w:szCs w:val="24"/>
          <w:vertAlign w:val="subscript"/>
        </w:rPr>
        <w:t>3</w:t>
      </w:r>
      <w:r w:rsidRPr="006B55B4">
        <w:rPr>
          <w:rFonts w:ascii="Times New Roman" w:hAnsi="Times New Roman" w:cs="Times New Roman"/>
          <w:sz w:val="24"/>
          <w:szCs w:val="24"/>
        </w:rPr>
        <w:t xml:space="preserve"> = 0 is equivalent to testing the hypothesis that this RR=1.0.</w:t>
      </w:r>
    </w:p>
    <w:p w14:paraId="6CE54DF8" w14:textId="77777777" w:rsidR="00CF267D" w:rsidRPr="006B55B4" w:rsidRDefault="00CF267D" w:rsidP="00CF267D">
      <w:pPr>
        <w:pStyle w:val="ListParagraph"/>
        <w:widowControl w:val="0"/>
        <w:numPr>
          <w:ilvl w:val="0"/>
          <w:numId w:val="3"/>
        </w:numPr>
        <w:spacing w:before="240" w:after="120" w:line="480" w:lineRule="auto"/>
        <w:rPr>
          <w:rFonts w:ascii="Times New Roman" w:hAnsi="Times New Roman" w:cs="Times New Roman"/>
          <w:sz w:val="24"/>
          <w:szCs w:val="24"/>
        </w:rPr>
      </w:pPr>
      <w:r w:rsidRPr="006B55B4">
        <w:rPr>
          <w:rFonts w:ascii="Times New Roman" w:hAnsi="Times New Roman" w:cs="Times New Roman"/>
          <w:sz w:val="24"/>
          <w:szCs w:val="24"/>
        </w:rPr>
        <w:t>The Pre- to Post- change in the likelihood of out-of-office BP testing will be greater in the clinics that received the intervention than in the control clinics. β</w:t>
      </w:r>
      <w:r w:rsidRPr="006B55B4">
        <w:rPr>
          <w:rFonts w:ascii="Times New Roman" w:hAnsi="Times New Roman" w:cs="Times New Roman"/>
          <w:sz w:val="24"/>
          <w:szCs w:val="24"/>
          <w:vertAlign w:val="subscript"/>
        </w:rPr>
        <w:t>3</w:t>
      </w:r>
      <w:r w:rsidRPr="006B55B4">
        <w:rPr>
          <w:rFonts w:ascii="Times New Roman" w:hAnsi="Times New Roman" w:cs="Times New Roman"/>
          <w:sz w:val="24"/>
          <w:szCs w:val="24"/>
        </w:rPr>
        <w:t xml:space="preserve">, the coefficient of the interaction term, </w:t>
      </w:r>
      <w:r w:rsidRPr="006B55B4">
        <w:rPr>
          <w:rFonts w:ascii="Times New Roman" w:eastAsiaTheme="minorEastAsia" w:hAnsi="Times New Roman" w:cs="Times New Roman"/>
          <w:sz w:val="24"/>
          <w:szCs w:val="24"/>
        </w:rPr>
        <w:t>estimates the extent to which the Pre- to Post- change in the likelihood of out-of-office BP testing is greater in the clinics that received the intervention than in the control clinics. More specifically, if RR</w:t>
      </w:r>
      <w:r w:rsidRPr="006B55B4">
        <w:rPr>
          <w:rFonts w:ascii="Times New Roman" w:eastAsiaTheme="minorEastAsia" w:hAnsi="Times New Roman" w:cs="Times New Roman"/>
          <w:sz w:val="24"/>
          <w:szCs w:val="24"/>
          <w:vertAlign w:val="subscript"/>
        </w:rPr>
        <w:t>0</w:t>
      </w:r>
      <w:r w:rsidRPr="006B55B4">
        <w:rPr>
          <w:rFonts w:ascii="Times New Roman" w:eastAsiaTheme="minorEastAsia" w:hAnsi="Times New Roman" w:cs="Times New Roman"/>
          <w:sz w:val="24"/>
          <w:szCs w:val="24"/>
        </w:rPr>
        <w:t xml:space="preserve"> equals </w:t>
      </w:r>
      <w:r w:rsidRPr="006B55B4">
        <w:rPr>
          <w:rFonts w:ascii="Times New Roman" w:hAnsi="Times New Roman" w:cs="Times New Roman"/>
          <w:sz w:val="24"/>
          <w:szCs w:val="24"/>
        </w:rPr>
        <w:t xml:space="preserve">the relative risk of out-of-office BP completion in intervention clinics compared to control clinics during the pre-intervention period and </w:t>
      </w:r>
      <w:r w:rsidRPr="006B55B4">
        <w:rPr>
          <w:rFonts w:ascii="Times New Roman" w:eastAsiaTheme="minorEastAsia" w:hAnsi="Times New Roman" w:cs="Times New Roman"/>
          <w:sz w:val="24"/>
          <w:szCs w:val="24"/>
        </w:rPr>
        <w:t>RR</w:t>
      </w:r>
      <w:r w:rsidRPr="006B55B4">
        <w:rPr>
          <w:rFonts w:ascii="Times New Roman" w:eastAsiaTheme="minorEastAsia" w:hAnsi="Times New Roman" w:cs="Times New Roman"/>
          <w:sz w:val="24"/>
          <w:szCs w:val="24"/>
          <w:vertAlign w:val="subscript"/>
        </w:rPr>
        <w:t>1</w:t>
      </w:r>
      <w:r w:rsidRPr="006B55B4">
        <w:rPr>
          <w:rFonts w:ascii="Times New Roman" w:eastAsiaTheme="minorEastAsia" w:hAnsi="Times New Roman" w:cs="Times New Roman"/>
          <w:sz w:val="24"/>
          <w:szCs w:val="24"/>
        </w:rPr>
        <w:t xml:space="preserve"> equals the relative risk during the </w:t>
      </w:r>
      <w:r w:rsidRPr="006B55B4">
        <w:rPr>
          <w:rFonts w:ascii="Times New Roman" w:hAnsi="Times New Roman" w:cs="Times New Roman"/>
          <w:sz w:val="24"/>
          <w:szCs w:val="24"/>
        </w:rPr>
        <w:t>post-intervention period</w:t>
      </w:r>
      <w:r w:rsidRPr="006B55B4">
        <w:rPr>
          <w:rFonts w:ascii="Times New Roman" w:eastAsiaTheme="minorEastAsia" w:hAnsi="Times New Roman" w:cs="Times New Roman"/>
          <w:sz w:val="24"/>
          <w:szCs w:val="24"/>
        </w:rPr>
        <w:t xml:space="preserve">, then </w:t>
      </w:r>
      <w:proofErr w:type="spellStart"/>
      <w:r w:rsidRPr="006B55B4">
        <w:rPr>
          <w:rFonts w:ascii="Times New Roman" w:eastAsiaTheme="minorEastAsia" w:hAnsi="Times New Roman" w:cs="Times New Roman"/>
          <w:sz w:val="24"/>
          <w:szCs w:val="24"/>
        </w:rPr>
        <w:t>e</w:t>
      </w:r>
      <w:r w:rsidRPr="006B55B4">
        <w:rPr>
          <w:rFonts w:ascii="Times New Roman" w:hAnsi="Times New Roman" w:cs="Times New Roman"/>
          <w:sz w:val="24"/>
          <w:szCs w:val="24"/>
        </w:rPr>
        <w:t>xp</w:t>
      </w:r>
      <w:proofErr w:type="spellEnd"/>
      <w:r w:rsidRPr="006B55B4">
        <w:rPr>
          <w:rFonts w:ascii="Times New Roman" w:hAnsi="Times New Roman" w:cs="Times New Roman"/>
          <w:sz w:val="24"/>
          <w:szCs w:val="24"/>
        </w:rPr>
        <w:t>(β</w:t>
      </w:r>
      <w:r w:rsidRPr="006B55B4">
        <w:rPr>
          <w:rFonts w:ascii="Times New Roman" w:hAnsi="Times New Roman" w:cs="Times New Roman"/>
          <w:sz w:val="24"/>
          <w:szCs w:val="24"/>
          <w:vertAlign w:val="subscript"/>
        </w:rPr>
        <w:t>3</w:t>
      </w:r>
      <w:r w:rsidRPr="006B55B4">
        <w:rPr>
          <w:rFonts w:ascii="Times New Roman" w:hAnsi="Times New Roman" w:cs="Times New Roman"/>
          <w:sz w:val="24"/>
          <w:szCs w:val="24"/>
        </w:rPr>
        <w:t xml:space="preserve">) equals </w:t>
      </w:r>
      <w:r w:rsidRPr="006B55B4">
        <w:rPr>
          <w:rFonts w:ascii="Times New Roman" w:eastAsiaTheme="minorEastAsia" w:hAnsi="Times New Roman" w:cs="Times New Roman"/>
          <w:sz w:val="24"/>
          <w:szCs w:val="24"/>
        </w:rPr>
        <w:t>RR</w:t>
      </w:r>
      <w:r w:rsidRPr="006B55B4">
        <w:rPr>
          <w:rFonts w:ascii="Times New Roman" w:eastAsiaTheme="minorEastAsia" w:hAnsi="Times New Roman" w:cs="Times New Roman"/>
          <w:sz w:val="24"/>
          <w:szCs w:val="24"/>
          <w:vertAlign w:val="subscript"/>
        </w:rPr>
        <w:t>1</w:t>
      </w:r>
      <w:r w:rsidRPr="006B55B4">
        <w:rPr>
          <w:rFonts w:ascii="Times New Roman" w:hAnsi="Times New Roman" w:cs="Times New Roman"/>
          <w:sz w:val="24"/>
          <w:szCs w:val="24"/>
        </w:rPr>
        <w:t>/</w:t>
      </w:r>
      <w:r w:rsidRPr="006B55B4">
        <w:rPr>
          <w:rFonts w:ascii="Times New Roman" w:eastAsiaTheme="minorEastAsia" w:hAnsi="Times New Roman" w:cs="Times New Roman"/>
          <w:sz w:val="24"/>
          <w:szCs w:val="24"/>
        </w:rPr>
        <w:t>RR</w:t>
      </w:r>
      <w:r w:rsidRPr="006B55B4">
        <w:rPr>
          <w:rFonts w:ascii="Times New Roman" w:eastAsiaTheme="minorEastAsia" w:hAnsi="Times New Roman" w:cs="Times New Roman"/>
          <w:sz w:val="24"/>
          <w:szCs w:val="24"/>
          <w:vertAlign w:val="subscript"/>
        </w:rPr>
        <w:t>0</w:t>
      </w:r>
      <w:r w:rsidRPr="006B55B4">
        <w:rPr>
          <w:rFonts w:ascii="Times New Roman" w:hAnsi="Times New Roman" w:cs="Times New Roman"/>
          <w:sz w:val="24"/>
          <w:szCs w:val="24"/>
        </w:rPr>
        <w:t xml:space="preserve">, and testing the hypothesis that </w:t>
      </w:r>
      <w:proofErr w:type="spellStart"/>
      <w:r w:rsidRPr="006B55B4">
        <w:rPr>
          <w:rFonts w:ascii="Times New Roman" w:eastAsiaTheme="minorEastAsia" w:hAnsi="Times New Roman" w:cs="Times New Roman"/>
          <w:sz w:val="24"/>
          <w:szCs w:val="24"/>
        </w:rPr>
        <w:t>e</w:t>
      </w:r>
      <w:r w:rsidRPr="006B55B4">
        <w:rPr>
          <w:rFonts w:ascii="Times New Roman" w:hAnsi="Times New Roman" w:cs="Times New Roman"/>
          <w:sz w:val="24"/>
          <w:szCs w:val="24"/>
        </w:rPr>
        <w:t>xp</w:t>
      </w:r>
      <w:proofErr w:type="spellEnd"/>
      <w:r w:rsidRPr="006B55B4">
        <w:rPr>
          <w:rFonts w:ascii="Times New Roman" w:hAnsi="Times New Roman" w:cs="Times New Roman"/>
          <w:sz w:val="24"/>
          <w:szCs w:val="24"/>
        </w:rPr>
        <w:t>(β</w:t>
      </w:r>
      <w:r w:rsidRPr="006B55B4">
        <w:rPr>
          <w:rFonts w:ascii="Times New Roman" w:hAnsi="Times New Roman" w:cs="Times New Roman"/>
          <w:sz w:val="24"/>
          <w:szCs w:val="24"/>
          <w:vertAlign w:val="subscript"/>
        </w:rPr>
        <w:t>3</w:t>
      </w:r>
      <w:r w:rsidRPr="006B55B4">
        <w:rPr>
          <w:rFonts w:ascii="Times New Roman" w:hAnsi="Times New Roman" w:cs="Times New Roman"/>
          <w:sz w:val="24"/>
          <w:szCs w:val="24"/>
        </w:rPr>
        <w:t xml:space="preserve">) =0 is </w:t>
      </w:r>
      <w:r w:rsidRPr="006B55B4">
        <w:rPr>
          <w:rFonts w:ascii="Times New Roman" w:hAnsi="Times New Roman" w:cs="Times New Roman"/>
          <w:sz w:val="24"/>
          <w:szCs w:val="24"/>
        </w:rPr>
        <w:lastRenderedPageBreak/>
        <w:t xml:space="preserve">equivalent to testing the hypothesis that </w:t>
      </w:r>
      <w:r w:rsidRPr="006B55B4">
        <w:rPr>
          <w:rFonts w:ascii="Times New Roman" w:eastAsiaTheme="minorEastAsia" w:hAnsi="Times New Roman" w:cs="Times New Roman"/>
          <w:sz w:val="24"/>
          <w:szCs w:val="24"/>
        </w:rPr>
        <w:t>RR</w:t>
      </w:r>
      <w:r w:rsidRPr="006B55B4">
        <w:rPr>
          <w:rFonts w:ascii="Times New Roman" w:eastAsiaTheme="minorEastAsia" w:hAnsi="Times New Roman" w:cs="Times New Roman"/>
          <w:sz w:val="24"/>
          <w:szCs w:val="24"/>
          <w:vertAlign w:val="subscript"/>
        </w:rPr>
        <w:t>1</w:t>
      </w:r>
      <w:r w:rsidRPr="006B55B4">
        <w:rPr>
          <w:rFonts w:ascii="Times New Roman" w:hAnsi="Times New Roman" w:cs="Times New Roman"/>
          <w:sz w:val="24"/>
          <w:szCs w:val="24"/>
        </w:rPr>
        <w:t>/</w:t>
      </w:r>
      <w:r w:rsidRPr="006B55B4">
        <w:rPr>
          <w:rFonts w:ascii="Times New Roman" w:eastAsiaTheme="minorEastAsia" w:hAnsi="Times New Roman" w:cs="Times New Roman"/>
          <w:sz w:val="24"/>
          <w:szCs w:val="24"/>
        </w:rPr>
        <w:t>RR</w:t>
      </w:r>
      <w:r w:rsidRPr="006B55B4">
        <w:rPr>
          <w:rFonts w:ascii="Times New Roman" w:eastAsiaTheme="minorEastAsia" w:hAnsi="Times New Roman" w:cs="Times New Roman"/>
          <w:sz w:val="24"/>
          <w:szCs w:val="24"/>
          <w:vertAlign w:val="subscript"/>
        </w:rPr>
        <w:t>0</w:t>
      </w:r>
      <w:r w:rsidRPr="006B55B4">
        <w:rPr>
          <w:rFonts w:ascii="Times New Roman" w:hAnsi="Times New Roman" w:cs="Times New Roman"/>
          <w:sz w:val="24"/>
          <w:szCs w:val="24"/>
        </w:rPr>
        <w:t xml:space="preserve"> = 1.</w:t>
      </w:r>
    </w:p>
    <w:p w14:paraId="1FA9A2B4" w14:textId="570BB7A1" w:rsidR="00CF267D" w:rsidRPr="006B55B4" w:rsidRDefault="00CF267D" w:rsidP="006B55B4">
      <w:pPr>
        <w:widowControl w:val="0"/>
        <w:spacing w:before="240" w:after="120" w:line="480" w:lineRule="auto"/>
        <w:rPr>
          <w:rFonts w:ascii="Times New Roman" w:hAnsi="Times New Roman" w:cs="Times New Roman"/>
        </w:rPr>
      </w:pPr>
      <w:r w:rsidRPr="006B55B4">
        <w:rPr>
          <w:rFonts w:ascii="Times New Roman" w:hAnsi="Times New Roman" w:cs="Times New Roman"/>
        </w:rPr>
        <w:t xml:space="preserve">Although we anticipate that the matching of clinics will have promoted balance between those clinics assigned to the intervention and control conditions, we will not incorporate the matching into the analysis. The same approach will </w:t>
      </w:r>
      <w:proofErr w:type="gramStart"/>
      <w:r w:rsidRPr="006B55B4">
        <w:rPr>
          <w:rFonts w:ascii="Times New Roman" w:hAnsi="Times New Roman" w:cs="Times New Roman"/>
        </w:rPr>
        <w:t>be used</w:t>
      </w:r>
      <w:proofErr w:type="gramEnd"/>
      <w:r w:rsidRPr="006B55B4">
        <w:rPr>
          <w:rFonts w:ascii="Times New Roman" w:hAnsi="Times New Roman" w:cs="Times New Roman"/>
        </w:rPr>
        <w:t xml:space="preserve"> to evaluate the effect of the intervention on secondary outcomes including the rate of ABPM or HBPM referrals as well as to determine maintenance of the effect of the intervention in the second year after implementation (the maintenance period).</w:t>
      </w:r>
    </w:p>
    <w:p w14:paraId="49D39E52" w14:textId="77777777" w:rsidR="00CF267D" w:rsidRPr="006B55B4" w:rsidRDefault="00CF267D" w:rsidP="00CF267D">
      <w:pPr>
        <w:spacing w:line="480" w:lineRule="auto"/>
        <w:rPr>
          <w:rFonts w:ascii="Times New Roman" w:hAnsi="Times New Roman" w:cs="Times New Roman"/>
          <w:i/>
        </w:rPr>
      </w:pPr>
      <w:r w:rsidRPr="006B55B4">
        <w:rPr>
          <w:rFonts w:ascii="Times New Roman" w:hAnsi="Times New Roman" w:cs="Times New Roman"/>
          <w:i/>
        </w:rPr>
        <w:t>Power Considerations</w:t>
      </w:r>
    </w:p>
    <w:p w14:paraId="566D7BD7" w14:textId="77777777" w:rsidR="00CF267D" w:rsidRPr="006B55B4" w:rsidRDefault="00CF267D" w:rsidP="00CF267D">
      <w:pPr>
        <w:spacing w:line="480" w:lineRule="auto"/>
        <w:rPr>
          <w:rFonts w:ascii="Times New Roman" w:hAnsi="Times New Roman" w:cs="Times New Roman"/>
        </w:rPr>
      </w:pPr>
      <w:r w:rsidRPr="006B55B4">
        <w:rPr>
          <w:rFonts w:ascii="Times New Roman" w:hAnsi="Times New Roman" w:cs="Times New Roman"/>
        </w:rPr>
        <w:t xml:space="preserve">Our power calculations are based on data from 2014, the year prior to the update to the USPSTF hypertension screening recommendations. That year, there were 770 unique patients, with 997 eligible patient visits, seen by 169 clinicians at the 8 participating clinics. Our power calculations assume this same 2014 distribution of clinicians, patients, and eligible visits/patient for both pre- and post-intervention 12-month monitoring periods. For the effect size, we estimate that even with the release of the USPSTF guideline, there continued to be very low uptake of out-of-office BP testing to confirm hypertension diagnoses in wait-list clinics. Conservatively allowing that the rate of ABPM completion in the wait-list clinics increased in the years following the publication of the USPSTF hypertension screening recommendations to as high as 5% of patient visits with incident hypertension, we estimated the power to detect a 10% increase in out-of-office BP completion rate due to the intervention (i.e., 15% vs 5%), at a two-tailed, α=0.05 significance level, for each of the 3 hypotheses described above. In addition to the hypothesized out-of-office BP completion rates (5% and 15%), the power is influenced by two parameters associated with the random effects (i.e., clustering by clinic):  1) the standard deviation, σ, of the systematic differences variability among clinics in their log-transformed rates of out-of-office BP </w:t>
      </w:r>
      <w:r w:rsidRPr="006B55B4">
        <w:rPr>
          <w:rFonts w:ascii="Times New Roman" w:hAnsi="Times New Roman" w:cs="Times New Roman"/>
        </w:rPr>
        <w:lastRenderedPageBreak/>
        <w:t xml:space="preserve">completion rates [σ = ln(CV), where CV, coefficient of variation is the standard deviation across clinics of their out-of-office BP completion rates divided by the overall average completion rate; e.g., if CV=0.40, then the clinic-specific completion rates have a standard deviation of 2% when the overall average pre-intervention completion rate equals 5% and a standard deviation of 6% when the overall average post-intervention completion rate for clinics assigned to the intervention condition equals 15%], and 2) the correlation, </w:t>
      </w:r>
      <w:r w:rsidRPr="006B55B4">
        <w:rPr>
          <w:rFonts w:ascii="Times New Roman" w:hAnsi="Times New Roman" w:cs="Times New Roman"/>
          <w:i/>
        </w:rPr>
        <w:t>r</w:t>
      </w:r>
      <w:r w:rsidRPr="006B55B4">
        <w:rPr>
          <w:rFonts w:ascii="Times New Roman" w:hAnsi="Times New Roman" w:cs="Times New Roman"/>
        </w:rPr>
        <w:t xml:space="preserve">. When CV=0, there are no systematic differences among clinics (i.e., no clustering by clinic) and the model becomes a </w:t>
      </w:r>
      <w:proofErr w:type="gramStart"/>
      <w:r w:rsidRPr="006B55B4">
        <w:rPr>
          <w:rFonts w:ascii="Times New Roman" w:hAnsi="Times New Roman" w:cs="Times New Roman"/>
        </w:rPr>
        <w:t>fixed effects</w:t>
      </w:r>
      <w:proofErr w:type="gramEnd"/>
      <w:r w:rsidRPr="006B55B4">
        <w:rPr>
          <w:rFonts w:ascii="Times New Roman" w:hAnsi="Times New Roman" w:cs="Times New Roman"/>
        </w:rPr>
        <w:t xml:space="preserve">, rather than a random effects, model. As CV increases, the systematic differences among the clinics increases, reducing the ability (i.e., power) to generalize beyond the 8 participating clinics. On the other hand, increasing levels of </w:t>
      </w:r>
      <w:r w:rsidRPr="006B55B4">
        <w:rPr>
          <w:rFonts w:ascii="Times New Roman" w:hAnsi="Times New Roman" w:cs="Times New Roman"/>
          <w:i/>
        </w:rPr>
        <w:t>r</w:t>
      </w:r>
      <w:r w:rsidRPr="006B55B4">
        <w:rPr>
          <w:rFonts w:ascii="Times New Roman" w:hAnsi="Times New Roman" w:cs="Times New Roman"/>
        </w:rPr>
        <w:t xml:space="preserve"> increase the power to detect pre-intervention to post-intervention change, because it reduces the standard deviation of α</w:t>
      </w:r>
      <w:r w:rsidRPr="006B55B4">
        <w:rPr>
          <w:rFonts w:ascii="Times New Roman" w:hAnsi="Times New Roman" w:cs="Times New Roman"/>
          <w:vertAlign w:val="subscript"/>
        </w:rPr>
        <w:t>s2</w:t>
      </w:r>
      <w:r w:rsidRPr="006B55B4">
        <w:rPr>
          <w:rFonts w:ascii="Times New Roman" w:hAnsi="Times New Roman" w:cs="Times New Roman"/>
        </w:rPr>
        <w:t xml:space="preserve"> - α</w:t>
      </w:r>
      <w:r w:rsidRPr="006B55B4">
        <w:rPr>
          <w:rFonts w:ascii="Times New Roman" w:hAnsi="Times New Roman" w:cs="Times New Roman"/>
          <w:vertAlign w:val="subscript"/>
        </w:rPr>
        <w:t>s1</w:t>
      </w:r>
      <w:r w:rsidRPr="006B55B4">
        <w:rPr>
          <w:rFonts w:ascii="Times New Roman" w:hAnsi="Times New Roman" w:cs="Times New Roman"/>
        </w:rPr>
        <w:t xml:space="preserve">. We varied </w:t>
      </w:r>
    </w:p>
    <w:p w14:paraId="4134CEF5" w14:textId="77777777" w:rsidR="00CF267D" w:rsidRPr="006B55B4" w:rsidRDefault="00CF267D" w:rsidP="00CF267D">
      <w:pPr>
        <w:spacing w:line="480" w:lineRule="auto"/>
        <w:rPr>
          <w:rFonts w:ascii="Times New Roman" w:hAnsi="Times New Roman" w:cs="Times New Roman"/>
        </w:rPr>
      </w:pPr>
    </w:p>
    <w:p w14:paraId="21F45D67" w14:textId="77777777" w:rsidR="00CF267D" w:rsidRPr="006B55B4" w:rsidRDefault="00CF267D" w:rsidP="00CF267D">
      <w:pPr>
        <w:spacing w:line="480" w:lineRule="auto"/>
        <w:rPr>
          <w:rFonts w:ascii="Times New Roman" w:hAnsi="Times New Roman" w:cs="Times New Roman"/>
        </w:rPr>
      </w:pPr>
      <w:r w:rsidRPr="006B55B4">
        <w:rPr>
          <w:rFonts w:ascii="Times New Roman" w:hAnsi="Times New Roman" w:cs="Times New Roman"/>
        </w:rPr>
        <w:t xml:space="preserve">For CV=0 and each combination of CV=0.10, 0.20, 0.30 and 0.40 with </w:t>
      </w:r>
      <w:r w:rsidRPr="006B55B4">
        <w:rPr>
          <w:rFonts w:ascii="Times New Roman" w:hAnsi="Times New Roman" w:cs="Times New Roman"/>
          <w:i/>
        </w:rPr>
        <w:t>r</w:t>
      </w:r>
      <w:r w:rsidRPr="006B55B4">
        <w:rPr>
          <w:rFonts w:ascii="Times New Roman" w:hAnsi="Times New Roman" w:cs="Times New Roman"/>
        </w:rPr>
        <w:t xml:space="preserve">=0.50, 0.60, 0.70, 0.80, and 0.90, we ran two sets of 10,000 simulations. For each simulation, </w:t>
      </w:r>
    </w:p>
    <w:p w14:paraId="36B00E70" w14:textId="77777777" w:rsidR="00CF267D" w:rsidRPr="006B55B4" w:rsidRDefault="00CF267D" w:rsidP="00CF267D">
      <w:pPr>
        <w:pStyle w:val="ListParagraph"/>
        <w:numPr>
          <w:ilvl w:val="0"/>
          <w:numId w:val="1"/>
        </w:numPr>
        <w:spacing w:line="480" w:lineRule="auto"/>
        <w:rPr>
          <w:rFonts w:ascii="Times New Roman" w:hAnsi="Times New Roman" w:cs="Times New Roman"/>
          <w:sz w:val="24"/>
          <w:szCs w:val="24"/>
        </w:rPr>
      </w:pPr>
      <w:r w:rsidRPr="006B55B4">
        <w:rPr>
          <w:rFonts w:ascii="Times New Roman" w:hAnsi="Times New Roman" w:cs="Times New Roman"/>
          <w:sz w:val="24"/>
          <w:szCs w:val="24"/>
        </w:rPr>
        <w:t xml:space="preserve">one clinic (within each pair of matched clinics; see Table 5) was randomly assigned to the intervention and the other to the control condition, </w:t>
      </w:r>
    </w:p>
    <w:p w14:paraId="1B26A63F" w14:textId="77777777" w:rsidR="00CF267D" w:rsidRPr="006B55B4" w:rsidRDefault="00CF267D" w:rsidP="00CF267D">
      <w:pPr>
        <w:pStyle w:val="ListParagraph"/>
        <w:numPr>
          <w:ilvl w:val="0"/>
          <w:numId w:val="1"/>
        </w:numPr>
        <w:spacing w:line="480" w:lineRule="auto"/>
        <w:rPr>
          <w:rFonts w:ascii="Times New Roman" w:hAnsi="Times New Roman" w:cs="Times New Roman"/>
          <w:sz w:val="24"/>
          <w:szCs w:val="24"/>
        </w:rPr>
      </w:pPr>
      <w:r w:rsidRPr="006B55B4">
        <w:rPr>
          <w:rFonts w:ascii="Times New Roman" w:hAnsi="Times New Roman" w:cs="Times New Roman"/>
          <w:sz w:val="24"/>
          <w:szCs w:val="24"/>
        </w:rPr>
        <w:t>α</w:t>
      </w:r>
      <w:r w:rsidRPr="006B55B4">
        <w:rPr>
          <w:rFonts w:ascii="Times New Roman" w:hAnsi="Times New Roman" w:cs="Times New Roman"/>
          <w:sz w:val="24"/>
          <w:szCs w:val="24"/>
          <w:vertAlign w:val="subscript"/>
        </w:rPr>
        <w:t>s1</w:t>
      </w:r>
      <w:r w:rsidRPr="006B55B4">
        <w:rPr>
          <w:rFonts w:ascii="Times New Roman" w:hAnsi="Times New Roman" w:cs="Times New Roman"/>
          <w:sz w:val="24"/>
          <w:szCs w:val="24"/>
        </w:rPr>
        <w:t xml:space="preserve"> and α</w:t>
      </w:r>
      <w:r w:rsidRPr="006B55B4">
        <w:rPr>
          <w:rFonts w:ascii="Times New Roman" w:hAnsi="Times New Roman" w:cs="Times New Roman"/>
          <w:sz w:val="24"/>
          <w:szCs w:val="24"/>
          <w:vertAlign w:val="subscript"/>
        </w:rPr>
        <w:t>s2</w:t>
      </w:r>
      <w:r w:rsidRPr="006B55B4">
        <w:rPr>
          <w:rFonts w:ascii="Times New Roman" w:hAnsi="Times New Roman" w:cs="Times New Roman"/>
          <w:sz w:val="24"/>
          <w:szCs w:val="24"/>
        </w:rPr>
        <w:t xml:space="preserve"> were randomly generated from a log-bivariate normal distribution with the specified CV and </w:t>
      </w:r>
      <w:r w:rsidRPr="006B55B4">
        <w:rPr>
          <w:rFonts w:ascii="Times New Roman" w:hAnsi="Times New Roman" w:cs="Times New Roman"/>
          <w:i/>
          <w:sz w:val="24"/>
          <w:szCs w:val="24"/>
        </w:rPr>
        <w:t>r</w:t>
      </w:r>
      <w:r w:rsidRPr="006B55B4">
        <w:rPr>
          <w:rFonts w:ascii="Times New Roman" w:hAnsi="Times New Roman" w:cs="Times New Roman"/>
          <w:sz w:val="24"/>
          <w:szCs w:val="24"/>
        </w:rPr>
        <w:t xml:space="preserve"> (thereby introducing the targeted amount of systematic variability among clinics), and then, </w:t>
      </w:r>
    </w:p>
    <w:p w14:paraId="34C48445" w14:textId="77777777" w:rsidR="00CF267D" w:rsidRPr="006B55B4" w:rsidRDefault="00CF267D" w:rsidP="00CF267D">
      <w:pPr>
        <w:pStyle w:val="ListParagraph"/>
        <w:numPr>
          <w:ilvl w:val="0"/>
          <w:numId w:val="1"/>
        </w:numPr>
        <w:spacing w:line="480" w:lineRule="auto"/>
        <w:rPr>
          <w:rFonts w:ascii="Times New Roman" w:hAnsi="Times New Roman" w:cs="Times New Roman"/>
        </w:rPr>
      </w:pPr>
      <w:r w:rsidRPr="006B55B4">
        <w:rPr>
          <w:rFonts w:ascii="Times New Roman" w:hAnsi="Times New Roman" w:cs="Times New Roman"/>
          <w:sz w:val="24"/>
          <w:szCs w:val="24"/>
        </w:rPr>
        <w:t>using the 2014 data for each individual clinic, each eligible 2014 patient-visit within that clinic was randomly assigned a value of 1 (having out-of-office BP) if a randomly generated value from a uniform(0,1) distribution was &lt;</w:t>
      </w:r>
      <w:proofErr w:type="spellStart"/>
      <w:r w:rsidRPr="006B55B4">
        <w:rPr>
          <w:rFonts w:ascii="Times New Roman" w:hAnsi="Times New Roman" w:cs="Times New Roman"/>
          <w:sz w:val="24"/>
          <w:szCs w:val="24"/>
        </w:rPr>
        <w:t>exp</w:t>
      </w:r>
      <w:proofErr w:type="spellEnd"/>
      <w:r w:rsidRPr="006B55B4">
        <w:rPr>
          <w:rFonts w:ascii="Times New Roman" w:hAnsi="Times New Roman" w:cs="Times New Roman"/>
          <w:sz w:val="24"/>
          <w:szCs w:val="24"/>
        </w:rPr>
        <w:t>(α</w:t>
      </w:r>
      <w:r w:rsidRPr="006B55B4">
        <w:rPr>
          <w:rFonts w:ascii="Times New Roman" w:hAnsi="Times New Roman" w:cs="Times New Roman"/>
          <w:sz w:val="24"/>
          <w:szCs w:val="24"/>
          <w:vertAlign w:val="subscript"/>
        </w:rPr>
        <w:t>s1</w:t>
      </w:r>
      <w:r w:rsidRPr="006B55B4">
        <w:rPr>
          <w:rFonts w:ascii="Times New Roman" w:hAnsi="Times New Roman" w:cs="Times New Roman"/>
          <w:sz w:val="24"/>
          <w:szCs w:val="24"/>
        </w:rPr>
        <w:t>) for pre-intervention period or &lt;</w:t>
      </w:r>
      <w:proofErr w:type="spellStart"/>
      <w:r w:rsidRPr="006B55B4">
        <w:rPr>
          <w:rFonts w:ascii="Times New Roman" w:hAnsi="Times New Roman" w:cs="Times New Roman"/>
          <w:sz w:val="24"/>
          <w:szCs w:val="24"/>
        </w:rPr>
        <w:t>exp</w:t>
      </w:r>
      <w:proofErr w:type="spellEnd"/>
      <w:r w:rsidRPr="006B55B4">
        <w:rPr>
          <w:rFonts w:ascii="Times New Roman" w:hAnsi="Times New Roman" w:cs="Times New Roman"/>
          <w:sz w:val="24"/>
          <w:szCs w:val="24"/>
        </w:rPr>
        <w:t>(α</w:t>
      </w:r>
      <w:r w:rsidRPr="006B55B4">
        <w:rPr>
          <w:rFonts w:ascii="Times New Roman" w:hAnsi="Times New Roman" w:cs="Times New Roman"/>
          <w:sz w:val="24"/>
          <w:szCs w:val="24"/>
          <w:vertAlign w:val="subscript"/>
        </w:rPr>
        <w:t>s2</w:t>
      </w:r>
      <w:r w:rsidRPr="006B55B4">
        <w:rPr>
          <w:rFonts w:ascii="Times New Roman" w:hAnsi="Times New Roman" w:cs="Times New Roman"/>
          <w:sz w:val="24"/>
          <w:szCs w:val="24"/>
        </w:rPr>
        <w:t xml:space="preserve"> + β</w:t>
      </w:r>
      <w:r w:rsidRPr="006B55B4">
        <w:rPr>
          <w:rFonts w:ascii="Times New Roman" w:hAnsi="Times New Roman" w:cs="Times New Roman"/>
          <w:sz w:val="24"/>
          <w:szCs w:val="24"/>
          <w:vertAlign w:val="subscript"/>
        </w:rPr>
        <w:t>3</w:t>
      </w:r>
      <w:r w:rsidRPr="006B55B4">
        <w:rPr>
          <w:rFonts w:ascii="Times New Roman" w:hAnsi="Times New Roman" w:cs="Times New Roman"/>
          <w:sz w:val="24"/>
          <w:szCs w:val="24"/>
        </w:rPr>
        <w:t xml:space="preserve"> * Condition) for post-intervention period (β</w:t>
      </w:r>
      <w:r w:rsidRPr="006B55B4">
        <w:rPr>
          <w:rFonts w:ascii="Times New Roman" w:hAnsi="Times New Roman" w:cs="Times New Roman"/>
          <w:sz w:val="24"/>
          <w:szCs w:val="24"/>
          <w:vertAlign w:val="subscript"/>
        </w:rPr>
        <w:t>1</w:t>
      </w:r>
      <w:r w:rsidRPr="006B55B4">
        <w:rPr>
          <w:rFonts w:ascii="Times New Roman" w:hAnsi="Times New Roman" w:cs="Times New Roman"/>
          <w:sz w:val="24"/>
          <w:szCs w:val="24"/>
        </w:rPr>
        <w:t xml:space="preserve"> and β</w:t>
      </w:r>
      <w:r w:rsidRPr="006B55B4">
        <w:rPr>
          <w:rFonts w:ascii="Times New Roman" w:hAnsi="Times New Roman" w:cs="Times New Roman"/>
          <w:sz w:val="24"/>
          <w:szCs w:val="24"/>
          <w:vertAlign w:val="subscript"/>
        </w:rPr>
        <w:t>2</w:t>
      </w:r>
      <w:r w:rsidRPr="006B55B4">
        <w:rPr>
          <w:rFonts w:ascii="Times New Roman" w:hAnsi="Times New Roman" w:cs="Times New Roman"/>
          <w:sz w:val="24"/>
          <w:szCs w:val="24"/>
        </w:rPr>
        <w:t xml:space="preserve"> were both </w:t>
      </w:r>
      <w:r w:rsidRPr="006B55B4">
        <w:rPr>
          <w:rFonts w:ascii="Times New Roman" w:hAnsi="Times New Roman" w:cs="Times New Roman"/>
          <w:sz w:val="24"/>
          <w:szCs w:val="24"/>
        </w:rPr>
        <w:lastRenderedPageBreak/>
        <w:t>assumed to equal zero); those visits not assigned a value of 1 were assigned a value of 0. Each 2014 patient-visit was used to generate a random observation for that clinic for the pre-intervention period and a random observation for the post-intervention clinic. Within a period, the generation of outcomes was constrained such that once a patient completed out-of-office BP, any subsequent eligible clinic visits for that patient were ineligible for randomization.</w:t>
      </w:r>
    </w:p>
    <w:p w14:paraId="72132C8C" w14:textId="356B9A90" w:rsidR="00CF267D" w:rsidRDefault="00CF267D" w:rsidP="00CF267D">
      <w:pPr>
        <w:spacing w:line="480" w:lineRule="auto"/>
        <w:rPr>
          <w:rFonts w:ascii="Times New Roman" w:hAnsi="Times New Roman" w:cs="Times New Roman"/>
        </w:rPr>
      </w:pPr>
      <w:r w:rsidRPr="006B55B4">
        <w:rPr>
          <w:rFonts w:ascii="Times New Roman" w:hAnsi="Times New Roman" w:cs="Times New Roman"/>
        </w:rPr>
        <w:t xml:space="preserve">The multilevel Poisson regression analysis was performed on each of the 10,000 simulated datasets, and the proportion of datasets in which the null hypothesis was rejected, in the hypothesize direction, was an estimate of the statistical power to detect the assumed effect size. To repeat, 2 sets of 10,000 simulations were performed for each combination of CV and </w:t>
      </w:r>
      <w:r w:rsidRPr="006B55B4">
        <w:rPr>
          <w:rFonts w:ascii="Times New Roman" w:hAnsi="Times New Roman" w:cs="Times New Roman"/>
          <w:i/>
        </w:rPr>
        <w:t>r</w:t>
      </w:r>
      <w:r w:rsidRPr="006B55B4">
        <w:rPr>
          <w:rFonts w:ascii="Times New Roman" w:hAnsi="Times New Roman" w:cs="Times New Roman"/>
        </w:rPr>
        <w:t xml:space="preserve">. The results are shown in Figure 2. In each panel, the solid red horizontal line shows the power if CV=0. Panel A shows that for all considered values of CV and </w:t>
      </w:r>
      <w:r w:rsidRPr="006B55B4">
        <w:rPr>
          <w:rFonts w:ascii="Times New Roman" w:hAnsi="Times New Roman" w:cs="Times New Roman"/>
          <w:i/>
        </w:rPr>
        <w:t>r</w:t>
      </w:r>
      <w:r w:rsidRPr="006B55B4">
        <w:rPr>
          <w:rFonts w:ascii="Times New Roman" w:hAnsi="Times New Roman" w:cs="Times New Roman"/>
        </w:rPr>
        <w:t xml:space="preserve">, the study has &gt;84% power to detect the hypothesized RR=3.0 (15% completion rate in intervention clinics vs 5% in control clinics; power &gt;92% if CV≤0.30) for hypothesis 1, the comparison of post-intervention completion rates. Panel B shows that for all considered values of CV and </w:t>
      </w:r>
      <w:r w:rsidRPr="006B55B4">
        <w:rPr>
          <w:rFonts w:ascii="Times New Roman" w:hAnsi="Times New Roman" w:cs="Times New Roman"/>
          <w:i/>
        </w:rPr>
        <w:t>r</w:t>
      </w:r>
      <w:r w:rsidRPr="006B55B4">
        <w:rPr>
          <w:rFonts w:ascii="Times New Roman" w:hAnsi="Times New Roman" w:cs="Times New Roman"/>
        </w:rPr>
        <w:t xml:space="preserve">, the study has &gt;92% power to detect the hypothesized RR=3.0 (15% post-intervention completion rate vs 5% pre-intervention) for hypothesis 2, the test of the change in completion rate for intervention clinics only. Finally, Panel C shows that for CV=0, the study has 84% power to detect the hypothesized Condition*Period interaction effect (hypothesis 2), that the power drops to slightly less than 80% for low values of CV and high values of </w:t>
      </w:r>
      <w:r w:rsidRPr="006B55B4">
        <w:rPr>
          <w:rFonts w:ascii="Times New Roman" w:hAnsi="Times New Roman" w:cs="Times New Roman"/>
          <w:i/>
        </w:rPr>
        <w:t>r</w:t>
      </w:r>
      <w:r w:rsidRPr="006B55B4">
        <w:rPr>
          <w:rFonts w:ascii="Times New Roman" w:hAnsi="Times New Roman" w:cs="Times New Roman"/>
        </w:rPr>
        <w:t xml:space="preserve">, and decreases to as low as 65% for CV=0.40 and </w:t>
      </w:r>
      <w:r w:rsidRPr="006B55B4">
        <w:rPr>
          <w:rFonts w:ascii="Times New Roman" w:hAnsi="Times New Roman" w:cs="Times New Roman"/>
          <w:i/>
        </w:rPr>
        <w:t>r</w:t>
      </w:r>
      <w:r w:rsidRPr="006B55B4">
        <w:rPr>
          <w:rFonts w:ascii="Times New Roman" w:hAnsi="Times New Roman" w:cs="Times New Roman"/>
        </w:rPr>
        <w:t>=0.50.</w:t>
      </w:r>
    </w:p>
    <w:p w14:paraId="1C5930F6" w14:textId="4B654903" w:rsidR="00A966B5" w:rsidRPr="000F7D28" w:rsidRDefault="00A966B5" w:rsidP="00A966B5">
      <w:pPr>
        <w:spacing w:line="480" w:lineRule="auto"/>
        <w:rPr>
          <w:color w:val="000000"/>
        </w:rPr>
      </w:pPr>
      <w:r>
        <w:rPr>
          <w:rFonts w:ascii="Times New Roman" w:hAnsi="Times New Roman" w:cs="Times New Roman"/>
          <w:i/>
        </w:rPr>
        <w:t xml:space="preserve">Accounting for Clustering: </w:t>
      </w:r>
      <w:r w:rsidRPr="00A966B5">
        <w:rPr>
          <w:rFonts w:ascii="Times New Roman" w:hAnsi="Times New Roman" w:cs="Times New Roman"/>
        </w:rPr>
        <w:t>Overall,</w:t>
      </w:r>
      <w:r>
        <w:rPr>
          <w:rFonts w:ascii="Times New Roman" w:hAnsi="Times New Roman" w:cs="Times New Roman"/>
          <w:i/>
        </w:rPr>
        <w:t xml:space="preserve"> </w:t>
      </w:r>
      <w:r>
        <w:rPr>
          <w:rFonts w:ascii="Times New Roman" w:hAnsi="Times New Roman" w:cs="Times New Roman"/>
          <w:color w:val="000000"/>
        </w:rPr>
        <w:t>w</w:t>
      </w:r>
      <w:r w:rsidRPr="000F7D28">
        <w:rPr>
          <w:rFonts w:ascii="Times New Roman" w:hAnsi="Times New Roman" w:cs="Times New Roman"/>
          <w:color w:val="000000"/>
        </w:rPr>
        <w:t xml:space="preserve">e incorporated between-site variability in out-of-office BP completion rates at both baseline and follow-up (with variability equal to 0, 10%, 20%, 30% or </w:t>
      </w:r>
      <w:r w:rsidRPr="000F7D28">
        <w:rPr>
          <w:rFonts w:ascii="Times New Roman" w:hAnsi="Times New Roman" w:cs="Times New Roman"/>
          <w:color w:val="000000"/>
        </w:rPr>
        <w:lastRenderedPageBreak/>
        <w:t xml:space="preserve">40% of the average rate), </w:t>
      </w:r>
      <w:r>
        <w:rPr>
          <w:color w:val="000000"/>
        </w:rPr>
        <w:t>and</w:t>
      </w:r>
      <w:r w:rsidRPr="000F7D28">
        <w:rPr>
          <w:rFonts w:ascii="Times New Roman" w:hAnsi="Times New Roman" w:cs="Times New Roman"/>
          <w:color w:val="000000"/>
        </w:rPr>
        <w:t xml:space="preserve"> a correlation between the site-specific rates of r=0.50, 0.60, 0.70, 0.80, or 0.90.  The fact that r </w:t>
      </w:r>
      <w:proofErr w:type="gramStart"/>
      <w:r w:rsidRPr="000F7D28">
        <w:rPr>
          <w:rFonts w:ascii="Times New Roman" w:hAnsi="Times New Roman" w:cs="Times New Roman"/>
          <w:color w:val="000000"/>
        </w:rPr>
        <w:t>was assumed</w:t>
      </w:r>
      <w:proofErr w:type="gramEnd"/>
      <w:r w:rsidRPr="000F7D28">
        <w:rPr>
          <w:rFonts w:ascii="Times New Roman" w:hAnsi="Times New Roman" w:cs="Times New Roman"/>
          <w:color w:val="000000"/>
        </w:rPr>
        <w:t xml:space="preserve"> to be &lt;1.00 means that unlike most power analyses, we not only incorporated between-site variability in average levels, but we also incorporated between-site variability in </w:t>
      </w:r>
      <w:r>
        <w:rPr>
          <w:color w:val="000000"/>
        </w:rPr>
        <w:t xml:space="preserve">change </w:t>
      </w:r>
      <w:r w:rsidRPr="000F7D28">
        <w:rPr>
          <w:rFonts w:ascii="Times New Roman" w:hAnsi="Times New Roman" w:cs="Times New Roman"/>
          <w:color w:val="000000"/>
        </w:rPr>
        <w:t xml:space="preserve">from baseline to follow-up. Thus, GEE cannot </w:t>
      </w:r>
      <w:proofErr w:type="gramStart"/>
      <w:r w:rsidRPr="000F7D28">
        <w:rPr>
          <w:rFonts w:ascii="Times New Roman" w:hAnsi="Times New Roman" w:cs="Times New Roman"/>
          <w:color w:val="000000"/>
        </w:rPr>
        <w:t>be used</w:t>
      </w:r>
      <w:proofErr w:type="gramEnd"/>
      <w:r w:rsidRPr="000F7D28">
        <w:rPr>
          <w:rFonts w:ascii="Times New Roman" w:hAnsi="Times New Roman" w:cs="Times New Roman"/>
          <w:color w:val="000000"/>
        </w:rPr>
        <w:t xml:space="preserve"> to perform the analysis because there are </w:t>
      </w:r>
      <w:r>
        <w:rPr>
          <w:color w:val="000000"/>
        </w:rPr>
        <w:t xml:space="preserve">two </w:t>
      </w:r>
      <w:r w:rsidRPr="000F7D28">
        <w:rPr>
          <w:rFonts w:ascii="Times New Roman" w:hAnsi="Times New Roman" w:cs="Times New Roman"/>
          <w:color w:val="000000"/>
        </w:rPr>
        <w:t xml:space="preserve">random effects which can be viewed, equivalently, either as Site-specific differences (clustering) at baseline and Site-specific differences at follow-up, OR as Site-specific differences at baseline and Site-specific differences in </w:t>
      </w:r>
      <w:r>
        <w:rPr>
          <w:color w:val="000000"/>
        </w:rPr>
        <w:t xml:space="preserve">change </w:t>
      </w:r>
      <w:r w:rsidRPr="000F7D28">
        <w:rPr>
          <w:rFonts w:ascii="Times New Roman" w:hAnsi="Times New Roman" w:cs="Times New Roman"/>
          <w:color w:val="000000"/>
        </w:rPr>
        <w:t xml:space="preserve">from baseline to follow-up. </w:t>
      </w:r>
    </w:p>
    <w:p w14:paraId="7C154F70" w14:textId="14C9CA0E" w:rsidR="00A966B5" w:rsidRPr="00A966B5" w:rsidRDefault="00A966B5" w:rsidP="00CF267D">
      <w:pPr>
        <w:spacing w:line="480" w:lineRule="auto"/>
        <w:rPr>
          <w:rFonts w:ascii="Times New Roman" w:hAnsi="Times New Roman" w:cs="Times New Roman"/>
          <w:i/>
        </w:rPr>
      </w:pPr>
    </w:p>
    <w:p w14:paraId="65A1251B" w14:textId="77777777" w:rsidR="004563C5" w:rsidRPr="006B55B4" w:rsidRDefault="004563C5">
      <w:pPr>
        <w:rPr>
          <w:rFonts w:ascii="Times New Roman" w:hAnsi="Times New Roman" w:cs="Times New Roman"/>
          <w:b/>
        </w:rPr>
      </w:pPr>
      <w:r w:rsidRPr="006B55B4">
        <w:rPr>
          <w:rFonts w:ascii="Times New Roman" w:hAnsi="Times New Roman" w:cs="Times New Roman"/>
          <w:b/>
        </w:rPr>
        <w:br w:type="page"/>
      </w:r>
      <w:bookmarkStart w:id="0" w:name="_GoBack"/>
      <w:bookmarkEnd w:id="0"/>
    </w:p>
    <w:p w14:paraId="2D3BF845" w14:textId="49BCA8B6" w:rsidR="004563C5" w:rsidRPr="006B55B4" w:rsidRDefault="004563C5" w:rsidP="004563C5">
      <w:pPr>
        <w:spacing w:after="80" w:line="264" w:lineRule="auto"/>
        <w:rPr>
          <w:rFonts w:ascii="Times New Roman" w:hAnsi="Times New Roman" w:cs="Times New Roman"/>
          <w:b/>
        </w:rPr>
      </w:pPr>
      <w:r w:rsidRPr="006B55B4">
        <w:rPr>
          <w:rFonts w:ascii="Times New Roman" w:hAnsi="Times New Roman" w:cs="Times New Roman"/>
          <w:b/>
        </w:rPr>
        <w:lastRenderedPageBreak/>
        <w:t>Figure 2. Power estimates for three hypothesized tests of the intervention’s effect on out-of-office blood pressure completion rates.</w:t>
      </w:r>
    </w:p>
    <w:p w14:paraId="70B04681" w14:textId="77777777" w:rsidR="004563C5" w:rsidRPr="006B55B4" w:rsidRDefault="004563C5" w:rsidP="004563C5">
      <w:pPr>
        <w:spacing w:after="80" w:line="264" w:lineRule="auto"/>
        <w:rPr>
          <w:rFonts w:ascii="Times New Roman" w:hAnsi="Times New Roman" w:cs="Times New Roman"/>
          <w:b/>
        </w:rPr>
      </w:pPr>
    </w:p>
    <w:p w14:paraId="358DC218" w14:textId="77777777" w:rsidR="004563C5" w:rsidRPr="006B55B4" w:rsidRDefault="004563C5" w:rsidP="004563C5">
      <w:pPr>
        <w:spacing w:after="80" w:line="264" w:lineRule="auto"/>
        <w:rPr>
          <w:rFonts w:ascii="Times New Roman" w:hAnsi="Times New Roman" w:cs="Times New Roman"/>
          <w:b/>
        </w:rPr>
      </w:pPr>
      <w:r w:rsidRPr="006B55B4">
        <w:rPr>
          <w:rFonts w:ascii="Times New Roman" w:hAnsi="Times New Roman" w:cs="Times New Roman"/>
          <w:b/>
          <w:noProof/>
        </w:rPr>
        <w:drawing>
          <wp:inline distT="0" distB="0" distL="0" distR="0" wp14:anchorId="5047A162" wp14:editId="535471DE">
            <wp:extent cx="3274506" cy="7498080"/>
            <wp:effectExtent l="0" t="0" r="254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74506" cy="7498080"/>
                    </a:xfrm>
                    <a:prstGeom prst="rect">
                      <a:avLst/>
                    </a:prstGeom>
                    <a:noFill/>
                  </pic:spPr>
                </pic:pic>
              </a:graphicData>
            </a:graphic>
          </wp:inline>
        </w:drawing>
      </w:r>
    </w:p>
    <w:p w14:paraId="1A5BD6AE" w14:textId="77777777" w:rsidR="004563C5" w:rsidRPr="006B55B4" w:rsidRDefault="004563C5" w:rsidP="004563C5">
      <w:pPr>
        <w:rPr>
          <w:rFonts w:ascii="Times New Roman" w:hAnsi="Times New Roman" w:cs="Times New Roman"/>
          <w:b/>
        </w:rPr>
        <w:sectPr w:rsidR="004563C5" w:rsidRPr="006B55B4" w:rsidSect="003654C4">
          <w:pgSz w:w="12240" w:h="15840" w:code="1"/>
          <w:pgMar w:top="1440" w:right="1440" w:bottom="1440" w:left="1440" w:header="720" w:footer="720" w:gutter="0"/>
          <w:cols w:space="720"/>
          <w:docGrid w:linePitch="360"/>
        </w:sectPr>
      </w:pPr>
    </w:p>
    <w:p w14:paraId="3C0D5F54" w14:textId="77777777" w:rsidR="006B55B4" w:rsidRDefault="006B55B4" w:rsidP="006B55B4">
      <w:pPr>
        <w:spacing w:line="480" w:lineRule="auto"/>
        <w:ind w:left="720"/>
        <w:rPr>
          <w:b/>
        </w:rPr>
      </w:pPr>
    </w:p>
    <w:p w14:paraId="08323AED" w14:textId="20B432CB" w:rsidR="00CF267D" w:rsidRPr="006B55B4" w:rsidRDefault="004563C5" w:rsidP="006B55B4">
      <w:pPr>
        <w:spacing w:line="480" w:lineRule="auto"/>
        <w:ind w:left="720"/>
        <w:rPr>
          <w:b/>
        </w:rPr>
      </w:pPr>
      <w:r w:rsidRPr="006B55B4">
        <w:rPr>
          <w:b/>
        </w:rPr>
        <w:t>References</w:t>
      </w:r>
    </w:p>
    <w:p w14:paraId="393898CF" w14:textId="1DF734DD" w:rsidR="00CF267D" w:rsidRPr="006B55B4" w:rsidRDefault="00CF267D" w:rsidP="006B55B4">
      <w:pPr>
        <w:pStyle w:val="EndNoteBibliography"/>
        <w:ind w:left="720"/>
        <w:rPr>
          <w:noProof/>
        </w:rPr>
      </w:pPr>
      <w:r w:rsidRPr="006B55B4">
        <w:fldChar w:fldCharType="begin"/>
      </w:r>
      <w:r w:rsidRPr="006B55B4">
        <w:instrText xml:space="preserve"> ADDIN EN.REFLIST </w:instrText>
      </w:r>
      <w:r w:rsidRPr="006B55B4">
        <w:fldChar w:fldCharType="separate"/>
      </w:r>
      <w:r w:rsidRPr="006B55B4">
        <w:rPr>
          <w:noProof/>
        </w:rPr>
        <w:t>1.  Singer JD, Willett JB. It’s</w:t>
      </w:r>
      <w:r w:rsidR="004563C5" w:rsidRPr="006B55B4">
        <w:rPr>
          <w:noProof/>
        </w:rPr>
        <w:t xml:space="preserve"> </w:t>
      </w:r>
      <w:r w:rsidRPr="006B55B4">
        <w:rPr>
          <w:noProof/>
        </w:rPr>
        <w:t>about time: Using discrete-time survival analysis to study duration and the</w:t>
      </w:r>
    </w:p>
    <w:p w14:paraId="1A8ECE81" w14:textId="75EB467A" w:rsidR="00CF267D" w:rsidRPr="006B55B4" w:rsidRDefault="00CF267D" w:rsidP="006B55B4">
      <w:pPr>
        <w:pStyle w:val="EndNoteBibliography"/>
        <w:ind w:left="720"/>
        <w:rPr>
          <w:noProof/>
        </w:rPr>
      </w:pPr>
      <w:r w:rsidRPr="006B55B4">
        <w:rPr>
          <w:noProof/>
        </w:rPr>
        <w:t xml:space="preserve">timing of events. </w:t>
      </w:r>
      <w:r w:rsidRPr="006B55B4">
        <w:rPr>
          <w:i/>
          <w:noProof/>
        </w:rPr>
        <w:t>J Educ Stat</w:t>
      </w:r>
      <w:r w:rsidRPr="006B55B4">
        <w:rPr>
          <w:noProof/>
        </w:rPr>
        <w:t>. 1993;18:155-195.</w:t>
      </w:r>
    </w:p>
    <w:p w14:paraId="3478D6AA" w14:textId="77777777" w:rsidR="00CF267D" w:rsidRPr="006B55B4" w:rsidRDefault="00CF267D" w:rsidP="006B55B4">
      <w:pPr>
        <w:pStyle w:val="EndNoteBibliography"/>
        <w:ind w:left="720"/>
        <w:rPr>
          <w:noProof/>
        </w:rPr>
      </w:pPr>
      <w:r w:rsidRPr="006B55B4">
        <w:rPr>
          <w:noProof/>
        </w:rPr>
        <w:t xml:space="preserve">2.  Hedeker D, Siddiqui O, Hu FB. Random-effects regression analysis of correlated grouped-time survival data. </w:t>
      </w:r>
      <w:r w:rsidRPr="006B55B4">
        <w:rPr>
          <w:i/>
          <w:noProof/>
        </w:rPr>
        <w:t>Stat Methods Med Res</w:t>
      </w:r>
      <w:r w:rsidRPr="006B55B4">
        <w:rPr>
          <w:noProof/>
        </w:rPr>
        <w:t>. 2000;9:161-179.</w:t>
      </w:r>
    </w:p>
    <w:p w14:paraId="5976FBBC" w14:textId="77777777" w:rsidR="00CF267D" w:rsidRPr="006B55B4" w:rsidRDefault="00CF267D" w:rsidP="006B55B4">
      <w:pPr>
        <w:pStyle w:val="EndNoteBibliography"/>
        <w:ind w:left="720"/>
        <w:rPr>
          <w:noProof/>
        </w:rPr>
      </w:pPr>
      <w:r w:rsidRPr="006B55B4">
        <w:rPr>
          <w:noProof/>
        </w:rPr>
        <w:t xml:space="preserve">3.  Murray DM, Hannan PJ, Baker WL. A Monte Carlo study of alternative responses to intraclass correlation in community trials. Is it ever possible to avoid Cornfield's penalties? </w:t>
      </w:r>
      <w:r w:rsidRPr="006B55B4">
        <w:rPr>
          <w:i/>
          <w:noProof/>
        </w:rPr>
        <w:t>Eval Rev</w:t>
      </w:r>
      <w:r w:rsidRPr="006B55B4">
        <w:rPr>
          <w:noProof/>
        </w:rPr>
        <w:t>. 1996;20:313-337.</w:t>
      </w:r>
    </w:p>
    <w:p w14:paraId="63BA3C1B" w14:textId="3AF80F7D" w:rsidR="00EC2D0B" w:rsidRDefault="00CF267D" w:rsidP="006B55B4">
      <w:pPr>
        <w:spacing w:line="480" w:lineRule="auto"/>
        <w:ind w:left="720"/>
      </w:pPr>
      <w:r w:rsidRPr="006B55B4">
        <w:fldChar w:fldCharType="end"/>
      </w:r>
    </w:p>
    <w:sectPr w:rsidR="00EC2D0B" w:rsidSect="00265FE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6557BE"/>
    <w:multiLevelType w:val="hybridMultilevel"/>
    <w:tmpl w:val="2C145D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3646BA"/>
    <w:multiLevelType w:val="hybridMultilevel"/>
    <w:tmpl w:val="D55000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B15690"/>
    <w:multiLevelType w:val="hybridMultilevel"/>
    <w:tmpl w:val="CAF0F5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mer J Psychiatr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FA1882"/>
    <w:rsid w:val="00037165"/>
    <w:rsid w:val="00044A5C"/>
    <w:rsid w:val="0005273B"/>
    <w:rsid w:val="00076AD9"/>
    <w:rsid w:val="00084EFD"/>
    <w:rsid w:val="000B738B"/>
    <w:rsid w:val="000D217D"/>
    <w:rsid w:val="00103B55"/>
    <w:rsid w:val="00174361"/>
    <w:rsid w:val="001A1596"/>
    <w:rsid w:val="001D0920"/>
    <w:rsid w:val="001D3BA6"/>
    <w:rsid w:val="001E5B14"/>
    <w:rsid w:val="002532E6"/>
    <w:rsid w:val="00265FE3"/>
    <w:rsid w:val="002A7FA9"/>
    <w:rsid w:val="002E29B7"/>
    <w:rsid w:val="002F0E5B"/>
    <w:rsid w:val="003335F3"/>
    <w:rsid w:val="0037497D"/>
    <w:rsid w:val="003831D6"/>
    <w:rsid w:val="003A0642"/>
    <w:rsid w:val="003A625F"/>
    <w:rsid w:val="003B6F60"/>
    <w:rsid w:val="003C18F7"/>
    <w:rsid w:val="004420F3"/>
    <w:rsid w:val="004563C5"/>
    <w:rsid w:val="004F1E2A"/>
    <w:rsid w:val="004F611D"/>
    <w:rsid w:val="005076F9"/>
    <w:rsid w:val="00516D27"/>
    <w:rsid w:val="0052211A"/>
    <w:rsid w:val="00564EC7"/>
    <w:rsid w:val="005B080C"/>
    <w:rsid w:val="005F7ACF"/>
    <w:rsid w:val="00601746"/>
    <w:rsid w:val="00603E12"/>
    <w:rsid w:val="0061377F"/>
    <w:rsid w:val="006A79A9"/>
    <w:rsid w:val="006B55B4"/>
    <w:rsid w:val="006D4764"/>
    <w:rsid w:val="006D5825"/>
    <w:rsid w:val="006E099B"/>
    <w:rsid w:val="007366A3"/>
    <w:rsid w:val="007D0C79"/>
    <w:rsid w:val="007D5C45"/>
    <w:rsid w:val="00810548"/>
    <w:rsid w:val="0088193B"/>
    <w:rsid w:val="008B1EAD"/>
    <w:rsid w:val="008B5B53"/>
    <w:rsid w:val="00906931"/>
    <w:rsid w:val="00907B3A"/>
    <w:rsid w:val="00916E8A"/>
    <w:rsid w:val="00920A48"/>
    <w:rsid w:val="00937521"/>
    <w:rsid w:val="00976F57"/>
    <w:rsid w:val="00977876"/>
    <w:rsid w:val="00987F85"/>
    <w:rsid w:val="00991C2B"/>
    <w:rsid w:val="009D718C"/>
    <w:rsid w:val="00A37E19"/>
    <w:rsid w:val="00A41F67"/>
    <w:rsid w:val="00A70EB5"/>
    <w:rsid w:val="00A966B5"/>
    <w:rsid w:val="00B06413"/>
    <w:rsid w:val="00B63C49"/>
    <w:rsid w:val="00B92B1F"/>
    <w:rsid w:val="00BA0390"/>
    <w:rsid w:val="00BB7688"/>
    <w:rsid w:val="00BF36E3"/>
    <w:rsid w:val="00BF627B"/>
    <w:rsid w:val="00C70FEC"/>
    <w:rsid w:val="00CD0DA8"/>
    <w:rsid w:val="00CE5D03"/>
    <w:rsid w:val="00CF267D"/>
    <w:rsid w:val="00CF706D"/>
    <w:rsid w:val="00D2092B"/>
    <w:rsid w:val="00D87A82"/>
    <w:rsid w:val="00D91EA5"/>
    <w:rsid w:val="00DB2063"/>
    <w:rsid w:val="00DD19E2"/>
    <w:rsid w:val="00DF233E"/>
    <w:rsid w:val="00E304ED"/>
    <w:rsid w:val="00E805C3"/>
    <w:rsid w:val="00EA78D8"/>
    <w:rsid w:val="00EC314A"/>
    <w:rsid w:val="00ED5B14"/>
    <w:rsid w:val="00ED701E"/>
    <w:rsid w:val="00F1423B"/>
    <w:rsid w:val="00F50BBE"/>
    <w:rsid w:val="00F565E7"/>
    <w:rsid w:val="00F618AC"/>
    <w:rsid w:val="00F73A7C"/>
    <w:rsid w:val="00FA1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D7E85"/>
  <w14:defaultImageDpi w14:val="32767"/>
  <w15:chartTrackingRefBased/>
  <w15:docId w15:val="{12D063C0-93EC-584A-9282-C2182EFAE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A18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882"/>
    <w:pPr>
      <w:spacing w:after="200" w:line="276" w:lineRule="auto"/>
      <w:ind w:left="720"/>
      <w:contextualSpacing/>
    </w:pPr>
    <w:rPr>
      <w:sz w:val="22"/>
      <w:szCs w:val="22"/>
    </w:rPr>
  </w:style>
  <w:style w:type="character" w:styleId="CommentReference">
    <w:name w:val="annotation reference"/>
    <w:basedOn w:val="DefaultParagraphFont"/>
    <w:uiPriority w:val="99"/>
    <w:semiHidden/>
    <w:unhideWhenUsed/>
    <w:rsid w:val="00FA1882"/>
    <w:rPr>
      <w:sz w:val="18"/>
      <w:szCs w:val="18"/>
    </w:rPr>
  </w:style>
  <w:style w:type="paragraph" w:styleId="CommentText">
    <w:name w:val="annotation text"/>
    <w:basedOn w:val="Normal"/>
    <w:link w:val="CommentTextChar"/>
    <w:uiPriority w:val="99"/>
    <w:unhideWhenUsed/>
    <w:rsid w:val="00FA1882"/>
    <w:pPr>
      <w:spacing w:after="200"/>
    </w:pPr>
  </w:style>
  <w:style w:type="character" w:customStyle="1" w:styleId="CommentTextChar">
    <w:name w:val="Comment Text Char"/>
    <w:basedOn w:val="DefaultParagraphFont"/>
    <w:link w:val="CommentText"/>
    <w:uiPriority w:val="99"/>
    <w:rsid w:val="00FA1882"/>
  </w:style>
  <w:style w:type="paragraph" w:styleId="BalloonText">
    <w:name w:val="Balloon Text"/>
    <w:basedOn w:val="Normal"/>
    <w:link w:val="BalloonTextChar"/>
    <w:uiPriority w:val="99"/>
    <w:semiHidden/>
    <w:unhideWhenUsed/>
    <w:rsid w:val="00FA188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A1882"/>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CF267D"/>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CF267D"/>
    <w:rPr>
      <w:rFonts w:ascii="Calibri" w:hAnsi="Calibri" w:cs="Calibri"/>
    </w:rPr>
  </w:style>
  <w:style w:type="paragraph" w:customStyle="1" w:styleId="EndNoteBibliography">
    <w:name w:val="EndNote Bibliography"/>
    <w:basedOn w:val="Normal"/>
    <w:link w:val="EndNoteBibliographyChar"/>
    <w:rsid w:val="00CF267D"/>
    <w:rPr>
      <w:rFonts w:ascii="Calibri" w:hAnsi="Calibri" w:cs="Calibri"/>
    </w:rPr>
  </w:style>
  <w:style w:type="character" w:customStyle="1" w:styleId="EndNoteBibliographyChar">
    <w:name w:val="EndNote Bibliography Char"/>
    <w:basedOn w:val="DefaultParagraphFont"/>
    <w:link w:val="EndNoteBibliography"/>
    <w:rsid w:val="00CF267D"/>
    <w:rPr>
      <w:rFonts w:ascii="Calibri" w:hAnsi="Calibri" w:cs="Calibri"/>
    </w:rPr>
  </w:style>
  <w:style w:type="character" w:styleId="Hyperlink">
    <w:name w:val="Hyperlink"/>
    <w:basedOn w:val="DefaultParagraphFont"/>
    <w:uiPriority w:val="99"/>
    <w:unhideWhenUsed/>
    <w:rsid w:val="00920A48"/>
    <w:rPr>
      <w:color w:val="0563C1" w:themeColor="hyperlink"/>
      <w:u w:val="single"/>
    </w:rPr>
  </w:style>
  <w:style w:type="paragraph" w:customStyle="1" w:styleId="Body">
    <w:name w:val="Body"/>
    <w:rsid w:val="00920A48"/>
    <w:pPr>
      <w:pBdr>
        <w:top w:val="nil"/>
        <w:left w:val="nil"/>
        <w:bottom w:val="nil"/>
        <w:right w:val="nil"/>
        <w:between w:val="nil"/>
        <w:bar w:val="nil"/>
      </w:pBdr>
    </w:pPr>
    <w:rPr>
      <w:rFonts w:ascii="Cambria" w:eastAsia="Cambria" w:hAnsi="Cambria" w:cs="Cambria"/>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1922</Words>
  <Characters>10962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Kronish, Ian M.</dc:creator>
  <cp:keywords/>
  <dc:description/>
  <cp:lastModifiedBy>Moise, Nathalie</cp:lastModifiedBy>
  <cp:revision>4</cp:revision>
  <dcterms:created xsi:type="dcterms:W3CDTF">2020-07-01T20:55:00Z</dcterms:created>
  <dcterms:modified xsi:type="dcterms:W3CDTF">2020-07-02T05:02:00Z</dcterms:modified>
</cp:coreProperties>
</file>