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826A2" w14:textId="77777777" w:rsidR="00C12B74" w:rsidRPr="00A8302E" w:rsidRDefault="00C12B74" w:rsidP="00C12B74">
      <w:pPr>
        <w:pStyle w:val="Caption"/>
        <w:keepNext/>
        <w:rPr>
          <w:rFonts w:ascii="Garamond" w:hAnsi="Garamond"/>
          <w:sz w:val="22"/>
          <w:szCs w:val="22"/>
        </w:rPr>
      </w:pPr>
      <w:bookmarkStart w:id="0" w:name="_Toc344033004"/>
      <w:r w:rsidRPr="00A8302E">
        <w:rPr>
          <w:rFonts w:ascii="Garamond" w:hAnsi="Garamond"/>
          <w:sz w:val="22"/>
          <w:szCs w:val="22"/>
        </w:rPr>
        <w:t xml:space="preserve">Supplemental File #2: </w:t>
      </w:r>
      <w:r w:rsidRPr="00A8302E">
        <w:rPr>
          <w:rFonts w:ascii="Garamond" w:hAnsi="Garamond"/>
          <w:b w:val="0"/>
          <w:bCs w:val="0"/>
          <w:sz w:val="22"/>
          <w:szCs w:val="22"/>
        </w:rPr>
        <w:t>Characteristics of included intervention articles for BCT coding</w:t>
      </w:r>
      <w:bookmarkEnd w:id="0"/>
    </w:p>
    <w:tbl>
      <w:tblPr>
        <w:tblpPr w:leftFromText="180" w:rightFromText="180" w:vertAnchor="text" w:tblpY="1"/>
        <w:tblOverlap w:val="never"/>
        <w:tblW w:w="14183" w:type="dxa"/>
        <w:tblLayout w:type="fixed"/>
        <w:tblLook w:val="04A0" w:firstRow="1" w:lastRow="0" w:firstColumn="1" w:lastColumn="0" w:noHBand="0" w:noVBand="1"/>
      </w:tblPr>
      <w:tblGrid>
        <w:gridCol w:w="1524"/>
        <w:gridCol w:w="802"/>
        <w:gridCol w:w="1051"/>
        <w:gridCol w:w="2524"/>
        <w:gridCol w:w="4364"/>
        <w:gridCol w:w="3209"/>
        <w:gridCol w:w="709"/>
      </w:tblGrid>
      <w:tr w:rsidR="0098086A" w:rsidRPr="003E6B1E" w14:paraId="2BD4108B" w14:textId="77777777" w:rsidTr="008819CF">
        <w:trPr>
          <w:trHeight w:val="419"/>
        </w:trPr>
        <w:tc>
          <w:tcPr>
            <w:tcW w:w="1524" w:type="dxa"/>
            <w:tcBorders>
              <w:top w:val="single" w:sz="4" w:space="0" w:color="auto"/>
              <w:left w:val="nil"/>
              <w:bottom w:val="double" w:sz="6" w:space="0" w:color="auto"/>
              <w:right w:val="nil"/>
            </w:tcBorders>
            <w:shd w:val="clear" w:color="auto" w:fill="000000" w:themeFill="text1"/>
            <w:vAlign w:val="center"/>
            <w:hideMark/>
          </w:tcPr>
          <w:p w14:paraId="759EE732" w14:textId="77777777" w:rsidR="0098086A" w:rsidRPr="003E6B1E" w:rsidRDefault="0098086A" w:rsidP="00EF107A">
            <w:pPr>
              <w:spacing w:line="240" w:lineRule="auto"/>
              <w:jc w:val="center"/>
              <w:rPr>
                <w:rFonts w:ascii="Arial Narrow" w:hAnsi="Arial Narrow"/>
                <w:b/>
                <w:bCs/>
                <w:sz w:val="18"/>
                <w:szCs w:val="18"/>
                <w:lang w:val="en-GB"/>
              </w:rPr>
            </w:pPr>
            <w:r w:rsidRPr="003E6B1E">
              <w:rPr>
                <w:rFonts w:ascii="Arial Narrow" w:hAnsi="Arial Narrow"/>
                <w:b/>
                <w:bCs/>
                <w:sz w:val="18"/>
                <w:szCs w:val="18"/>
                <w:lang w:val="en-GB"/>
              </w:rPr>
              <w:t>Authors</w:t>
            </w:r>
          </w:p>
        </w:tc>
        <w:tc>
          <w:tcPr>
            <w:tcW w:w="802" w:type="dxa"/>
            <w:tcBorders>
              <w:top w:val="single" w:sz="4" w:space="0" w:color="auto"/>
              <w:left w:val="nil"/>
              <w:bottom w:val="double" w:sz="6" w:space="0" w:color="auto"/>
              <w:right w:val="nil"/>
            </w:tcBorders>
            <w:shd w:val="clear" w:color="auto" w:fill="000000" w:themeFill="text1"/>
            <w:vAlign w:val="center"/>
            <w:hideMark/>
          </w:tcPr>
          <w:p w14:paraId="6C185AE7" w14:textId="77777777" w:rsidR="0098086A" w:rsidRPr="003E6B1E" w:rsidRDefault="0098086A" w:rsidP="00EF107A">
            <w:pPr>
              <w:spacing w:line="240" w:lineRule="auto"/>
              <w:jc w:val="center"/>
              <w:rPr>
                <w:rFonts w:ascii="Arial Narrow" w:hAnsi="Arial Narrow"/>
                <w:b/>
                <w:bCs/>
                <w:sz w:val="18"/>
                <w:szCs w:val="18"/>
                <w:lang w:val="en-GB"/>
              </w:rPr>
            </w:pPr>
            <w:r>
              <w:rPr>
                <w:rFonts w:ascii="Arial Narrow" w:hAnsi="Arial Narrow"/>
                <w:b/>
                <w:bCs/>
                <w:sz w:val="18"/>
                <w:szCs w:val="18"/>
                <w:lang w:val="en-GB"/>
              </w:rPr>
              <w:t xml:space="preserve">EPOC </w:t>
            </w:r>
            <w:r w:rsidRPr="003E6B1E">
              <w:rPr>
                <w:rFonts w:ascii="Arial Narrow" w:hAnsi="Arial Narrow"/>
                <w:b/>
                <w:bCs/>
                <w:sz w:val="18"/>
                <w:szCs w:val="18"/>
                <w:lang w:val="en-GB"/>
              </w:rPr>
              <w:t>review</w:t>
            </w:r>
          </w:p>
        </w:tc>
        <w:tc>
          <w:tcPr>
            <w:tcW w:w="1051" w:type="dxa"/>
            <w:tcBorders>
              <w:top w:val="single" w:sz="4" w:space="0" w:color="auto"/>
              <w:left w:val="nil"/>
              <w:bottom w:val="double" w:sz="6" w:space="0" w:color="auto"/>
              <w:right w:val="nil"/>
            </w:tcBorders>
            <w:shd w:val="clear" w:color="auto" w:fill="000000" w:themeFill="text1"/>
            <w:vAlign w:val="center"/>
            <w:hideMark/>
          </w:tcPr>
          <w:p w14:paraId="7D6445ED" w14:textId="77777777" w:rsidR="0098086A" w:rsidRPr="003E6B1E" w:rsidRDefault="0098086A" w:rsidP="00EF107A">
            <w:pPr>
              <w:spacing w:line="240" w:lineRule="auto"/>
              <w:jc w:val="center"/>
              <w:rPr>
                <w:rFonts w:ascii="Arial Narrow" w:hAnsi="Arial Narrow"/>
                <w:b/>
                <w:bCs/>
                <w:sz w:val="18"/>
                <w:szCs w:val="18"/>
                <w:lang w:val="en-GB"/>
              </w:rPr>
            </w:pPr>
            <w:r w:rsidRPr="003E6B1E">
              <w:rPr>
                <w:rFonts w:ascii="Arial Narrow" w:hAnsi="Arial Narrow"/>
                <w:b/>
                <w:bCs/>
                <w:sz w:val="18"/>
                <w:szCs w:val="18"/>
                <w:lang w:val="en-GB"/>
              </w:rPr>
              <w:t xml:space="preserve">Direction </w:t>
            </w:r>
            <w:r>
              <w:rPr>
                <w:rFonts w:ascii="Arial Narrow" w:hAnsi="Arial Narrow"/>
                <w:b/>
                <w:bCs/>
                <w:sz w:val="18"/>
                <w:szCs w:val="18"/>
                <w:lang w:val="en-GB"/>
              </w:rPr>
              <w:t>of</w:t>
            </w:r>
            <w:r w:rsidRPr="003E6B1E">
              <w:rPr>
                <w:rFonts w:ascii="Arial Narrow" w:hAnsi="Arial Narrow"/>
                <w:b/>
                <w:bCs/>
                <w:sz w:val="18"/>
                <w:szCs w:val="18"/>
                <w:lang w:val="en-GB"/>
              </w:rPr>
              <w:t xml:space="preserve"> change </w:t>
            </w:r>
          </w:p>
        </w:tc>
        <w:tc>
          <w:tcPr>
            <w:tcW w:w="2524" w:type="dxa"/>
            <w:tcBorders>
              <w:top w:val="single" w:sz="4" w:space="0" w:color="auto"/>
              <w:left w:val="nil"/>
              <w:bottom w:val="double" w:sz="6" w:space="0" w:color="auto"/>
              <w:right w:val="nil"/>
            </w:tcBorders>
            <w:shd w:val="clear" w:color="auto" w:fill="000000" w:themeFill="text1"/>
            <w:vAlign w:val="center"/>
            <w:hideMark/>
          </w:tcPr>
          <w:p w14:paraId="0ADB989A" w14:textId="77777777" w:rsidR="0098086A" w:rsidRPr="003E6B1E" w:rsidRDefault="0098086A" w:rsidP="00EF107A">
            <w:pPr>
              <w:spacing w:line="240" w:lineRule="auto"/>
              <w:jc w:val="center"/>
              <w:rPr>
                <w:rFonts w:ascii="Arial Narrow" w:hAnsi="Arial Narrow"/>
                <w:b/>
                <w:bCs/>
                <w:sz w:val="18"/>
                <w:szCs w:val="18"/>
                <w:lang w:val="en-GB"/>
              </w:rPr>
            </w:pPr>
            <w:r>
              <w:rPr>
                <w:rFonts w:ascii="Arial Narrow" w:hAnsi="Arial Narrow"/>
                <w:b/>
                <w:bCs/>
                <w:sz w:val="18"/>
                <w:szCs w:val="18"/>
                <w:lang w:val="en-GB"/>
              </w:rPr>
              <w:t xml:space="preserve">Target </w:t>
            </w:r>
            <w:r w:rsidRPr="003E6B1E">
              <w:rPr>
                <w:rFonts w:ascii="Arial Narrow" w:hAnsi="Arial Narrow"/>
                <w:b/>
                <w:bCs/>
                <w:sz w:val="18"/>
                <w:szCs w:val="18"/>
                <w:lang w:val="en-GB"/>
              </w:rPr>
              <w:t>change</w:t>
            </w:r>
          </w:p>
        </w:tc>
        <w:tc>
          <w:tcPr>
            <w:tcW w:w="4364" w:type="dxa"/>
            <w:tcBorders>
              <w:top w:val="single" w:sz="4" w:space="0" w:color="auto"/>
              <w:left w:val="nil"/>
              <w:bottom w:val="double" w:sz="6" w:space="0" w:color="auto"/>
              <w:right w:val="nil"/>
            </w:tcBorders>
            <w:shd w:val="clear" w:color="auto" w:fill="000000" w:themeFill="text1"/>
            <w:vAlign w:val="center"/>
            <w:hideMark/>
          </w:tcPr>
          <w:p w14:paraId="2579F708" w14:textId="77777777" w:rsidR="0098086A" w:rsidRPr="003E6B1E" w:rsidRDefault="0098086A" w:rsidP="00EF107A">
            <w:pPr>
              <w:spacing w:line="240" w:lineRule="auto"/>
              <w:jc w:val="center"/>
              <w:rPr>
                <w:rFonts w:ascii="Arial Narrow" w:hAnsi="Arial Narrow"/>
                <w:b/>
                <w:bCs/>
                <w:sz w:val="18"/>
                <w:szCs w:val="18"/>
                <w:lang w:val="en-GB"/>
              </w:rPr>
            </w:pPr>
            <w:r w:rsidRPr="003E6B1E">
              <w:rPr>
                <w:rFonts w:ascii="Arial Narrow" w:hAnsi="Arial Narrow"/>
                <w:b/>
                <w:bCs/>
                <w:sz w:val="18"/>
                <w:szCs w:val="18"/>
                <w:lang w:val="en-GB"/>
              </w:rPr>
              <w:t>How change was measured</w:t>
            </w:r>
          </w:p>
        </w:tc>
        <w:tc>
          <w:tcPr>
            <w:tcW w:w="3209" w:type="dxa"/>
            <w:tcBorders>
              <w:top w:val="single" w:sz="4" w:space="0" w:color="auto"/>
              <w:left w:val="nil"/>
              <w:bottom w:val="double" w:sz="6" w:space="0" w:color="auto"/>
              <w:right w:val="nil"/>
            </w:tcBorders>
            <w:shd w:val="clear" w:color="auto" w:fill="000000" w:themeFill="text1"/>
            <w:vAlign w:val="center"/>
            <w:hideMark/>
          </w:tcPr>
          <w:p w14:paraId="5306B264" w14:textId="77777777" w:rsidR="0098086A" w:rsidRPr="003E6B1E" w:rsidRDefault="0098086A" w:rsidP="00EF107A">
            <w:pPr>
              <w:spacing w:line="240" w:lineRule="auto"/>
              <w:jc w:val="center"/>
              <w:rPr>
                <w:rFonts w:ascii="Arial Narrow" w:hAnsi="Arial Narrow"/>
                <w:b/>
                <w:bCs/>
                <w:sz w:val="18"/>
                <w:szCs w:val="18"/>
                <w:lang w:val="en-GB"/>
              </w:rPr>
            </w:pPr>
            <w:r w:rsidRPr="003E6B1E">
              <w:rPr>
                <w:rFonts w:ascii="Arial Narrow" w:hAnsi="Arial Narrow"/>
                <w:b/>
                <w:bCs/>
                <w:sz w:val="18"/>
                <w:szCs w:val="18"/>
                <w:lang w:val="en-GB"/>
              </w:rPr>
              <w:t>Target professionals</w:t>
            </w:r>
          </w:p>
        </w:tc>
        <w:tc>
          <w:tcPr>
            <w:tcW w:w="709" w:type="dxa"/>
            <w:tcBorders>
              <w:top w:val="single" w:sz="4" w:space="0" w:color="auto"/>
              <w:left w:val="nil"/>
              <w:bottom w:val="double" w:sz="6" w:space="0" w:color="auto"/>
              <w:right w:val="nil"/>
            </w:tcBorders>
            <w:shd w:val="clear" w:color="auto" w:fill="000000" w:themeFill="text1"/>
            <w:vAlign w:val="center"/>
            <w:hideMark/>
          </w:tcPr>
          <w:p w14:paraId="05BC8201" w14:textId="77777777" w:rsidR="0098086A" w:rsidRPr="003E6B1E" w:rsidRDefault="0098086A" w:rsidP="00EF107A">
            <w:pPr>
              <w:spacing w:line="240" w:lineRule="auto"/>
              <w:jc w:val="center"/>
              <w:rPr>
                <w:rFonts w:ascii="Arial Narrow" w:hAnsi="Arial Narrow"/>
                <w:b/>
                <w:bCs/>
                <w:sz w:val="18"/>
                <w:szCs w:val="18"/>
                <w:lang w:val="en-GB"/>
              </w:rPr>
            </w:pPr>
            <w:r w:rsidRPr="003E6B1E">
              <w:rPr>
                <w:rFonts w:ascii="Arial Narrow" w:hAnsi="Arial Narrow"/>
                <w:b/>
                <w:bCs/>
                <w:sz w:val="18"/>
                <w:szCs w:val="18"/>
                <w:lang w:val="en-GB"/>
              </w:rPr>
              <w:t>Study Design</w:t>
            </w:r>
          </w:p>
        </w:tc>
      </w:tr>
      <w:tr w:rsidR="0098086A" w:rsidRPr="003E6B1E" w14:paraId="3647846D" w14:textId="77777777" w:rsidTr="008819CF">
        <w:trPr>
          <w:trHeight w:val="518"/>
        </w:trPr>
        <w:tc>
          <w:tcPr>
            <w:tcW w:w="1524" w:type="dxa"/>
            <w:tcBorders>
              <w:top w:val="nil"/>
              <w:left w:val="nil"/>
              <w:bottom w:val="single" w:sz="4" w:space="0" w:color="auto"/>
              <w:right w:val="nil"/>
            </w:tcBorders>
            <w:shd w:val="clear" w:color="auto" w:fill="auto"/>
            <w:vAlign w:val="center"/>
            <w:hideMark/>
          </w:tcPr>
          <w:p w14:paraId="018B7679" w14:textId="77777777" w:rsidR="0098086A" w:rsidRPr="003E6B1E" w:rsidRDefault="0098086A" w:rsidP="00EF107A">
            <w:pPr>
              <w:tabs>
                <w:tab w:val="left" w:pos="4678"/>
              </w:tabs>
              <w:spacing w:line="240" w:lineRule="auto"/>
              <w:rPr>
                <w:rFonts w:ascii="Arial Narrow" w:hAnsi="Arial Narrow"/>
                <w:sz w:val="18"/>
                <w:szCs w:val="18"/>
                <w:lang w:val="en-GB"/>
              </w:rPr>
            </w:pPr>
            <w:r w:rsidRPr="003E6B1E">
              <w:rPr>
                <w:rFonts w:ascii="Arial Narrow" w:hAnsi="Arial Narrow"/>
                <w:sz w:val="18"/>
                <w:szCs w:val="18"/>
                <w:lang w:val="en-GB"/>
              </w:rPr>
              <w:t xml:space="preserve">Abramowitz 1982 </w:t>
            </w:r>
          </w:p>
        </w:tc>
        <w:tc>
          <w:tcPr>
            <w:tcW w:w="802" w:type="dxa"/>
            <w:tcBorders>
              <w:top w:val="nil"/>
              <w:left w:val="nil"/>
              <w:bottom w:val="single" w:sz="4" w:space="0" w:color="auto"/>
              <w:right w:val="nil"/>
            </w:tcBorders>
            <w:shd w:val="clear" w:color="auto" w:fill="auto"/>
            <w:vAlign w:val="center"/>
            <w:hideMark/>
          </w:tcPr>
          <w:p w14:paraId="5E4CA87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3DE8CDE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72F097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Reduce cost of antibiotic prescribing </w:t>
            </w:r>
          </w:p>
        </w:tc>
        <w:tc>
          <w:tcPr>
            <w:tcW w:w="4364" w:type="dxa"/>
            <w:tcBorders>
              <w:top w:val="nil"/>
              <w:left w:val="nil"/>
              <w:bottom w:val="single" w:sz="4" w:space="0" w:color="auto"/>
              <w:right w:val="nil"/>
            </w:tcBorders>
            <w:shd w:val="clear" w:color="auto" w:fill="auto"/>
            <w:vAlign w:val="center"/>
            <w:hideMark/>
          </w:tcPr>
          <w:p w14:paraId="528A836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Total cost of all antibiotic prescribed</w:t>
            </w:r>
          </w:p>
        </w:tc>
        <w:tc>
          <w:tcPr>
            <w:tcW w:w="3209" w:type="dxa"/>
            <w:tcBorders>
              <w:top w:val="nil"/>
              <w:left w:val="nil"/>
              <w:bottom w:val="single" w:sz="4" w:space="0" w:color="auto"/>
              <w:right w:val="nil"/>
            </w:tcBorders>
            <w:shd w:val="clear" w:color="auto" w:fill="auto"/>
            <w:vAlign w:val="center"/>
            <w:hideMark/>
          </w:tcPr>
          <w:p w14:paraId="26DEEAB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All Clinicians responsible for Prescribing Antibiotics in hospital in US</w:t>
            </w:r>
          </w:p>
        </w:tc>
        <w:tc>
          <w:tcPr>
            <w:tcW w:w="709" w:type="dxa"/>
            <w:tcBorders>
              <w:top w:val="nil"/>
              <w:left w:val="nil"/>
              <w:bottom w:val="single" w:sz="4" w:space="0" w:color="auto"/>
              <w:right w:val="nil"/>
            </w:tcBorders>
            <w:shd w:val="clear" w:color="auto" w:fill="auto"/>
            <w:vAlign w:val="center"/>
            <w:hideMark/>
          </w:tcPr>
          <w:p w14:paraId="2410DEF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0D106108" w14:textId="77777777" w:rsidTr="008819CF">
        <w:trPr>
          <w:trHeight w:val="463"/>
        </w:trPr>
        <w:tc>
          <w:tcPr>
            <w:tcW w:w="1524" w:type="dxa"/>
            <w:tcBorders>
              <w:top w:val="nil"/>
              <w:left w:val="nil"/>
              <w:bottom w:val="single" w:sz="4" w:space="0" w:color="auto"/>
              <w:right w:val="nil"/>
            </w:tcBorders>
            <w:shd w:val="clear" w:color="auto" w:fill="auto"/>
            <w:vAlign w:val="center"/>
            <w:hideMark/>
          </w:tcPr>
          <w:p w14:paraId="70B00E6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Adachi </w:t>
            </w:r>
            <w:r>
              <w:rPr>
                <w:rFonts w:ascii="Arial Narrow" w:hAnsi="Arial Narrow"/>
                <w:sz w:val="18"/>
                <w:szCs w:val="18"/>
                <w:lang w:val="en-GB"/>
              </w:rPr>
              <w:t>1</w:t>
            </w:r>
            <w:r w:rsidRPr="003E6B1E">
              <w:rPr>
                <w:rFonts w:ascii="Arial Narrow" w:hAnsi="Arial Narrow"/>
                <w:sz w:val="18"/>
                <w:szCs w:val="18"/>
                <w:lang w:val="en-GB"/>
              </w:rPr>
              <w:t xml:space="preserve">997 </w:t>
            </w:r>
          </w:p>
        </w:tc>
        <w:tc>
          <w:tcPr>
            <w:tcW w:w="802" w:type="dxa"/>
            <w:tcBorders>
              <w:top w:val="nil"/>
              <w:left w:val="nil"/>
              <w:bottom w:val="single" w:sz="4" w:space="0" w:color="auto"/>
              <w:right w:val="nil"/>
            </w:tcBorders>
            <w:shd w:val="clear" w:color="auto" w:fill="auto"/>
            <w:vAlign w:val="center"/>
            <w:hideMark/>
          </w:tcPr>
          <w:p w14:paraId="2D2495B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6F8FD49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7BDC43A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Limit use of Vancomycin to appropriate usage</w:t>
            </w:r>
          </w:p>
        </w:tc>
        <w:tc>
          <w:tcPr>
            <w:tcW w:w="4364" w:type="dxa"/>
            <w:tcBorders>
              <w:top w:val="nil"/>
              <w:left w:val="nil"/>
              <w:bottom w:val="single" w:sz="4" w:space="0" w:color="auto"/>
              <w:right w:val="nil"/>
            </w:tcBorders>
            <w:shd w:val="clear" w:color="auto" w:fill="auto"/>
            <w:vAlign w:val="center"/>
            <w:hideMark/>
          </w:tcPr>
          <w:p w14:paraId="4C1D505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of order sheet and Vancomycin prescribing</w:t>
            </w:r>
          </w:p>
        </w:tc>
        <w:tc>
          <w:tcPr>
            <w:tcW w:w="3209" w:type="dxa"/>
            <w:tcBorders>
              <w:top w:val="nil"/>
              <w:left w:val="nil"/>
              <w:bottom w:val="single" w:sz="4" w:space="0" w:color="auto"/>
              <w:right w:val="nil"/>
            </w:tcBorders>
            <w:shd w:val="clear" w:color="auto" w:fill="auto"/>
            <w:vAlign w:val="center"/>
            <w:hideMark/>
          </w:tcPr>
          <w:p w14:paraId="1B9FE34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US hospital responsible for ordering antibiotics</w:t>
            </w:r>
          </w:p>
        </w:tc>
        <w:tc>
          <w:tcPr>
            <w:tcW w:w="709" w:type="dxa"/>
            <w:tcBorders>
              <w:top w:val="nil"/>
              <w:left w:val="nil"/>
              <w:bottom w:val="single" w:sz="4" w:space="0" w:color="auto"/>
              <w:right w:val="nil"/>
            </w:tcBorders>
            <w:shd w:val="clear" w:color="auto" w:fill="auto"/>
            <w:vAlign w:val="center"/>
            <w:hideMark/>
          </w:tcPr>
          <w:p w14:paraId="6DCA82F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1D788D59" w14:textId="77777777" w:rsidTr="008819CF">
        <w:trPr>
          <w:trHeight w:val="1040"/>
        </w:trPr>
        <w:tc>
          <w:tcPr>
            <w:tcW w:w="1524" w:type="dxa"/>
            <w:tcBorders>
              <w:top w:val="nil"/>
              <w:left w:val="nil"/>
              <w:bottom w:val="single" w:sz="4" w:space="0" w:color="auto"/>
              <w:right w:val="nil"/>
            </w:tcBorders>
            <w:shd w:val="clear" w:color="auto" w:fill="auto"/>
            <w:vAlign w:val="center"/>
            <w:hideMark/>
          </w:tcPr>
          <w:p w14:paraId="4867351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Anderson 1994</w:t>
            </w:r>
          </w:p>
        </w:tc>
        <w:tc>
          <w:tcPr>
            <w:tcW w:w="802" w:type="dxa"/>
            <w:tcBorders>
              <w:top w:val="nil"/>
              <w:left w:val="nil"/>
              <w:bottom w:val="single" w:sz="4" w:space="0" w:color="auto"/>
              <w:right w:val="nil"/>
            </w:tcBorders>
            <w:shd w:val="clear" w:color="auto" w:fill="auto"/>
            <w:vAlign w:val="center"/>
            <w:hideMark/>
          </w:tcPr>
          <w:p w14:paraId="3A6B99C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4CF64D0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FF56C5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prescription for prophylaxis for venous thromboembolism</w:t>
            </w:r>
          </w:p>
        </w:tc>
        <w:tc>
          <w:tcPr>
            <w:tcW w:w="4364" w:type="dxa"/>
            <w:tcBorders>
              <w:top w:val="nil"/>
              <w:left w:val="nil"/>
              <w:bottom w:val="single" w:sz="4" w:space="0" w:color="auto"/>
              <w:right w:val="nil"/>
            </w:tcBorders>
            <w:shd w:val="clear" w:color="auto" w:fill="auto"/>
            <w:vAlign w:val="center"/>
            <w:hideMark/>
          </w:tcPr>
          <w:p w14:paraId="254B2AC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Patients were judged to have received adequate prophylaxis if one or more of (low- dose subcutaneous heparin, warfarin, intermittent pneumatic calf compression, or placement of an inferior vena </w:t>
            </w:r>
            <w:proofErr w:type="spellStart"/>
            <w:r w:rsidRPr="003E6B1E">
              <w:rPr>
                <w:rFonts w:ascii="Arial Narrow" w:hAnsi="Arial Narrow"/>
                <w:sz w:val="18"/>
                <w:szCs w:val="18"/>
                <w:lang w:val="en-GB"/>
              </w:rPr>
              <w:t>caval</w:t>
            </w:r>
            <w:proofErr w:type="spellEnd"/>
            <w:r w:rsidRPr="003E6B1E">
              <w:rPr>
                <w:rFonts w:ascii="Arial Narrow" w:hAnsi="Arial Narrow"/>
                <w:sz w:val="18"/>
                <w:szCs w:val="18"/>
                <w:lang w:val="en-GB"/>
              </w:rPr>
              <w:t xml:space="preserve"> filter or clip) methods were continued for at least 24 hours.</w:t>
            </w:r>
          </w:p>
        </w:tc>
        <w:tc>
          <w:tcPr>
            <w:tcW w:w="3209" w:type="dxa"/>
            <w:tcBorders>
              <w:top w:val="nil"/>
              <w:left w:val="nil"/>
              <w:bottom w:val="single" w:sz="4" w:space="0" w:color="auto"/>
              <w:right w:val="nil"/>
            </w:tcBorders>
            <w:shd w:val="clear" w:color="auto" w:fill="auto"/>
            <w:vAlign w:val="center"/>
            <w:hideMark/>
          </w:tcPr>
          <w:p w14:paraId="4FB55CA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10 hospitals in the US</w:t>
            </w:r>
          </w:p>
        </w:tc>
        <w:tc>
          <w:tcPr>
            <w:tcW w:w="709" w:type="dxa"/>
            <w:tcBorders>
              <w:top w:val="nil"/>
              <w:left w:val="nil"/>
              <w:bottom w:val="single" w:sz="4" w:space="0" w:color="auto"/>
              <w:right w:val="nil"/>
            </w:tcBorders>
            <w:shd w:val="clear" w:color="auto" w:fill="auto"/>
            <w:vAlign w:val="center"/>
            <w:hideMark/>
          </w:tcPr>
          <w:p w14:paraId="33C4BC4C"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899EDB3" w14:textId="77777777" w:rsidTr="008819CF">
        <w:trPr>
          <w:trHeight w:val="203"/>
        </w:trPr>
        <w:tc>
          <w:tcPr>
            <w:tcW w:w="1524" w:type="dxa"/>
            <w:tcBorders>
              <w:top w:val="nil"/>
              <w:left w:val="nil"/>
              <w:bottom w:val="single" w:sz="4" w:space="0" w:color="auto"/>
              <w:right w:val="nil"/>
            </w:tcBorders>
            <w:shd w:val="clear" w:color="auto" w:fill="auto"/>
            <w:vAlign w:val="center"/>
            <w:hideMark/>
          </w:tcPr>
          <w:p w14:paraId="34D34BB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Ansari 200</w:t>
            </w:r>
            <w:r>
              <w:rPr>
                <w:rFonts w:ascii="Arial Narrow" w:hAnsi="Arial Narrow"/>
                <w:sz w:val="18"/>
                <w:szCs w:val="18"/>
                <w:lang w:val="en-GB"/>
              </w:rPr>
              <w:t>3</w:t>
            </w:r>
          </w:p>
        </w:tc>
        <w:tc>
          <w:tcPr>
            <w:tcW w:w="802" w:type="dxa"/>
            <w:tcBorders>
              <w:top w:val="nil"/>
              <w:left w:val="nil"/>
              <w:bottom w:val="single" w:sz="4" w:space="0" w:color="auto"/>
              <w:right w:val="nil"/>
            </w:tcBorders>
            <w:shd w:val="clear" w:color="auto" w:fill="auto"/>
            <w:vAlign w:val="center"/>
            <w:hideMark/>
          </w:tcPr>
          <w:p w14:paraId="290CE17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6E330D6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79589C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inappropriate use of Alert antibiotics</w:t>
            </w:r>
          </w:p>
        </w:tc>
        <w:tc>
          <w:tcPr>
            <w:tcW w:w="4364" w:type="dxa"/>
            <w:tcBorders>
              <w:top w:val="nil"/>
              <w:left w:val="nil"/>
              <w:bottom w:val="single" w:sz="4" w:space="0" w:color="auto"/>
              <w:right w:val="nil"/>
            </w:tcBorders>
            <w:shd w:val="clear" w:color="auto" w:fill="auto"/>
            <w:vAlign w:val="center"/>
            <w:hideMark/>
          </w:tcPr>
          <w:p w14:paraId="7ED33FA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of alert antibiotics</w:t>
            </w:r>
          </w:p>
        </w:tc>
        <w:tc>
          <w:tcPr>
            <w:tcW w:w="3209" w:type="dxa"/>
            <w:tcBorders>
              <w:top w:val="nil"/>
              <w:left w:val="nil"/>
              <w:bottom w:val="single" w:sz="4" w:space="0" w:color="auto"/>
              <w:right w:val="nil"/>
            </w:tcBorders>
            <w:shd w:val="clear" w:color="auto" w:fill="auto"/>
            <w:vAlign w:val="center"/>
            <w:hideMark/>
          </w:tcPr>
          <w:p w14:paraId="093ECC6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one hospital in the UK excluding haematology and paediatrics</w:t>
            </w:r>
          </w:p>
        </w:tc>
        <w:tc>
          <w:tcPr>
            <w:tcW w:w="709" w:type="dxa"/>
            <w:tcBorders>
              <w:top w:val="nil"/>
              <w:left w:val="nil"/>
              <w:bottom w:val="single" w:sz="4" w:space="0" w:color="auto"/>
              <w:right w:val="nil"/>
            </w:tcBorders>
            <w:shd w:val="clear" w:color="auto" w:fill="auto"/>
            <w:vAlign w:val="center"/>
            <w:hideMark/>
          </w:tcPr>
          <w:p w14:paraId="56FDFB2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777C8DB4" w14:textId="77777777" w:rsidTr="008819CF">
        <w:trPr>
          <w:trHeight w:val="424"/>
        </w:trPr>
        <w:tc>
          <w:tcPr>
            <w:tcW w:w="1524" w:type="dxa"/>
            <w:tcBorders>
              <w:top w:val="nil"/>
              <w:left w:val="nil"/>
              <w:bottom w:val="single" w:sz="4" w:space="0" w:color="auto"/>
              <w:right w:val="nil"/>
            </w:tcBorders>
            <w:shd w:val="clear" w:color="auto" w:fill="auto"/>
            <w:vAlign w:val="center"/>
            <w:hideMark/>
          </w:tcPr>
          <w:p w14:paraId="7440CBA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Avorn 198</w:t>
            </w:r>
            <w:r>
              <w:rPr>
                <w:rFonts w:ascii="Arial Narrow" w:hAnsi="Arial Narrow"/>
                <w:sz w:val="18"/>
                <w:szCs w:val="18"/>
                <w:lang w:val="en-GB"/>
              </w:rPr>
              <w:t>8</w:t>
            </w:r>
          </w:p>
        </w:tc>
        <w:tc>
          <w:tcPr>
            <w:tcW w:w="802" w:type="dxa"/>
            <w:tcBorders>
              <w:top w:val="nil"/>
              <w:left w:val="nil"/>
              <w:bottom w:val="single" w:sz="4" w:space="0" w:color="auto"/>
              <w:right w:val="nil"/>
            </w:tcBorders>
            <w:shd w:val="clear" w:color="auto" w:fill="auto"/>
            <w:vAlign w:val="center"/>
            <w:hideMark/>
          </w:tcPr>
          <w:p w14:paraId="74D0FD5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1094A7D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1F7887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antibiotic prescribing</w:t>
            </w:r>
          </w:p>
        </w:tc>
        <w:tc>
          <w:tcPr>
            <w:tcW w:w="4364" w:type="dxa"/>
            <w:tcBorders>
              <w:top w:val="nil"/>
              <w:left w:val="nil"/>
              <w:bottom w:val="single" w:sz="4" w:space="0" w:color="auto"/>
              <w:right w:val="nil"/>
            </w:tcBorders>
            <w:shd w:val="clear" w:color="auto" w:fill="auto"/>
            <w:vAlign w:val="center"/>
            <w:hideMark/>
          </w:tcPr>
          <w:p w14:paraId="003C3C1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Percentage of patients with kinetically incorrect dosing of cefazolin</w:t>
            </w:r>
          </w:p>
        </w:tc>
        <w:tc>
          <w:tcPr>
            <w:tcW w:w="3209" w:type="dxa"/>
            <w:tcBorders>
              <w:top w:val="nil"/>
              <w:left w:val="nil"/>
              <w:bottom w:val="single" w:sz="4" w:space="0" w:color="auto"/>
              <w:right w:val="nil"/>
            </w:tcBorders>
            <w:shd w:val="clear" w:color="auto" w:fill="auto"/>
            <w:vAlign w:val="center"/>
            <w:hideMark/>
          </w:tcPr>
          <w:p w14:paraId="21DB056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Hospital Physicians</w:t>
            </w:r>
          </w:p>
        </w:tc>
        <w:tc>
          <w:tcPr>
            <w:tcW w:w="709" w:type="dxa"/>
            <w:tcBorders>
              <w:top w:val="nil"/>
              <w:left w:val="nil"/>
              <w:bottom w:val="single" w:sz="4" w:space="0" w:color="auto"/>
              <w:right w:val="nil"/>
            </w:tcBorders>
            <w:shd w:val="clear" w:color="auto" w:fill="auto"/>
            <w:vAlign w:val="center"/>
            <w:hideMark/>
          </w:tcPr>
          <w:p w14:paraId="400E165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59843D44" w14:textId="77777777" w:rsidTr="008819CF">
        <w:trPr>
          <w:trHeight w:val="520"/>
        </w:trPr>
        <w:tc>
          <w:tcPr>
            <w:tcW w:w="1524" w:type="dxa"/>
            <w:tcBorders>
              <w:top w:val="nil"/>
              <w:left w:val="nil"/>
              <w:bottom w:val="single" w:sz="4" w:space="0" w:color="auto"/>
              <w:right w:val="nil"/>
            </w:tcBorders>
            <w:shd w:val="clear" w:color="auto" w:fill="auto"/>
            <w:vAlign w:val="center"/>
            <w:hideMark/>
          </w:tcPr>
          <w:p w14:paraId="00551AC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Awad 2006 </w:t>
            </w:r>
          </w:p>
        </w:tc>
        <w:tc>
          <w:tcPr>
            <w:tcW w:w="802" w:type="dxa"/>
            <w:tcBorders>
              <w:top w:val="nil"/>
              <w:left w:val="nil"/>
              <w:bottom w:val="single" w:sz="4" w:space="0" w:color="auto"/>
              <w:right w:val="nil"/>
            </w:tcBorders>
            <w:shd w:val="clear" w:color="auto" w:fill="auto"/>
            <w:vAlign w:val="center"/>
            <w:hideMark/>
          </w:tcPr>
          <w:p w14:paraId="5BF0AC1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3B06D4D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020D05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inappropriate antibiotic prescribing</w:t>
            </w:r>
          </w:p>
        </w:tc>
        <w:tc>
          <w:tcPr>
            <w:tcW w:w="4364" w:type="dxa"/>
            <w:tcBorders>
              <w:top w:val="nil"/>
              <w:left w:val="nil"/>
              <w:bottom w:val="single" w:sz="4" w:space="0" w:color="auto"/>
              <w:right w:val="nil"/>
            </w:tcBorders>
            <w:shd w:val="clear" w:color="auto" w:fill="auto"/>
            <w:vAlign w:val="center"/>
            <w:hideMark/>
          </w:tcPr>
          <w:p w14:paraId="55E674D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Antibiotic prescribing</w:t>
            </w:r>
          </w:p>
        </w:tc>
        <w:tc>
          <w:tcPr>
            <w:tcW w:w="3209" w:type="dxa"/>
            <w:tcBorders>
              <w:top w:val="nil"/>
              <w:left w:val="nil"/>
              <w:bottom w:val="single" w:sz="4" w:space="0" w:color="auto"/>
              <w:right w:val="nil"/>
            </w:tcBorders>
            <w:shd w:val="clear" w:color="auto" w:fill="auto"/>
            <w:vAlign w:val="center"/>
            <w:hideMark/>
          </w:tcPr>
          <w:p w14:paraId="051C91D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05C7B555"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0CA85593" w14:textId="77777777" w:rsidTr="008819CF">
        <w:trPr>
          <w:trHeight w:val="520"/>
        </w:trPr>
        <w:tc>
          <w:tcPr>
            <w:tcW w:w="1524" w:type="dxa"/>
            <w:tcBorders>
              <w:top w:val="nil"/>
              <w:left w:val="nil"/>
              <w:bottom w:val="single" w:sz="4" w:space="0" w:color="auto"/>
              <w:right w:val="nil"/>
            </w:tcBorders>
            <w:shd w:val="clear" w:color="auto" w:fill="auto"/>
            <w:vAlign w:val="center"/>
            <w:hideMark/>
          </w:tcPr>
          <w:p w14:paraId="412F4D2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Bailey 1997 </w:t>
            </w:r>
          </w:p>
        </w:tc>
        <w:tc>
          <w:tcPr>
            <w:tcW w:w="802" w:type="dxa"/>
            <w:tcBorders>
              <w:top w:val="nil"/>
              <w:left w:val="nil"/>
              <w:bottom w:val="single" w:sz="4" w:space="0" w:color="auto"/>
              <w:right w:val="nil"/>
            </w:tcBorders>
            <w:shd w:val="clear" w:color="auto" w:fill="auto"/>
            <w:vAlign w:val="center"/>
            <w:hideMark/>
          </w:tcPr>
          <w:p w14:paraId="4EB040F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5AB81A9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63E1FAA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Discontinue IV antibiotic</w:t>
            </w:r>
          </w:p>
        </w:tc>
        <w:tc>
          <w:tcPr>
            <w:tcW w:w="4364" w:type="dxa"/>
            <w:tcBorders>
              <w:top w:val="nil"/>
              <w:left w:val="nil"/>
              <w:bottom w:val="single" w:sz="4" w:space="0" w:color="auto"/>
              <w:right w:val="nil"/>
            </w:tcBorders>
            <w:shd w:val="clear" w:color="auto" w:fill="auto"/>
            <w:vAlign w:val="center"/>
            <w:hideMark/>
          </w:tcPr>
          <w:p w14:paraId="6F5A085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Duration of IV antibiotic </w:t>
            </w:r>
          </w:p>
        </w:tc>
        <w:tc>
          <w:tcPr>
            <w:tcW w:w="3209" w:type="dxa"/>
            <w:tcBorders>
              <w:top w:val="nil"/>
              <w:left w:val="nil"/>
              <w:bottom w:val="single" w:sz="4" w:space="0" w:color="auto"/>
              <w:right w:val="nil"/>
            </w:tcBorders>
            <w:shd w:val="clear" w:color="auto" w:fill="auto"/>
            <w:vAlign w:val="center"/>
            <w:hideMark/>
          </w:tcPr>
          <w:p w14:paraId="6C0022B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two hospitals in the US</w:t>
            </w:r>
          </w:p>
        </w:tc>
        <w:tc>
          <w:tcPr>
            <w:tcW w:w="709" w:type="dxa"/>
            <w:tcBorders>
              <w:top w:val="nil"/>
              <w:left w:val="nil"/>
              <w:bottom w:val="single" w:sz="4" w:space="0" w:color="auto"/>
              <w:right w:val="nil"/>
            </w:tcBorders>
            <w:shd w:val="clear" w:color="auto" w:fill="auto"/>
            <w:vAlign w:val="center"/>
            <w:hideMark/>
          </w:tcPr>
          <w:p w14:paraId="1328509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3C2C7086" w14:textId="77777777" w:rsidTr="008819CF">
        <w:trPr>
          <w:trHeight w:val="390"/>
        </w:trPr>
        <w:tc>
          <w:tcPr>
            <w:tcW w:w="1524" w:type="dxa"/>
            <w:tcBorders>
              <w:top w:val="nil"/>
              <w:left w:val="nil"/>
              <w:bottom w:val="single" w:sz="4" w:space="0" w:color="auto"/>
              <w:right w:val="nil"/>
            </w:tcBorders>
            <w:shd w:val="clear" w:color="auto" w:fill="auto"/>
            <w:vAlign w:val="center"/>
            <w:hideMark/>
          </w:tcPr>
          <w:p w14:paraId="30E79C0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Baker 1987 </w:t>
            </w:r>
          </w:p>
        </w:tc>
        <w:tc>
          <w:tcPr>
            <w:tcW w:w="802" w:type="dxa"/>
            <w:tcBorders>
              <w:top w:val="nil"/>
              <w:left w:val="nil"/>
              <w:bottom w:val="single" w:sz="4" w:space="0" w:color="auto"/>
              <w:right w:val="nil"/>
            </w:tcBorders>
            <w:shd w:val="clear" w:color="auto" w:fill="auto"/>
            <w:vAlign w:val="center"/>
            <w:hideMark/>
          </w:tcPr>
          <w:p w14:paraId="4059982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482EE15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986AF6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w:t>
            </w:r>
            <w:r>
              <w:rPr>
                <w:rFonts w:ascii="Arial Narrow" w:hAnsi="Arial Narrow"/>
                <w:sz w:val="18"/>
                <w:szCs w:val="18"/>
                <w:lang w:val="en-GB"/>
              </w:rPr>
              <w:t>e</w:t>
            </w:r>
            <w:r w:rsidRPr="003E6B1E">
              <w:rPr>
                <w:rFonts w:ascii="Arial Narrow" w:hAnsi="Arial Narrow"/>
                <w:sz w:val="18"/>
                <w:szCs w:val="18"/>
                <w:lang w:val="en-GB"/>
              </w:rPr>
              <w:t xml:space="preserve"> unnecessary lumbosacral radiography</w:t>
            </w:r>
          </w:p>
        </w:tc>
        <w:tc>
          <w:tcPr>
            <w:tcW w:w="4364" w:type="dxa"/>
            <w:tcBorders>
              <w:top w:val="nil"/>
              <w:left w:val="nil"/>
              <w:bottom w:val="single" w:sz="4" w:space="0" w:color="auto"/>
              <w:right w:val="nil"/>
            </w:tcBorders>
            <w:shd w:val="clear" w:color="auto" w:fill="auto"/>
            <w:vAlign w:val="center"/>
            <w:hideMark/>
          </w:tcPr>
          <w:p w14:paraId="4F03C72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Number of lumbosacral spine radiographies</w:t>
            </w:r>
          </w:p>
        </w:tc>
        <w:tc>
          <w:tcPr>
            <w:tcW w:w="3209" w:type="dxa"/>
            <w:tcBorders>
              <w:top w:val="nil"/>
              <w:left w:val="nil"/>
              <w:bottom w:val="single" w:sz="4" w:space="0" w:color="auto"/>
              <w:right w:val="nil"/>
            </w:tcBorders>
            <w:shd w:val="clear" w:color="auto" w:fill="auto"/>
            <w:vAlign w:val="center"/>
            <w:hideMark/>
          </w:tcPr>
          <w:p w14:paraId="5EFB061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Physicians in trauma centre in New </w:t>
            </w:r>
            <w:proofErr w:type="spellStart"/>
            <w:r w:rsidRPr="003E6B1E">
              <w:rPr>
                <w:rFonts w:ascii="Arial Narrow" w:hAnsi="Arial Narrow"/>
                <w:sz w:val="18"/>
                <w:szCs w:val="18"/>
                <w:lang w:val="en-GB"/>
              </w:rPr>
              <w:t>york</w:t>
            </w:r>
            <w:proofErr w:type="spellEnd"/>
            <w:r w:rsidRPr="003E6B1E">
              <w:rPr>
                <w:rFonts w:ascii="Arial Narrow" w:hAnsi="Arial Narrow"/>
                <w:sz w:val="18"/>
                <w:szCs w:val="18"/>
                <w:lang w:val="en-GB"/>
              </w:rPr>
              <w:t xml:space="preserve"> city</w:t>
            </w:r>
          </w:p>
        </w:tc>
        <w:tc>
          <w:tcPr>
            <w:tcW w:w="709" w:type="dxa"/>
            <w:tcBorders>
              <w:top w:val="nil"/>
              <w:left w:val="nil"/>
              <w:bottom w:val="single" w:sz="4" w:space="0" w:color="auto"/>
              <w:right w:val="nil"/>
            </w:tcBorders>
            <w:shd w:val="clear" w:color="auto" w:fill="auto"/>
            <w:vAlign w:val="center"/>
            <w:hideMark/>
          </w:tcPr>
          <w:p w14:paraId="65A9BFB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7E78C72A" w14:textId="77777777" w:rsidTr="008819CF">
        <w:trPr>
          <w:trHeight w:val="521"/>
        </w:trPr>
        <w:tc>
          <w:tcPr>
            <w:tcW w:w="1524" w:type="dxa"/>
            <w:tcBorders>
              <w:top w:val="nil"/>
              <w:left w:val="nil"/>
              <w:bottom w:val="single" w:sz="4" w:space="0" w:color="auto"/>
              <w:right w:val="nil"/>
            </w:tcBorders>
            <w:shd w:val="clear" w:color="auto" w:fill="auto"/>
            <w:vAlign w:val="center"/>
            <w:hideMark/>
          </w:tcPr>
          <w:p w14:paraId="0FE5A27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Baker 2003 </w:t>
            </w:r>
            <w:r w:rsidRPr="003E6B1E">
              <w:rPr>
                <w:rFonts w:ascii="Arial Narrow" w:hAnsi="Arial Narrow"/>
                <w:sz w:val="18"/>
                <w:szCs w:val="18"/>
                <w:lang w:val="en-GB"/>
              </w:rPr>
              <w:fldChar w:fldCharType="begin"/>
            </w:r>
            <w:r>
              <w:rPr>
                <w:rFonts w:ascii="Arial Narrow" w:hAnsi="Arial Narrow"/>
                <w:sz w:val="18"/>
                <w:szCs w:val="18"/>
                <w:lang w:val="en-GB"/>
              </w:rPr>
              <w:instrText xml:space="preserve"> ADDIN EN.CITE &lt;EndNote&gt;&lt;Cite&gt;&lt;Author&gt;Baker&lt;/Author&gt;&lt;Year&gt;2003&lt;/Year&gt;&lt;RecNum&gt;5368&lt;/RecNum&gt;&lt;DisplayText&gt;[319]&lt;/DisplayText&gt;&lt;record&gt;&lt;rec-number&gt;5368&lt;/rec-number&gt;&lt;foreign-keys&gt;&lt;key app="EN" db-id="s5zvps5w4vd0rjevval59tpffwsfx2wptstf" timestamp="1470333246"&gt;5368&lt;/key&gt;&lt;/foreign-keys&gt;&lt;ref-type name="Journal Article"&gt;17&lt;/ref-type&gt;&lt;contributors&gt;&lt;authors&gt;&lt;author&gt;Baker, Richard&lt;/author&gt;&lt;author&gt;Falconer Smith, James&lt;/author&gt;&lt;author&gt;Lambert, Paul C&lt;/author&gt;&lt;/authors&gt;&lt;/contributors&gt;&lt;titles&gt;&lt;title&gt;Randomised controlled trial of the effectiveness of feedback in improving test ordering in general practice&lt;/title&gt;&lt;secondary-title&gt;Scandinavian journal of primary health care&lt;/secondary-title&gt;&lt;/titles&gt;&lt;periodical&gt;&lt;full-title&gt;Scandinavian Journal Of Primary Health Care&lt;/full-title&gt;&lt;/periodical&gt;&lt;pages&gt;219-223&lt;/pages&gt;&lt;volume&gt;21&lt;/volume&gt;&lt;number&gt;4&lt;/number&gt;&lt;dates&gt;&lt;year&gt;2003&lt;/year&gt;&lt;/dates&gt;&lt;isbn&gt;0281-3432&lt;/isbn&gt;&lt;urls&gt;&lt;/urls&gt;&lt;/record&gt;&lt;/Cite&gt;&lt;/EndNote&gt;</w:instrText>
            </w:r>
            <w:r w:rsidRPr="003E6B1E">
              <w:rPr>
                <w:rFonts w:ascii="Arial Narrow" w:hAnsi="Arial Narrow"/>
                <w:sz w:val="18"/>
                <w:szCs w:val="18"/>
                <w:lang w:val="en-GB"/>
              </w:rPr>
              <w:fldChar w:fldCharType="end"/>
            </w:r>
          </w:p>
        </w:tc>
        <w:tc>
          <w:tcPr>
            <w:tcW w:w="802" w:type="dxa"/>
            <w:tcBorders>
              <w:top w:val="nil"/>
              <w:left w:val="nil"/>
              <w:bottom w:val="single" w:sz="4" w:space="0" w:color="auto"/>
              <w:right w:val="nil"/>
            </w:tcBorders>
            <w:shd w:val="clear" w:color="auto" w:fill="auto"/>
            <w:vAlign w:val="center"/>
            <w:hideMark/>
          </w:tcPr>
          <w:p w14:paraId="77977F2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9F5208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BECD71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Improve care for adults with asthma and angina (number of behaviours) </w:t>
            </w:r>
          </w:p>
        </w:tc>
        <w:tc>
          <w:tcPr>
            <w:tcW w:w="4364" w:type="dxa"/>
            <w:tcBorders>
              <w:top w:val="nil"/>
              <w:left w:val="nil"/>
              <w:bottom w:val="single" w:sz="4" w:space="0" w:color="auto"/>
              <w:right w:val="nil"/>
            </w:tcBorders>
            <w:shd w:val="clear" w:color="auto" w:fill="auto"/>
            <w:vAlign w:val="center"/>
            <w:hideMark/>
          </w:tcPr>
          <w:p w14:paraId="6804929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The number of pathology tests ordered by general practices.</w:t>
            </w:r>
          </w:p>
        </w:tc>
        <w:tc>
          <w:tcPr>
            <w:tcW w:w="3209" w:type="dxa"/>
            <w:tcBorders>
              <w:top w:val="nil"/>
              <w:left w:val="nil"/>
              <w:bottom w:val="single" w:sz="4" w:space="0" w:color="auto"/>
              <w:right w:val="nil"/>
            </w:tcBorders>
            <w:shd w:val="clear" w:color="auto" w:fill="auto"/>
            <w:vAlign w:val="center"/>
            <w:hideMark/>
          </w:tcPr>
          <w:p w14:paraId="12780FF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2AB1B4FB"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C8F7992" w14:textId="77777777" w:rsidTr="008819CF">
        <w:trPr>
          <w:trHeight w:val="601"/>
        </w:trPr>
        <w:tc>
          <w:tcPr>
            <w:tcW w:w="1524" w:type="dxa"/>
            <w:tcBorders>
              <w:top w:val="nil"/>
              <w:left w:val="nil"/>
              <w:bottom w:val="single" w:sz="4" w:space="0" w:color="auto"/>
              <w:right w:val="nil"/>
            </w:tcBorders>
            <w:shd w:val="clear" w:color="auto" w:fill="auto"/>
            <w:vAlign w:val="center"/>
            <w:hideMark/>
          </w:tcPr>
          <w:p w14:paraId="7A7D891F" w14:textId="2A5F54E3"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Balas </w:t>
            </w:r>
            <w:r>
              <w:rPr>
                <w:rFonts w:ascii="Arial Narrow" w:hAnsi="Arial Narrow"/>
                <w:sz w:val="18"/>
                <w:szCs w:val="18"/>
                <w:lang w:val="en-GB"/>
              </w:rPr>
              <w:t>1</w:t>
            </w:r>
            <w:r w:rsidRPr="003E6B1E">
              <w:rPr>
                <w:rFonts w:ascii="Arial Narrow" w:hAnsi="Arial Narrow"/>
                <w:sz w:val="18"/>
                <w:szCs w:val="18"/>
                <w:lang w:val="en-GB"/>
              </w:rPr>
              <w:t>998</w:t>
            </w:r>
          </w:p>
        </w:tc>
        <w:tc>
          <w:tcPr>
            <w:tcW w:w="802" w:type="dxa"/>
            <w:tcBorders>
              <w:top w:val="nil"/>
              <w:left w:val="nil"/>
              <w:bottom w:val="single" w:sz="4" w:space="0" w:color="auto"/>
              <w:right w:val="nil"/>
            </w:tcBorders>
            <w:shd w:val="clear" w:color="auto" w:fill="auto"/>
            <w:vAlign w:val="center"/>
            <w:hideMark/>
          </w:tcPr>
          <w:p w14:paraId="3D0255A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1D9C0CE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6A8E19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consideration of peritoneal dialysis as the preferred method</w:t>
            </w:r>
          </w:p>
        </w:tc>
        <w:tc>
          <w:tcPr>
            <w:tcW w:w="4364" w:type="dxa"/>
            <w:tcBorders>
              <w:top w:val="nil"/>
              <w:left w:val="nil"/>
              <w:bottom w:val="single" w:sz="4" w:space="0" w:color="auto"/>
              <w:right w:val="nil"/>
            </w:tcBorders>
            <w:shd w:val="clear" w:color="auto" w:fill="auto"/>
            <w:vAlign w:val="center"/>
            <w:hideMark/>
          </w:tcPr>
          <w:p w14:paraId="17E2997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The number of patients allocated to peritoneal dialysis </w:t>
            </w:r>
          </w:p>
        </w:tc>
        <w:tc>
          <w:tcPr>
            <w:tcW w:w="3209" w:type="dxa"/>
            <w:tcBorders>
              <w:top w:val="nil"/>
              <w:left w:val="nil"/>
              <w:bottom w:val="single" w:sz="4" w:space="0" w:color="auto"/>
              <w:right w:val="nil"/>
            </w:tcBorders>
            <w:shd w:val="clear" w:color="auto" w:fill="auto"/>
            <w:vAlign w:val="center"/>
            <w:hideMark/>
          </w:tcPr>
          <w:p w14:paraId="6B258A7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Physicians in dialysis clinics. </w:t>
            </w:r>
          </w:p>
        </w:tc>
        <w:tc>
          <w:tcPr>
            <w:tcW w:w="709" w:type="dxa"/>
            <w:tcBorders>
              <w:top w:val="nil"/>
              <w:left w:val="nil"/>
              <w:bottom w:val="single" w:sz="4" w:space="0" w:color="auto"/>
              <w:right w:val="nil"/>
            </w:tcBorders>
            <w:shd w:val="clear" w:color="auto" w:fill="auto"/>
            <w:vAlign w:val="center"/>
            <w:hideMark/>
          </w:tcPr>
          <w:p w14:paraId="5B40B5E8"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0FB02549" w14:textId="77777777" w:rsidTr="008819CF">
        <w:trPr>
          <w:trHeight w:val="682"/>
        </w:trPr>
        <w:tc>
          <w:tcPr>
            <w:tcW w:w="1524" w:type="dxa"/>
            <w:tcBorders>
              <w:top w:val="nil"/>
              <w:left w:val="nil"/>
              <w:bottom w:val="single" w:sz="4" w:space="0" w:color="auto"/>
              <w:right w:val="nil"/>
            </w:tcBorders>
            <w:shd w:val="clear" w:color="auto" w:fill="auto"/>
            <w:vAlign w:val="center"/>
            <w:hideMark/>
          </w:tcPr>
          <w:p w14:paraId="0737AC4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Barlow 2007 </w:t>
            </w:r>
          </w:p>
        </w:tc>
        <w:tc>
          <w:tcPr>
            <w:tcW w:w="802" w:type="dxa"/>
            <w:tcBorders>
              <w:top w:val="nil"/>
              <w:left w:val="nil"/>
              <w:bottom w:val="single" w:sz="4" w:space="0" w:color="auto"/>
              <w:right w:val="nil"/>
            </w:tcBorders>
            <w:shd w:val="clear" w:color="auto" w:fill="auto"/>
            <w:vAlign w:val="center"/>
            <w:hideMark/>
          </w:tcPr>
          <w:p w14:paraId="7DD9229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0E11E6C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5FCF695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antibiotic prescribing for patients within 4hr of admission</w:t>
            </w:r>
          </w:p>
        </w:tc>
        <w:tc>
          <w:tcPr>
            <w:tcW w:w="4364" w:type="dxa"/>
            <w:tcBorders>
              <w:top w:val="nil"/>
              <w:left w:val="nil"/>
              <w:bottom w:val="single" w:sz="4" w:space="0" w:color="auto"/>
              <w:right w:val="nil"/>
            </w:tcBorders>
            <w:shd w:val="clear" w:color="auto" w:fill="auto"/>
            <w:vAlign w:val="center"/>
            <w:hideMark/>
          </w:tcPr>
          <w:p w14:paraId="3308EA8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 Appropriate antibiotics within 4 h of admission</w:t>
            </w:r>
          </w:p>
        </w:tc>
        <w:tc>
          <w:tcPr>
            <w:tcW w:w="3209" w:type="dxa"/>
            <w:tcBorders>
              <w:top w:val="nil"/>
              <w:left w:val="nil"/>
              <w:bottom w:val="single" w:sz="4" w:space="0" w:color="auto"/>
              <w:right w:val="nil"/>
            </w:tcBorders>
            <w:shd w:val="clear" w:color="auto" w:fill="auto"/>
            <w:vAlign w:val="center"/>
            <w:hideMark/>
          </w:tcPr>
          <w:p w14:paraId="781AE2A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Physicians at Acute &amp; Emergency department </w:t>
            </w:r>
          </w:p>
        </w:tc>
        <w:tc>
          <w:tcPr>
            <w:tcW w:w="709" w:type="dxa"/>
            <w:tcBorders>
              <w:top w:val="nil"/>
              <w:left w:val="nil"/>
              <w:bottom w:val="single" w:sz="4" w:space="0" w:color="auto"/>
              <w:right w:val="nil"/>
            </w:tcBorders>
            <w:shd w:val="clear" w:color="auto" w:fill="auto"/>
            <w:vAlign w:val="center"/>
            <w:hideMark/>
          </w:tcPr>
          <w:p w14:paraId="0DF87513" w14:textId="2B17F7A8"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ITS </w:t>
            </w:r>
          </w:p>
        </w:tc>
      </w:tr>
      <w:tr w:rsidR="0098086A" w:rsidRPr="003E6B1E" w14:paraId="11D42403" w14:textId="77777777" w:rsidTr="008819CF">
        <w:trPr>
          <w:trHeight w:val="416"/>
        </w:trPr>
        <w:tc>
          <w:tcPr>
            <w:tcW w:w="1524" w:type="dxa"/>
            <w:tcBorders>
              <w:top w:val="nil"/>
              <w:left w:val="nil"/>
              <w:bottom w:val="single" w:sz="4" w:space="0" w:color="auto"/>
              <w:right w:val="nil"/>
            </w:tcBorders>
            <w:shd w:val="clear" w:color="auto" w:fill="auto"/>
            <w:vAlign w:val="center"/>
            <w:hideMark/>
          </w:tcPr>
          <w:p w14:paraId="73930AA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Batty 2001</w:t>
            </w:r>
          </w:p>
        </w:tc>
        <w:tc>
          <w:tcPr>
            <w:tcW w:w="802" w:type="dxa"/>
            <w:tcBorders>
              <w:top w:val="nil"/>
              <w:left w:val="nil"/>
              <w:bottom w:val="single" w:sz="4" w:space="0" w:color="auto"/>
              <w:right w:val="nil"/>
            </w:tcBorders>
            <w:shd w:val="clear" w:color="auto" w:fill="auto"/>
            <w:vAlign w:val="center"/>
            <w:hideMark/>
          </w:tcPr>
          <w:p w14:paraId="6B0C9E2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5E1C372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7B7DA0A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Increase appropriate use of </w:t>
            </w:r>
            <w:r>
              <w:rPr>
                <w:rFonts w:ascii="Arial Narrow" w:hAnsi="Arial Narrow"/>
                <w:sz w:val="18"/>
                <w:szCs w:val="18"/>
                <w:lang w:val="en-GB"/>
              </w:rPr>
              <w:t>benzo</w:t>
            </w:r>
            <w:r w:rsidRPr="003E6B1E">
              <w:rPr>
                <w:rFonts w:ascii="Arial Narrow" w:hAnsi="Arial Narrow"/>
                <w:sz w:val="18"/>
                <w:szCs w:val="18"/>
                <w:lang w:val="en-GB"/>
              </w:rPr>
              <w:t>diazepines in older adults</w:t>
            </w:r>
          </w:p>
        </w:tc>
        <w:tc>
          <w:tcPr>
            <w:tcW w:w="4364" w:type="dxa"/>
            <w:tcBorders>
              <w:top w:val="nil"/>
              <w:left w:val="nil"/>
              <w:bottom w:val="single" w:sz="4" w:space="0" w:color="auto"/>
              <w:right w:val="nil"/>
            </w:tcBorders>
            <w:shd w:val="clear" w:color="auto" w:fill="auto"/>
            <w:vAlign w:val="center"/>
            <w:hideMark/>
          </w:tcPr>
          <w:p w14:paraId="1D89D2D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Observed and appropriate prescribing of </w:t>
            </w:r>
            <w:r>
              <w:rPr>
                <w:rFonts w:ascii="Arial Narrow" w:hAnsi="Arial Narrow"/>
                <w:sz w:val="18"/>
                <w:szCs w:val="18"/>
                <w:lang w:val="en-GB"/>
              </w:rPr>
              <w:t>benzo</w:t>
            </w:r>
            <w:r w:rsidRPr="003E6B1E">
              <w:rPr>
                <w:rFonts w:ascii="Arial Narrow" w:hAnsi="Arial Narrow"/>
                <w:sz w:val="18"/>
                <w:szCs w:val="18"/>
                <w:lang w:val="en-GB"/>
              </w:rPr>
              <w:t>diazepines</w:t>
            </w:r>
          </w:p>
        </w:tc>
        <w:tc>
          <w:tcPr>
            <w:tcW w:w="3209" w:type="dxa"/>
            <w:tcBorders>
              <w:top w:val="nil"/>
              <w:left w:val="nil"/>
              <w:bottom w:val="single" w:sz="4" w:space="0" w:color="auto"/>
              <w:right w:val="nil"/>
            </w:tcBorders>
            <w:shd w:val="clear" w:color="auto" w:fill="auto"/>
            <w:vAlign w:val="center"/>
            <w:hideMark/>
          </w:tcPr>
          <w:p w14:paraId="4B6A020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pharmacists and nurses involved in the care of elderly patients.</w:t>
            </w:r>
          </w:p>
        </w:tc>
        <w:tc>
          <w:tcPr>
            <w:tcW w:w="709" w:type="dxa"/>
            <w:tcBorders>
              <w:top w:val="nil"/>
              <w:left w:val="nil"/>
              <w:bottom w:val="single" w:sz="4" w:space="0" w:color="auto"/>
              <w:right w:val="nil"/>
            </w:tcBorders>
            <w:shd w:val="clear" w:color="auto" w:fill="auto"/>
            <w:vAlign w:val="center"/>
            <w:hideMark/>
          </w:tcPr>
          <w:p w14:paraId="7BB60B15"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7007FF73" w14:textId="77777777" w:rsidTr="008819CF">
        <w:trPr>
          <w:trHeight w:val="61"/>
        </w:trPr>
        <w:tc>
          <w:tcPr>
            <w:tcW w:w="1524" w:type="dxa"/>
            <w:tcBorders>
              <w:top w:val="nil"/>
              <w:left w:val="nil"/>
              <w:bottom w:val="single" w:sz="4" w:space="0" w:color="auto"/>
              <w:right w:val="nil"/>
            </w:tcBorders>
            <w:shd w:val="clear" w:color="auto" w:fill="auto"/>
            <w:vAlign w:val="center"/>
            <w:hideMark/>
          </w:tcPr>
          <w:p w14:paraId="1276327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Beck 2005 </w:t>
            </w:r>
          </w:p>
        </w:tc>
        <w:tc>
          <w:tcPr>
            <w:tcW w:w="802" w:type="dxa"/>
            <w:tcBorders>
              <w:top w:val="nil"/>
              <w:left w:val="nil"/>
              <w:bottom w:val="single" w:sz="4" w:space="0" w:color="auto"/>
              <w:right w:val="nil"/>
            </w:tcBorders>
            <w:shd w:val="clear" w:color="auto" w:fill="auto"/>
            <w:vAlign w:val="center"/>
            <w:hideMark/>
          </w:tcPr>
          <w:p w14:paraId="5B7B2C5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1F5FE98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3D8ED28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Increase </w:t>
            </w:r>
            <w:r>
              <w:rPr>
                <w:rFonts w:ascii="Arial Narrow" w:hAnsi="Arial Narrow"/>
                <w:sz w:val="18"/>
                <w:szCs w:val="18"/>
                <w:lang w:val="en-GB"/>
              </w:rPr>
              <w:t>beta blocker</w:t>
            </w:r>
            <w:r w:rsidRPr="003E6B1E">
              <w:rPr>
                <w:rFonts w:ascii="Arial Narrow" w:hAnsi="Arial Narrow"/>
                <w:sz w:val="18"/>
                <w:szCs w:val="18"/>
                <w:lang w:val="en-GB"/>
              </w:rPr>
              <w:t xml:space="preserve"> prescribing</w:t>
            </w:r>
          </w:p>
        </w:tc>
        <w:tc>
          <w:tcPr>
            <w:tcW w:w="4364" w:type="dxa"/>
            <w:tcBorders>
              <w:top w:val="nil"/>
              <w:left w:val="nil"/>
              <w:bottom w:val="single" w:sz="4" w:space="0" w:color="auto"/>
              <w:right w:val="nil"/>
            </w:tcBorders>
            <w:shd w:val="clear" w:color="auto" w:fill="auto"/>
            <w:vAlign w:val="center"/>
            <w:hideMark/>
          </w:tcPr>
          <w:p w14:paraId="2B2F9A3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The proportion of elderly survivors of AMI at each study hospital who filled a prescription for a </w:t>
            </w:r>
            <w:r>
              <w:rPr>
                <w:rFonts w:ascii="Arial Narrow" w:hAnsi="Arial Narrow"/>
                <w:sz w:val="18"/>
                <w:szCs w:val="18"/>
                <w:lang w:val="en-GB"/>
              </w:rPr>
              <w:t>beta blocker</w:t>
            </w:r>
            <w:r w:rsidRPr="003E6B1E">
              <w:rPr>
                <w:rFonts w:ascii="Arial Narrow" w:hAnsi="Arial Narrow"/>
                <w:sz w:val="18"/>
                <w:szCs w:val="18"/>
                <w:lang w:val="en-GB"/>
              </w:rPr>
              <w:t xml:space="preserve"> within 30 days after discharge.</w:t>
            </w:r>
          </w:p>
        </w:tc>
        <w:tc>
          <w:tcPr>
            <w:tcW w:w="3209" w:type="dxa"/>
            <w:tcBorders>
              <w:top w:val="nil"/>
              <w:left w:val="nil"/>
              <w:bottom w:val="single" w:sz="4" w:space="0" w:color="auto"/>
              <w:right w:val="nil"/>
            </w:tcBorders>
            <w:shd w:val="clear" w:color="auto" w:fill="auto"/>
            <w:vAlign w:val="center"/>
            <w:hideMark/>
          </w:tcPr>
          <w:p w14:paraId="5C3C6F5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Internists </w:t>
            </w:r>
          </w:p>
        </w:tc>
        <w:tc>
          <w:tcPr>
            <w:tcW w:w="709" w:type="dxa"/>
            <w:tcBorders>
              <w:top w:val="nil"/>
              <w:left w:val="nil"/>
              <w:bottom w:val="single" w:sz="4" w:space="0" w:color="auto"/>
              <w:right w:val="nil"/>
            </w:tcBorders>
            <w:shd w:val="clear" w:color="auto" w:fill="auto"/>
            <w:vAlign w:val="center"/>
            <w:hideMark/>
          </w:tcPr>
          <w:p w14:paraId="3098C69B"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3BB4A1E" w14:textId="77777777" w:rsidTr="008819CF">
        <w:trPr>
          <w:trHeight w:val="274"/>
        </w:trPr>
        <w:tc>
          <w:tcPr>
            <w:tcW w:w="1524" w:type="dxa"/>
            <w:tcBorders>
              <w:top w:val="nil"/>
              <w:left w:val="nil"/>
              <w:bottom w:val="single" w:sz="4" w:space="0" w:color="auto"/>
              <w:right w:val="nil"/>
            </w:tcBorders>
            <w:shd w:val="clear" w:color="auto" w:fill="auto"/>
            <w:vAlign w:val="center"/>
            <w:hideMark/>
          </w:tcPr>
          <w:p w14:paraId="7DDFC22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Belliveau 1996</w:t>
            </w:r>
          </w:p>
        </w:tc>
        <w:tc>
          <w:tcPr>
            <w:tcW w:w="802" w:type="dxa"/>
            <w:tcBorders>
              <w:top w:val="nil"/>
              <w:left w:val="nil"/>
              <w:bottom w:val="single" w:sz="4" w:space="0" w:color="auto"/>
              <w:right w:val="nil"/>
            </w:tcBorders>
            <w:shd w:val="clear" w:color="auto" w:fill="auto"/>
            <w:vAlign w:val="center"/>
            <w:hideMark/>
          </w:tcPr>
          <w:p w14:paraId="0C2766C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5E9F6ED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56CC41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w:t>
            </w:r>
            <w:r>
              <w:rPr>
                <w:rFonts w:ascii="Arial Narrow" w:hAnsi="Arial Narrow"/>
                <w:sz w:val="18"/>
                <w:szCs w:val="18"/>
                <w:lang w:val="en-GB"/>
              </w:rPr>
              <w:t>e</w:t>
            </w:r>
            <w:r w:rsidRPr="003E6B1E">
              <w:rPr>
                <w:rFonts w:ascii="Arial Narrow" w:hAnsi="Arial Narrow"/>
                <w:sz w:val="18"/>
                <w:szCs w:val="18"/>
                <w:lang w:val="en-GB"/>
              </w:rPr>
              <w:t xml:space="preserve"> vancomycin </w:t>
            </w:r>
          </w:p>
        </w:tc>
        <w:tc>
          <w:tcPr>
            <w:tcW w:w="4364" w:type="dxa"/>
            <w:tcBorders>
              <w:top w:val="nil"/>
              <w:left w:val="nil"/>
              <w:bottom w:val="single" w:sz="4" w:space="0" w:color="auto"/>
              <w:right w:val="nil"/>
            </w:tcBorders>
            <w:shd w:val="clear" w:color="auto" w:fill="auto"/>
            <w:vAlign w:val="center"/>
            <w:hideMark/>
          </w:tcPr>
          <w:p w14:paraId="58AB7BD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Amount of vancomycin used</w:t>
            </w:r>
          </w:p>
        </w:tc>
        <w:tc>
          <w:tcPr>
            <w:tcW w:w="3209" w:type="dxa"/>
            <w:tcBorders>
              <w:top w:val="nil"/>
              <w:left w:val="nil"/>
              <w:bottom w:val="single" w:sz="4" w:space="0" w:color="auto"/>
              <w:right w:val="nil"/>
            </w:tcBorders>
            <w:shd w:val="clear" w:color="auto" w:fill="auto"/>
            <w:vAlign w:val="center"/>
            <w:hideMark/>
          </w:tcPr>
          <w:p w14:paraId="45BB175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All physicians at one teaching hospital</w:t>
            </w:r>
          </w:p>
        </w:tc>
        <w:tc>
          <w:tcPr>
            <w:tcW w:w="709" w:type="dxa"/>
            <w:tcBorders>
              <w:top w:val="nil"/>
              <w:left w:val="nil"/>
              <w:bottom w:val="single" w:sz="4" w:space="0" w:color="auto"/>
              <w:right w:val="nil"/>
            </w:tcBorders>
            <w:shd w:val="clear" w:color="auto" w:fill="auto"/>
            <w:vAlign w:val="center"/>
            <w:hideMark/>
          </w:tcPr>
          <w:p w14:paraId="4F99A0D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0C2FD5B1" w14:textId="77777777" w:rsidTr="008819CF">
        <w:trPr>
          <w:trHeight w:val="356"/>
        </w:trPr>
        <w:tc>
          <w:tcPr>
            <w:tcW w:w="1524" w:type="dxa"/>
            <w:tcBorders>
              <w:top w:val="nil"/>
              <w:left w:val="nil"/>
              <w:bottom w:val="single" w:sz="4" w:space="0" w:color="auto"/>
              <w:right w:val="nil"/>
            </w:tcBorders>
            <w:shd w:val="clear" w:color="auto" w:fill="auto"/>
            <w:vAlign w:val="center"/>
            <w:hideMark/>
          </w:tcPr>
          <w:p w14:paraId="531732B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Bentz 200</w:t>
            </w:r>
            <w:r>
              <w:rPr>
                <w:rFonts w:ascii="Arial Narrow" w:hAnsi="Arial Narrow"/>
                <w:sz w:val="18"/>
                <w:szCs w:val="18"/>
                <w:lang w:val="en-GB"/>
              </w:rPr>
              <w:t>7</w:t>
            </w:r>
          </w:p>
        </w:tc>
        <w:tc>
          <w:tcPr>
            <w:tcW w:w="802" w:type="dxa"/>
            <w:tcBorders>
              <w:top w:val="nil"/>
              <w:left w:val="nil"/>
              <w:bottom w:val="single" w:sz="4" w:space="0" w:color="auto"/>
              <w:right w:val="nil"/>
            </w:tcBorders>
            <w:shd w:val="clear" w:color="auto" w:fill="auto"/>
            <w:vAlign w:val="center"/>
            <w:hideMark/>
          </w:tcPr>
          <w:p w14:paraId="3C01A42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603F1F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066839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w:t>
            </w:r>
            <w:r>
              <w:rPr>
                <w:rFonts w:ascii="Arial Narrow" w:hAnsi="Arial Narrow"/>
                <w:sz w:val="18"/>
                <w:szCs w:val="18"/>
                <w:lang w:val="en-GB"/>
              </w:rPr>
              <w:t>e</w:t>
            </w:r>
            <w:r w:rsidRPr="003E6B1E">
              <w:rPr>
                <w:rFonts w:ascii="Arial Narrow" w:hAnsi="Arial Narrow"/>
                <w:sz w:val="18"/>
                <w:szCs w:val="18"/>
                <w:lang w:val="en-GB"/>
              </w:rPr>
              <w:t xml:space="preserve"> rate of referral to a state-level tobacco quit-line</w:t>
            </w:r>
          </w:p>
        </w:tc>
        <w:tc>
          <w:tcPr>
            <w:tcW w:w="4364" w:type="dxa"/>
            <w:tcBorders>
              <w:top w:val="nil"/>
              <w:left w:val="nil"/>
              <w:bottom w:val="single" w:sz="4" w:space="0" w:color="auto"/>
              <w:right w:val="nil"/>
            </w:tcBorders>
            <w:shd w:val="clear" w:color="auto" w:fill="auto"/>
            <w:vAlign w:val="center"/>
            <w:hideMark/>
          </w:tcPr>
          <w:p w14:paraId="77D3498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EHR-documented rates of advising, assessing, and assisting </w:t>
            </w:r>
          </w:p>
        </w:tc>
        <w:tc>
          <w:tcPr>
            <w:tcW w:w="3209" w:type="dxa"/>
            <w:tcBorders>
              <w:top w:val="nil"/>
              <w:left w:val="nil"/>
              <w:bottom w:val="single" w:sz="4" w:space="0" w:color="auto"/>
              <w:right w:val="nil"/>
            </w:tcBorders>
            <w:shd w:val="clear" w:color="auto" w:fill="auto"/>
            <w:vAlign w:val="center"/>
            <w:hideMark/>
          </w:tcPr>
          <w:p w14:paraId="7FB82AF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from 19 primary care clinics</w:t>
            </w:r>
          </w:p>
        </w:tc>
        <w:tc>
          <w:tcPr>
            <w:tcW w:w="709" w:type="dxa"/>
            <w:tcBorders>
              <w:top w:val="nil"/>
              <w:left w:val="nil"/>
              <w:bottom w:val="single" w:sz="4" w:space="0" w:color="auto"/>
              <w:right w:val="nil"/>
            </w:tcBorders>
            <w:shd w:val="clear" w:color="auto" w:fill="auto"/>
            <w:vAlign w:val="center"/>
            <w:hideMark/>
          </w:tcPr>
          <w:p w14:paraId="1C15D241"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2C8BE3AE" w14:textId="77777777" w:rsidTr="008819CF">
        <w:trPr>
          <w:trHeight w:val="360"/>
        </w:trPr>
        <w:tc>
          <w:tcPr>
            <w:tcW w:w="1524" w:type="dxa"/>
            <w:tcBorders>
              <w:top w:val="nil"/>
              <w:left w:val="nil"/>
              <w:bottom w:val="single" w:sz="4" w:space="0" w:color="auto"/>
              <w:right w:val="nil"/>
            </w:tcBorders>
            <w:shd w:val="clear" w:color="auto" w:fill="auto"/>
            <w:vAlign w:val="center"/>
            <w:hideMark/>
          </w:tcPr>
          <w:p w14:paraId="2225A51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Berild 200</w:t>
            </w:r>
            <w:r>
              <w:rPr>
                <w:rFonts w:ascii="Arial Narrow" w:hAnsi="Arial Narrow"/>
                <w:sz w:val="18"/>
                <w:szCs w:val="18"/>
                <w:lang w:val="en-GB"/>
              </w:rPr>
              <w:t>2</w:t>
            </w:r>
          </w:p>
        </w:tc>
        <w:tc>
          <w:tcPr>
            <w:tcW w:w="802" w:type="dxa"/>
            <w:tcBorders>
              <w:top w:val="nil"/>
              <w:left w:val="nil"/>
              <w:bottom w:val="single" w:sz="4" w:space="0" w:color="auto"/>
              <w:right w:val="nil"/>
            </w:tcBorders>
            <w:shd w:val="clear" w:color="auto" w:fill="auto"/>
            <w:vAlign w:val="center"/>
            <w:hideMark/>
          </w:tcPr>
          <w:p w14:paraId="193C441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380E130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EFCF57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the antibiotic consumption</w:t>
            </w:r>
          </w:p>
        </w:tc>
        <w:tc>
          <w:tcPr>
            <w:tcW w:w="4364" w:type="dxa"/>
            <w:tcBorders>
              <w:top w:val="nil"/>
              <w:left w:val="nil"/>
              <w:bottom w:val="single" w:sz="4" w:space="0" w:color="auto"/>
              <w:right w:val="nil"/>
            </w:tcBorders>
            <w:shd w:val="clear" w:color="auto" w:fill="auto"/>
            <w:vAlign w:val="center"/>
            <w:hideMark/>
          </w:tcPr>
          <w:p w14:paraId="1961D51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Total antibiotic usage and usage of 5 specific groups</w:t>
            </w:r>
          </w:p>
        </w:tc>
        <w:tc>
          <w:tcPr>
            <w:tcW w:w="3209" w:type="dxa"/>
            <w:tcBorders>
              <w:top w:val="nil"/>
              <w:left w:val="nil"/>
              <w:bottom w:val="single" w:sz="4" w:space="0" w:color="auto"/>
              <w:right w:val="nil"/>
            </w:tcBorders>
            <w:shd w:val="clear" w:color="auto" w:fill="auto"/>
            <w:vAlign w:val="center"/>
            <w:hideMark/>
          </w:tcPr>
          <w:p w14:paraId="5938745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Paediatricians in hospital</w:t>
            </w:r>
          </w:p>
        </w:tc>
        <w:tc>
          <w:tcPr>
            <w:tcW w:w="709" w:type="dxa"/>
            <w:tcBorders>
              <w:top w:val="nil"/>
              <w:left w:val="nil"/>
              <w:bottom w:val="single" w:sz="4" w:space="0" w:color="auto"/>
              <w:right w:val="nil"/>
            </w:tcBorders>
            <w:shd w:val="clear" w:color="auto" w:fill="auto"/>
            <w:vAlign w:val="center"/>
            <w:hideMark/>
          </w:tcPr>
          <w:p w14:paraId="7ABC801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75ADE42A" w14:textId="77777777" w:rsidTr="008819CF">
        <w:trPr>
          <w:trHeight w:val="649"/>
        </w:trPr>
        <w:tc>
          <w:tcPr>
            <w:tcW w:w="1524" w:type="dxa"/>
            <w:tcBorders>
              <w:top w:val="nil"/>
              <w:left w:val="nil"/>
              <w:bottom w:val="single" w:sz="4" w:space="0" w:color="auto"/>
              <w:right w:val="nil"/>
            </w:tcBorders>
            <w:shd w:val="clear" w:color="auto" w:fill="auto"/>
            <w:vAlign w:val="center"/>
            <w:hideMark/>
          </w:tcPr>
          <w:p w14:paraId="0DAA498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Berman 1998 </w:t>
            </w:r>
          </w:p>
        </w:tc>
        <w:tc>
          <w:tcPr>
            <w:tcW w:w="802" w:type="dxa"/>
            <w:tcBorders>
              <w:top w:val="nil"/>
              <w:left w:val="nil"/>
              <w:bottom w:val="single" w:sz="4" w:space="0" w:color="auto"/>
              <w:right w:val="nil"/>
            </w:tcBorders>
            <w:shd w:val="clear" w:color="auto" w:fill="auto"/>
            <w:vAlign w:val="center"/>
            <w:hideMark/>
          </w:tcPr>
          <w:p w14:paraId="58D3862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45CF46C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BDB701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w:t>
            </w:r>
            <w:r>
              <w:rPr>
                <w:rFonts w:ascii="Arial Narrow" w:hAnsi="Arial Narrow"/>
                <w:sz w:val="18"/>
                <w:szCs w:val="18"/>
                <w:lang w:val="en-GB"/>
              </w:rPr>
              <w:t>e</w:t>
            </w:r>
            <w:r w:rsidRPr="003E6B1E">
              <w:rPr>
                <w:rFonts w:ascii="Arial Narrow" w:hAnsi="Arial Narrow"/>
                <w:sz w:val="18"/>
                <w:szCs w:val="18"/>
                <w:lang w:val="en-GB"/>
              </w:rPr>
              <w:t xml:space="preserve"> costs of drugs and supplies used by anaesthesiologists</w:t>
            </w:r>
          </w:p>
        </w:tc>
        <w:tc>
          <w:tcPr>
            <w:tcW w:w="4364" w:type="dxa"/>
            <w:tcBorders>
              <w:top w:val="nil"/>
              <w:left w:val="nil"/>
              <w:bottom w:val="single" w:sz="4" w:space="0" w:color="auto"/>
              <w:right w:val="nil"/>
            </w:tcBorders>
            <w:shd w:val="clear" w:color="auto" w:fill="auto"/>
            <w:vAlign w:val="center"/>
            <w:hideMark/>
          </w:tcPr>
          <w:p w14:paraId="6C6767A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Costs for carotid endarterectomies and for lumbar decompressions; use rates for propofol and etomidate and for patient warming devices. </w:t>
            </w:r>
          </w:p>
        </w:tc>
        <w:tc>
          <w:tcPr>
            <w:tcW w:w="3209" w:type="dxa"/>
            <w:tcBorders>
              <w:top w:val="nil"/>
              <w:left w:val="nil"/>
              <w:bottom w:val="single" w:sz="4" w:space="0" w:color="auto"/>
              <w:right w:val="nil"/>
            </w:tcBorders>
            <w:shd w:val="clear" w:color="auto" w:fill="auto"/>
            <w:vAlign w:val="center"/>
            <w:hideMark/>
          </w:tcPr>
          <w:p w14:paraId="56019C2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Anaesthesiology residents </w:t>
            </w:r>
          </w:p>
        </w:tc>
        <w:tc>
          <w:tcPr>
            <w:tcW w:w="709" w:type="dxa"/>
            <w:tcBorders>
              <w:top w:val="nil"/>
              <w:left w:val="nil"/>
              <w:bottom w:val="single" w:sz="4" w:space="0" w:color="auto"/>
              <w:right w:val="nil"/>
            </w:tcBorders>
            <w:shd w:val="clear" w:color="auto" w:fill="auto"/>
            <w:vAlign w:val="center"/>
            <w:hideMark/>
          </w:tcPr>
          <w:p w14:paraId="5D9D46B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RCT </w:t>
            </w:r>
          </w:p>
        </w:tc>
      </w:tr>
      <w:tr w:rsidR="0098086A" w:rsidRPr="003E6B1E" w14:paraId="7F5A3005" w14:textId="77777777" w:rsidTr="008819CF">
        <w:trPr>
          <w:trHeight w:val="701"/>
        </w:trPr>
        <w:tc>
          <w:tcPr>
            <w:tcW w:w="1524" w:type="dxa"/>
            <w:tcBorders>
              <w:top w:val="nil"/>
              <w:left w:val="nil"/>
              <w:bottom w:val="single" w:sz="4" w:space="0" w:color="auto"/>
              <w:right w:val="nil"/>
            </w:tcBorders>
            <w:shd w:val="clear" w:color="auto" w:fill="auto"/>
            <w:vAlign w:val="center"/>
            <w:hideMark/>
          </w:tcPr>
          <w:p w14:paraId="2B1726B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Bonevski 1999</w:t>
            </w:r>
          </w:p>
        </w:tc>
        <w:tc>
          <w:tcPr>
            <w:tcW w:w="802" w:type="dxa"/>
            <w:tcBorders>
              <w:top w:val="nil"/>
              <w:left w:val="nil"/>
              <w:bottom w:val="single" w:sz="4" w:space="0" w:color="auto"/>
              <w:right w:val="nil"/>
            </w:tcBorders>
            <w:shd w:val="clear" w:color="auto" w:fill="auto"/>
            <w:vAlign w:val="center"/>
            <w:hideMark/>
          </w:tcPr>
          <w:p w14:paraId="323596F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4CEE7DE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74616C9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bCs/>
                <w:sz w:val="18"/>
                <w:szCs w:val="18"/>
                <w:lang w:val="en-GB"/>
              </w:rPr>
              <w:t>Increas</w:t>
            </w:r>
            <w:r>
              <w:rPr>
                <w:rFonts w:ascii="Arial Narrow" w:hAnsi="Arial Narrow"/>
                <w:bCs/>
                <w:sz w:val="18"/>
                <w:szCs w:val="18"/>
                <w:lang w:val="en-GB"/>
              </w:rPr>
              <w:t>e</w:t>
            </w:r>
            <w:r w:rsidRPr="003E6B1E">
              <w:rPr>
                <w:rFonts w:ascii="Arial Narrow" w:hAnsi="Arial Narrow"/>
                <w:bCs/>
                <w:sz w:val="18"/>
                <w:szCs w:val="18"/>
                <w:lang w:val="en-GB"/>
              </w:rPr>
              <w:t xml:space="preserve"> rates of 3 screening behaviours (cholesterol, blood pressure, cervical screening)</w:t>
            </w:r>
          </w:p>
        </w:tc>
        <w:tc>
          <w:tcPr>
            <w:tcW w:w="4364" w:type="dxa"/>
            <w:tcBorders>
              <w:top w:val="nil"/>
              <w:left w:val="nil"/>
              <w:bottom w:val="single" w:sz="4" w:space="0" w:color="auto"/>
              <w:right w:val="nil"/>
            </w:tcBorders>
            <w:shd w:val="clear" w:color="auto" w:fill="auto"/>
            <w:vAlign w:val="center"/>
            <w:hideMark/>
          </w:tcPr>
          <w:p w14:paraId="588F12D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Rates for cholesterol, blood pressure, cervical screening, and identify 3 risk behaviours (smoking, alcohol, </w:t>
            </w:r>
            <w:r>
              <w:rPr>
                <w:rFonts w:ascii="Arial Narrow" w:hAnsi="Arial Narrow"/>
                <w:sz w:val="18"/>
                <w:szCs w:val="18"/>
                <w:lang w:val="en-GB"/>
              </w:rPr>
              <w:t>benzo</w:t>
            </w:r>
            <w:r w:rsidRPr="003E6B1E">
              <w:rPr>
                <w:rFonts w:ascii="Arial Narrow" w:hAnsi="Arial Narrow"/>
                <w:sz w:val="18"/>
                <w:szCs w:val="18"/>
                <w:lang w:val="en-GB"/>
              </w:rPr>
              <w:t>diazepines)</w:t>
            </w:r>
          </w:p>
        </w:tc>
        <w:tc>
          <w:tcPr>
            <w:tcW w:w="3209" w:type="dxa"/>
            <w:tcBorders>
              <w:top w:val="nil"/>
              <w:left w:val="nil"/>
              <w:bottom w:val="single" w:sz="4" w:space="0" w:color="auto"/>
              <w:right w:val="nil"/>
            </w:tcBorders>
            <w:shd w:val="clear" w:color="auto" w:fill="auto"/>
            <w:vAlign w:val="center"/>
            <w:hideMark/>
          </w:tcPr>
          <w:p w14:paraId="03D2172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General practitioners</w:t>
            </w:r>
          </w:p>
        </w:tc>
        <w:tc>
          <w:tcPr>
            <w:tcW w:w="709" w:type="dxa"/>
            <w:tcBorders>
              <w:top w:val="nil"/>
              <w:left w:val="nil"/>
              <w:bottom w:val="single" w:sz="4" w:space="0" w:color="auto"/>
              <w:right w:val="nil"/>
            </w:tcBorders>
            <w:shd w:val="clear" w:color="auto" w:fill="auto"/>
            <w:vAlign w:val="center"/>
            <w:hideMark/>
          </w:tcPr>
          <w:p w14:paraId="177BB1A1"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47C9785" w14:textId="77777777" w:rsidTr="008819CF">
        <w:trPr>
          <w:trHeight w:val="273"/>
        </w:trPr>
        <w:tc>
          <w:tcPr>
            <w:tcW w:w="1524" w:type="dxa"/>
            <w:tcBorders>
              <w:top w:val="nil"/>
              <w:left w:val="nil"/>
              <w:bottom w:val="single" w:sz="4" w:space="0" w:color="auto"/>
              <w:right w:val="nil"/>
            </w:tcBorders>
            <w:shd w:val="clear" w:color="auto" w:fill="auto"/>
            <w:vAlign w:val="center"/>
            <w:hideMark/>
          </w:tcPr>
          <w:p w14:paraId="41F13B6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lastRenderedPageBreak/>
              <w:t>Boyd 2002</w:t>
            </w:r>
          </w:p>
        </w:tc>
        <w:tc>
          <w:tcPr>
            <w:tcW w:w="802" w:type="dxa"/>
            <w:tcBorders>
              <w:top w:val="nil"/>
              <w:left w:val="nil"/>
              <w:bottom w:val="single" w:sz="4" w:space="0" w:color="auto"/>
              <w:right w:val="nil"/>
            </w:tcBorders>
            <w:shd w:val="clear" w:color="auto" w:fill="auto"/>
            <w:vAlign w:val="center"/>
            <w:hideMark/>
          </w:tcPr>
          <w:p w14:paraId="5E80EDE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1333B10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411C1C6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BMD Screening</w:t>
            </w:r>
          </w:p>
        </w:tc>
        <w:tc>
          <w:tcPr>
            <w:tcW w:w="4364" w:type="dxa"/>
            <w:tcBorders>
              <w:top w:val="nil"/>
              <w:left w:val="nil"/>
              <w:bottom w:val="single" w:sz="4" w:space="0" w:color="auto"/>
              <w:right w:val="nil"/>
            </w:tcBorders>
            <w:shd w:val="clear" w:color="auto" w:fill="auto"/>
            <w:vAlign w:val="center"/>
            <w:hideMark/>
          </w:tcPr>
          <w:p w14:paraId="6E7AB61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Telephone surveyors asked patients about Screening</w:t>
            </w:r>
          </w:p>
        </w:tc>
        <w:tc>
          <w:tcPr>
            <w:tcW w:w="3209" w:type="dxa"/>
            <w:tcBorders>
              <w:top w:val="nil"/>
              <w:left w:val="nil"/>
              <w:bottom w:val="single" w:sz="4" w:space="0" w:color="auto"/>
              <w:right w:val="nil"/>
            </w:tcBorders>
            <w:shd w:val="clear" w:color="auto" w:fill="auto"/>
            <w:vAlign w:val="center"/>
            <w:hideMark/>
          </w:tcPr>
          <w:p w14:paraId="74A7A6C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Primary care physicians </w:t>
            </w:r>
          </w:p>
        </w:tc>
        <w:tc>
          <w:tcPr>
            <w:tcW w:w="709" w:type="dxa"/>
            <w:tcBorders>
              <w:top w:val="nil"/>
              <w:left w:val="nil"/>
              <w:bottom w:val="single" w:sz="4" w:space="0" w:color="auto"/>
              <w:right w:val="nil"/>
            </w:tcBorders>
            <w:shd w:val="clear" w:color="auto" w:fill="auto"/>
            <w:vAlign w:val="center"/>
            <w:hideMark/>
          </w:tcPr>
          <w:p w14:paraId="0C70F53B"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3AD8CB22" w14:textId="77777777" w:rsidTr="008819CF">
        <w:trPr>
          <w:trHeight w:val="277"/>
        </w:trPr>
        <w:tc>
          <w:tcPr>
            <w:tcW w:w="1524" w:type="dxa"/>
            <w:tcBorders>
              <w:top w:val="nil"/>
              <w:left w:val="nil"/>
              <w:bottom w:val="single" w:sz="4" w:space="0" w:color="auto"/>
              <w:right w:val="nil"/>
            </w:tcBorders>
            <w:shd w:val="clear" w:color="auto" w:fill="auto"/>
            <w:vAlign w:val="center"/>
            <w:hideMark/>
          </w:tcPr>
          <w:p w14:paraId="1ACDC74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Bradley 1999</w:t>
            </w:r>
          </w:p>
        </w:tc>
        <w:tc>
          <w:tcPr>
            <w:tcW w:w="802" w:type="dxa"/>
            <w:tcBorders>
              <w:top w:val="nil"/>
              <w:left w:val="nil"/>
              <w:bottom w:val="single" w:sz="4" w:space="0" w:color="auto"/>
              <w:right w:val="nil"/>
            </w:tcBorders>
            <w:shd w:val="clear" w:color="auto" w:fill="auto"/>
            <w:vAlign w:val="center"/>
            <w:hideMark/>
          </w:tcPr>
          <w:p w14:paraId="636288D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56298E9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34FAD1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Decrease antibiotic use </w:t>
            </w:r>
          </w:p>
        </w:tc>
        <w:tc>
          <w:tcPr>
            <w:tcW w:w="4364" w:type="dxa"/>
            <w:tcBorders>
              <w:top w:val="nil"/>
              <w:left w:val="nil"/>
              <w:bottom w:val="single" w:sz="4" w:space="0" w:color="auto"/>
              <w:right w:val="nil"/>
            </w:tcBorders>
            <w:shd w:val="clear" w:color="auto" w:fill="auto"/>
            <w:vAlign w:val="center"/>
            <w:hideMark/>
          </w:tcPr>
          <w:p w14:paraId="72B11A3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Antibiotic usage</w:t>
            </w:r>
          </w:p>
        </w:tc>
        <w:tc>
          <w:tcPr>
            <w:tcW w:w="3209" w:type="dxa"/>
            <w:tcBorders>
              <w:top w:val="nil"/>
              <w:left w:val="nil"/>
              <w:bottom w:val="single" w:sz="4" w:space="0" w:color="auto"/>
              <w:right w:val="nil"/>
            </w:tcBorders>
            <w:shd w:val="clear" w:color="auto" w:fill="auto"/>
            <w:vAlign w:val="center"/>
            <w:hideMark/>
          </w:tcPr>
          <w:p w14:paraId="0F4759F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on a haematology ward</w:t>
            </w:r>
          </w:p>
        </w:tc>
        <w:tc>
          <w:tcPr>
            <w:tcW w:w="709" w:type="dxa"/>
            <w:tcBorders>
              <w:top w:val="nil"/>
              <w:left w:val="nil"/>
              <w:bottom w:val="single" w:sz="4" w:space="0" w:color="auto"/>
              <w:right w:val="nil"/>
            </w:tcBorders>
            <w:shd w:val="clear" w:color="auto" w:fill="auto"/>
            <w:vAlign w:val="center"/>
            <w:hideMark/>
          </w:tcPr>
          <w:p w14:paraId="51AB7C9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273C4E26" w14:textId="77777777" w:rsidTr="008819CF">
        <w:trPr>
          <w:trHeight w:val="424"/>
        </w:trPr>
        <w:tc>
          <w:tcPr>
            <w:tcW w:w="1524" w:type="dxa"/>
            <w:tcBorders>
              <w:top w:val="nil"/>
              <w:left w:val="nil"/>
              <w:bottom w:val="single" w:sz="4" w:space="0" w:color="auto"/>
              <w:right w:val="nil"/>
            </w:tcBorders>
            <w:shd w:val="clear" w:color="auto" w:fill="auto"/>
            <w:vAlign w:val="center"/>
            <w:hideMark/>
          </w:tcPr>
          <w:p w14:paraId="29F5BC5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Brady 1988</w:t>
            </w:r>
          </w:p>
        </w:tc>
        <w:tc>
          <w:tcPr>
            <w:tcW w:w="802" w:type="dxa"/>
            <w:tcBorders>
              <w:top w:val="nil"/>
              <w:left w:val="nil"/>
              <w:bottom w:val="single" w:sz="4" w:space="0" w:color="auto"/>
              <w:right w:val="nil"/>
            </w:tcBorders>
            <w:shd w:val="clear" w:color="auto" w:fill="auto"/>
            <w:vAlign w:val="center"/>
            <w:hideMark/>
          </w:tcPr>
          <w:p w14:paraId="5347C33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3187B0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5D35A7C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influenza vaccination and breast cancer screening</w:t>
            </w:r>
          </w:p>
        </w:tc>
        <w:tc>
          <w:tcPr>
            <w:tcW w:w="4364" w:type="dxa"/>
            <w:tcBorders>
              <w:top w:val="nil"/>
              <w:left w:val="nil"/>
              <w:bottom w:val="single" w:sz="4" w:space="0" w:color="auto"/>
              <w:right w:val="nil"/>
            </w:tcBorders>
            <w:shd w:val="clear" w:color="auto" w:fill="auto"/>
            <w:vAlign w:val="center"/>
            <w:hideMark/>
          </w:tcPr>
          <w:p w14:paraId="6E7208A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Rates of influenza vaccination; rate of mammography ordering</w:t>
            </w:r>
          </w:p>
        </w:tc>
        <w:tc>
          <w:tcPr>
            <w:tcW w:w="3209" w:type="dxa"/>
            <w:tcBorders>
              <w:top w:val="nil"/>
              <w:left w:val="nil"/>
              <w:bottom w:val="single" w:sz="4" w:space="0" w:color="auto"/>
              <w:right w:val="nil"/>
            </w:tcBorders>
            <w:shd w:val="clear" w:color="auto" w:fill="auto"/>
            <w:vAlign w:val="center"/>
            <w:hideMark/>
          </w:tcPr>
          <w:p w14:paraId="27C4036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Internists </w:t>
            </w:r>
          </w:p>
        </w:tc>
        <w:tc>
          <w:tcPr>
            <w:tcW w:w="709" w:type="dxa"/>
            <w:tcBorders>
              <w:top w:val="nil"/>
              <w:left w:val="nil"/>
              <w:bottom w:val="single" w:sz="4" w:space="0" w:color="auto"/>
              <w:right w:val="nil"/>
            </w:tcBorders>
            <w:shd w:val="clear" w:color="auto" w:fill="auto"/>
            <w:vAlign w:val="center"/>
            <w:hideMark/>
          </w:tcPr>
          <w:p w14:paraId="7CDC3724"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371B295" w14:textId="77777777" w:rsidTr="008819CF">
        <w:trPr>
          <w:trHeight w:val="557"/>
        </w:trPr>
        <w:tc>
          <w:tcPr>
            <w:tcW w:w="1524" w:type="dxa"/>
            <w:tcBorders>
              <w:top w:val="nil"/>
              <w:left w:val="nil"/>
              <w:bottom w:val="single" w:sz="4" w:space="0" w:color="auto"/>
              <w:right w:val="nil"/>
            </w:tcBorders>
            <w:shd w:val="clear" w:color="auto" w:fill="auto"/>
            <w:vAlign w:val="center"/>
            <w:hideMark/>
          </w:tcPr>
          <w:p w14:paraId="4F8EDB3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Brown 1994 </w:t>
            </w:r>
          </w:p>
        </w:tc>
        <w:tc>
          <w:tcPr>
            <w:tcW w:w="802" w:type="dxa"/>
            <w:tcBorders>
              <w:top w:val="nil"/>
              <w:left w:val="nil"/>
              <w:bottom w:val="single" w:sz="4" w:space="0" w:color="auto"/>
              <w:right w:val="nil"/>
            </w:tcBorders>
            <w:shd w:val="clear" w:color="auto" w:fill="auto"/>
            <w:vAlign w:val="center"/>
            <w:hideMark/>
          </w:tcPr>
          <w:p w14:paraId="367C13B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510DF5D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F9C9A6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number of patients with notation in chart</w:t>
            </w:r>
          </w:p>
        </w:tc>
        <w:tc>
          <w:tcPr>
            <w:tcW w:w="4364" w:type="dxa"/>
            <w:tcBorders>
              <w:top w:val="nil"/>
              <w:left w:val="nil"/>
              <w:bottom w:val="single" w:sz="4" w:space="0" w:color="auto"/>
              <w:right w:val="nil"/>
            </w:tcBorders>
            <w:shd w:val="clear" w:color="auto" w:fill="auto"/>
            <w:vAlign w:val="center"/>
            <w:hideMark/>
          </w:tcPr>
          <w:p w14:paraId="55DB8FA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Percentage of records containing at least one periodontal diagnostic notation; percentage of records with at least one preventive notation and one treatment item</w:t>
            </w:r>
          </w:p>
        </w:tc>
        <w:tc>
          <w:tcPr>
            <w:tcW w:w="3209" w:type="dxa"/>
            <w:tcBorders>
              <w:top w:val="nil"/>
              <w:left w:val="nil"/>
              <w:bottom w:val="single" w:sz="4" w:space="0" w:color="auto"/>
              <w:right w:val="nil"/>
            </w:tcBorders>
            <w:shd w:val="clear" w:color="auto" w:fill="auto"/>
            <w:vAlign w:val="center"/>
            <w:hideMark/>
          </w:tcPr>
          <w:p w14:paraId="63238CC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Dentists</w:t>
            </w:r>
          </w:p>
        </w:tc>
        <w:tc>
          <w:tcPr>
            <w:tcW w:w="709" w:type="dxa"/>
            <w:tcBorders>
              <w:top w:val="nil"/>
              <w:left w:val="nil"/>
              <w:bottom w:val="single" w:sz="4" w:space="0" w:color="auto"/>
              <w:right w:val="nil"/>
            </w:tcBorders>
            <w:shd w:val="clear" w:color="auto" w:fill="auto"/>
            <w:vAlign w:val="center"/>
            <w:hideMark/>
          </w:tcPr>
          <w:p w14:paraId="0086838F"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4FB260E" w14:textId="77777777" w:rsidTr="008819CF">
        <w:trPr>
          <w:trHeight w:val="353"/>
        </w:trPr>
        <w:tc>
          <w:tcPr>
            <w:tcW w:w="1524" w:type="dxa"/>
            <w:tcBorders>
              <w:top w:val="nil"/>
              <w:left w:val="nil"/>
              <w:bottom w:val="single" w:sz="4" w:space="0" w:color="auto"/>
              <w:right w:val="nil"/>
            </w:tcBorders>
            <w:shd w:val="clear" w:color="auto" w:fill="auto"/>
            <w:vAlign w:val="center"/>
            <w:hideMark/>
          </w:tcPr>
          <w:p w14:paraId="7BDCC95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Buffington 1991 </w:t>
            </w:r>
          </w:p>
        </w:tc>
        <w:tc>
          <w:tcPr>
            <w:tcW w:w="802" w:type="dxa"/>
            <w:tcBorders>
              <w:top w:val="nil"/>
              <w:left w:val="nil"/>
              <w:bottom w:val="single" w:sz="4" w:space="0" w:color="auto"/>
              <w:right w:val="nil"/>
            </w:tcBorders>
            <w:shd w:val="clear" w:color="auto" w:fill="auto"/>
            <w:vAlign w:val="center"/>
            <w:hideMark/>
          </w:tcPr>
          <w:p w14:paraId="60259B7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1DC95A2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5093652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w:t>
            </w:r>
            <w:r>
              <w:rPr>
                <w:rFonts w:ascii="Arial Narrow" w:hAnsi="Arial Narrow"/>
                <w:sz w:val="18"/>
                <w:szCs w:val="18"/>
                <w:lang w:val="en-GB"/>
              </w:rPr>
              <w:t>e</w:t>
            </w:r>
            <w:r w:rsidRPr="003E6B1E">
              <w:rPr>
                <w:rFonts w:ascii="Arial Narrow" w:hAnsi="Arial Narrow"/>
                <w:sz w:val="18"/>
                <w:szCs w:val="18"/>
                <w:lang w:val="en-GB"/>
              </w:rPr>
              <w:t xml:space="preserve"> flu immunization</w:t>
            </w:r>
          </w:p>
        </w:tc>
        <w:tc>
          <w:tcPr>
            <w:tcW w:w="4364" w:type="dxa"/>
            <w:tcBorders>
              <w:top w:val="nil"/>
              <w:left w:val="nil"/>
              <w:bottom w:val="single" w:sz="4" w:space="0" w:color="auto"/>
              <w:right w:val="nil"/>
            </w:tcBorders>
            <w:shd w:val="clear" w:color="auto" w:fill="auto"/>
            <w:vAlign w:val="center"/>
            <w:hideMark/>
          </w:tcPr>
          <w:p w14:paraId="419D4A3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Influenza immunization rates of elderly patients seen in private physicians' offices</w:t>
            </w:r>
          </w:p>
        </w:tc>
        <w:tc>
          <w:tcPr>
            <w:tcW w:w="3209" w:type="dxa"/>
            <w:tcBorders>
              <w:top w:val="nil"/>
              <w:left w:val="nil"/>
              <w:bottom w:val="single" w:sz="4" w:space="0" w:color="auto"/>
              <w:right w:val="nil"/>
            </w:tcBorders>
            <w:shd w:val="clear" w:color="auto" w:fill="auto"/>
            <w:vAlign w:val="center"/>
            <w:hideMark/>
          </w:tcPr>
          <w:p w14:paraId="4A35C64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 45 physicians in 13 private practice groups agreed to participate.</w:t>
            </w:r>
          </w:p>
        </w:tc>
        <w:tc>
          <w:tcPr>
            <w:tcW w:w="709" w:type="dxa"/>
            <w:tcBorders>
              <w:top w:val="nil"/>
              <w:left w:val="nil"/>
              <w:bottom w:val="single" w:sz="4" w:space="0" w:color="auto"/>
              <w:right w:val="nil"/>
            </w:tcBorders>
            <w:shd w:val="clear" w:color="auto" w:fill="auto"/>
            <w:vAlign w:val="center"/>
            <w:hideMark/>
          </w:tcPr>
          <w:p w14:paraId="40298C60"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2045C723" w14:textId="77777777" w:rsidTr="008819CF">
        <w:trPr>
          <w:trHeight w:val="269"/>
        </w:trPr>
        <w:tc>
          <w:tcPr>
            <w:tcW w:w="1524" w:type="dxa"/>
            <w:tcBorders>
              <w:top w:val="nil"/>
              <w:left w:val="nil"/>
              <w:bottom w:val="single" w:sz="4" w:space="0" w:color="auto"/>
              <w:right w:val="nil"/>
            </w:tcBorders>
            <w:shd w:val="clear" w:color="auto" w:fill="auto"/>
            <w:vAlign w:val="center"/>
            <w:hideMark/>
          </w:tcPr>
          <w:p w14:paraId="01EF9F2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Bunz 1990</w:t>
            </w:r>
          </w:p>
        </w:tc>
        <w:tc>
          <w:tcPr>
            <w:tcW w:w="802" w:type="dxa"/>
            <w:tcBorders>
              <w:top w:val="nil"/>
              <w:left w:val="nil"/>
              <w:bottom w:val="single" w:sz="4" w:space="0" w:color="auto"/>
              <w:right w:val="nil"/>
            </w:tcBorders>
            <w:shd w:val="clear" w:color="auto" w:fill="auto"/>
            <w:vAlign w:val="center"/>
            <w:hideMark/>
          </w:tcPr>
          <w:p w14:paraId="60B8B01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2848734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7E7AF3C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Extend dosage interval of antibiotic prescription</w:t>
            </w:r>
          </w:p>
        </w:tc>
        <w:tc>
          <w:tcPr>
            <w:tcW w:w="4364" w:type="dxa"/>
            <w:tcBorders>
              <w:top w:val="nil"/>
              <w:left w:val="nil"/>
              <w:bottom w:val="single" w:sz="4" w:space="0" w:color="auto"/>
              <w:right w:val="nil"/>
            </w:tcBorders>
            <w:shd w:val="clear" w:color="auto" w:fill="auto"/>
            <w:vAlign w:val="center"/>
            <w:hideMark/>
          </w:tcPr>
          <w:p w14:paraId="4DE7381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Number of prescriptions </w:t>
            </w:r>
          </w:p>
        </w:tc>
        <w:tc>
          <w:tcPr>
            <w:tcW w:w="3209" w:type="dxa"/>
            <w:tcBorders>
              <w:top w:val="nil"/>
              <w:left w:val="nil"/>
              <w:bottom w:val="single" w:sz="4" w:space="0" w:color="auto"/>
              <w:right w:val="nil"/>
            </w:tcBorders>
            <w:shd w:val="clear" w:color="auto" w:fill="auto"/>
            <w:vAlign w:val="center"/>
            <w:hideMark/>
          </w:tcPr>
          <w:p w14:paraId="3A5EBA1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w:t>
            </w:r>
          </w:p>
        </w:tc>
        <w:tc>
          <w:tcPr>
            <w:tcW w:w="709" w:type="dxa"/>
            <w:tcBorders>
              <w:top w:val="nil"/>
              <w:left w:val="nil"/>
              <w:bottom w:val="single" w:sz="4" w:space="0" w:color="auto"/>
              <w:right w:val="nil"/>
            </w:tcBorders>
            <w:shd w:val="clear" w:color="auto" w:fill="auto"/>
            <w:vAlign w:val="center"/>
            <w:hideMark/>
          </w:tcPr>
          <w:p w14:paraId="0F2F2FB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 UBA</w:t>
            </w:r>
          </w:p>
        </w:tc>
      </w:tr>
      <w:tr w:rsidR="0098086A" w:rsidRPr="003E6B1E" w14:paraId="4BD1912C" w14:textId="77777777" w:rsidTr="008819CF">
        <w:trPr>
          <w:trHeight w:val="119"/>
        </w:trPr>
        <w:tc>
          <w:tcPr>
            <w:tcW w:w="1524" w:type="dxa"/>
            <w:tcBorders>
              <w:top w:val="nil"/>
              <w:left w:val="nil"/>
              <w:bottom w:val="single" w:sz="4" w:space="0" w:color="auto"/>
              <w:right w:val="nil"/>
            </w:tcBorders>
            <w:shd w:val="clear" w:color="auto" w:fill="auto"/>
            <w:vAlign w:val="center"/>
            <w:hideMark/>
          </w:tcPr>
          <w:p w14:paraId="2FF54CC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Calil 2001</w:t>
            </w:r>
          </w:p>
        </w:tc>
        <w:tc>
          <w:tcPr>
            <w:tcW w:w="802" w:type="dxa"/>
            <w:tcBorders>
              <w:top w:val="nil"/>
              <w:left w:val="nil"/>
              <w:bottom w:val="single" w:sz="4" w:space="0" w:color="auto"/>
              <w:right w:val="nil"/>
            </w:tcBorders>
            <w:shd w:val="clear" w:color="auto" w:fill="auto"/>
            <w:vAlign w:val="center"/>
            <w:hideMark/>
          </w:tcPr>
          <w:p w14:paraId="708F379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4153CE9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729DFC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Reduce inappropriate antibiotic prescribing </w:t>
            </w:r>
          </w:p>
        </w:tc>
        <w:tc>
          <w:tcPr>
            <w:tcW w:w="4364" w:type="dxa"/>
            <w:tcBorders>
              <w:top w:val="nil"/>
              <w:left w:val="nil"/>
              <w:bottom w:val="single" w:sz="4" w:space="0" w:color="auto"/>
              <w:right w:val="nil"/>
            </w:tcBorders>
            <w:shd w:val="clear" w:color="auto" w:fill="auto"/>
            <w:vAlign w:val="center"/>
            <w:hideMark/>
          </w:tcPr>
          <w:p w14:paraId="2C7BD75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The incidence and prevalence of multi-resistant E cloacae</w:t>
            </w:r>
          </w:p>
        </w:tc>
        <w:tc>
          <w:tcPr>
            <w:tcW w:w="3209" w:type="dxa"/>
            <w:tcBorders>
              <w:top w:val="nil"/>
              <w:left w:val="nil"/>
              <w:bottom w:val="single" w:sz="4" w:space="0" w:color="auto"/>
              <w:right w:val="nil"/>
            </w:tcBorders>
            <w:shd w:val="clear" w:color="auto" w:fill="auto"/>
            <w:vAlign w:val="center"/>
            <w:hideMark/>
          </w:tcPr>
          <w:p w14:paraId="26005DC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 in one hospital neonatal unit.</w:t>
            </w:r>
          </w:p>
        </w:tc>
        <w:tc>
          <w:tcPr>
            <w:tcW w:w="709" w:type="dxa"/>
            <w:tcBorders>
              <w:top w:val="nil"/>
              <w:left w:val="nil"/>
              <w:bottom w:val="single" w:sz="4" w:space="0" w:color="auto"/>
              <w:right w:val="nil"/>
            </w:tcBorders>
            <w:shd w:val="clear" w:color="auto" w:fill="auto"/>
            <w:vAlign w:val="center"/>
            <w:hideMark/>
          </w:tcPr>
          <w:p w14:paraId="6BCDA8C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5626817B" w14:textId="77777777" w:rsidTr="008819CF">
        <w:trPr>
          <w:trHeight w:val="366"/>
        </w:trPr>
        <w:tc>
          <w:tcPr>
            <w:tcW w:w="1524" w:type="dxa"/>
            <w:tcBorders>
              <w:top w:val="nil"/>
              <w:left w:val="nil"/>
              <w:bottom w:val="single" w:sz="4" w:space="0" w:color="auto"/>
              <w:right w:val="nil"/>
            </w:tcBorders>
            <w:shd w:val="clear" w:color="auto" w:fill="auto"/>
            <w:vAlign w:val="center"/>
            <w:hideMark/>
          </w:tcPr>
          <w:p w14:paraId="41BB109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Carling 2003</w:t>
            </w:r>
          </w:p>
        </w:tc>
        <w:tc>
          <w:tcPr>
            <w:tcW w:w="802" w:type="dxa"/>
            <w:tcBorders>
              <w:top w:val="nil"/>
              <w:left w:val="nil"/>
              <w:bottom w:val="single" w:sz="4" w:space="0" w:color="auto"/>
              <w:right w:val="nil"/>
            </w:tcBorders>
            <w:shd w:val="clear" w:color="auto" w:fill="auto"/>
            <w:vAlign w:val="center"/>
            <w:hideMark/>
          </w:tcPr>
          <w:p w14:paraId="40782EE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5DABF05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82F273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antibiotic use</w:t>
            </w:r>
          </w:p>
        </w:tc>
        <w:tc>
          <w:tcPr>
            <w:tcW w:w="4364" w:type="dxa"/>
            <w:tcBorders>
              <w:top w:val="nil"/>
              <w:left w:val="nil"/>
              <w:bottom w:val="single" w:sz="4" w:space="0" w:color="auto"/>
              <w:right w:val="nil"/>
            </w:tcBorders>
            <w:shd w:val="clear" w:color="auto" w:fill="auto"/>
            <w:vAlign w:val="center"/>
            <w:hideMark/>
          </w:tcPr>
          <w:p w14:paraId="33FF85D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of antibiotics</w:t>
            </w:r>
          </w:p>
        </w:tc>
        <w:tc>
          <w:tcPr>
            <w:tcW w:w="3209" w:type="dxa"/>
            <w:tcBorders>
              <w:top w:val="nil"/>
              <w:left w:val="nil"/>
              <w:bottom w:val="single" w:sz="4" w:space="0" w:color="auto"/>
              <w:right w:val="nil"/>
            </w:tcBorders>
            <w:shd w:val="clear" w:color="auto" w:fill="auto"/>
            <w:vAlign w:val="center"/>
            <w:hideMark/>
          </w:tcPr>
          <w:p w14:paraId="6CBECA1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 in a hospital</w:t>
            </w:r>
          </w:p>
        </w:tc>
        <w:tc>
          <w:tcPr>
            <w:tcW w:w="709" w:type="dxa"/>
            <w:tcBorders>
              <w:top w:val="nil"/>
              <w:left w:val="nil"/>
              <w:bottom w:val="single" w:sz="4" w:space="0" w:color="auto"/>
              <w:right w:val="nil"/>
            </w:tcBorders>
            <w:shd w:val="clear" w:color="auto" w:fill="auto"/>
            <w:vAlign w:val="center"/>
            <w:hideMark/>
          </w:tcPr>
          <w:p w14:paraId="7BAA7A6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1A2C22F5" w14:textId="77777777" w:rsidTr="008819CF">
        <w:trPr>
          <w:trHeight w:val="635"/>
        </w:trPr>
        <w:tc>
          <w:tcPr>
            <w:tcW w:w="1524" w:type="dxa"/>
            <w:tcBorders>
              <w:top w:val="nil"/>
              <w:left w:val="nil"/>
              <w:bottom w:val="single" w:sz="4" w:space="0" w:color="auto"/>
              <w:right w:val="nil"/>
            </w:tcBorders>
            <w:shd w:val="clear" w:color="auto" w:fill="auto"/>
            <w:vAlign w:val="center"/>
            <w:hideMark/>
          </w:tcPr>
          <w:p w14:paraId="1E42313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Charbonneau 2006</w:t>
            </w:r>
          </w:p>
        </w:tc>
        <w:tc>
          <w:tcPr>
            <w:tcW w:w="802" w:type="dxa"/>
            <w:tcBorders>
              <w:top w:val="nil"/>
              <w:left w:val="nil"/>
              <w:bottom w:val="single" w:sz="4" w:space="0" w:color="auto"/>
              <w:right w:val="nil"/>
            </w:tcBorders>
            <w:shd w:val="clear" w:color="auto" w:fill="auto"/>
            <w:vAlign w:val="center"/>
            <w:hideMark/>
          </w:tcPr>
          <w:p w14:paraId="6C66C32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3D5A780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2BB86E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Decrease fluoroquinolone </w:t>
            </w:r>
          </w:p>
        </w:tc>
        <w:tc>
          <w:tcPr>
            <w:tcW w:w="4364" w:type="dxa"/>
            <w:tcBorders>
              <w:top w:val="nil"/>
              <w:left w:val="nil"/>
              <w:bottom w:val="single" w:sz="4" w:space="0" w:color="auto"/>
              <w:right w:val="nil"/>
            </w:tcBorders>
            <w:shd w:val="clear" w:color="auto" w:fill="auto"/>
            <w:vAlign w:val="center"/>
            <w:hideMark/>
          </w:tcPr>
          <w:p w14:paraId="7F33F88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Defined daily doses (DDDs) per 1000 bed-days of fluoroquinolone use</w:t>
            </w:r>
          </w:p>
        </w:tc>
        <w:tc>
          <w:tcPr>
            <w:tcW w:w="3209" w:type="dxa"/>
            <w:tcBorders>
              <w:top w:val="nil"/>
              <w:left w:val="nil"/>
              <w:bottom w:val="single" w:sz="4" w:space="0" w:color="auto"/>
              <w:right w:val="nil"/>
            </w:tcBorders>
            <w:shd w:val="clear" w:color="auto" w:fill="auto"/>
            <w:vAlign w:val="center"/>
            <w:hideMark/>
          </w:tcPr>
          <w:p w14:paraId="07D2495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All antibiotic prescribers, including residents and senior physicians in a university hospital in France</w:t>
            </w:r>
          </w:p>
        </w:tc>
        <w:tc>
          <w:tcPr>
            <w:tcW w:w="709" w:type="dxa"/>
            <w:tcBorders>
              <w:top w:val="nil"/>
              <w:left w:val="nil"/>
              <w:bottom w:val="single" w:sz="4" w:space="0" w:color="auto"/>
              <w:right w:val="nil"/>
            </w:tcBorders>
            <w:shd w:val="clear" w:color="auto" w:fill="auto"/>
            <w:vAlign w:val="center"/>
            <w:hideMark/>
          </w:tcPr>
          <w:p w14:paraId="3C22B2A4" w14:textId="375D70A8"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ITS </w:t>
            </w:r>
          </w:p>
        </w:tc>
      </w:tr>
      <w:tr w:rsidR="0098086A" w:rsidRPr="003E6B1E" w14:paraId="1A9F4D23" w14:textId="77777777" w:rsidTr="008819CF">
        <w:trPr>
          <w:trHeight w:val="416"/>
        </w:trPr>
        <w:tc>
          <w:tcPr>
            <w:tcW w:w="1524" w:type="dxa"/>
            <w:tcBorders>
              <w:top w:val="nil"/>
              <w:left w:val="nil"/>
              <w:bottom w:val="single" w:sz="4" w:space="0" w:color="auto"/>
              <w:right w:val="nil"/>
            </w:tcBorders>
            <w:shd w:val="clear" w:color="auto" w:fill="auto"/>
            <w:vAlign w:val="center"/>
            <w:hideMark/>
          </w:tcPr>
          <w:p w14:paraId="2A45E1A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Chassin 1986</w:t>
            </w:r>
            <w:r w:rsidRPr="003E6B1E">
              <w:rPr>
                <w:rFonts w:ascii="Arial Narrow" w:hAnsi="Arial Narrow"/>
                <w:sz w:val="18"/>
                <w:szCs w:val="18"/>
                <w:lang w:val="en-GB"/>
              </w:rPr>
              <w:fldChar w:fldCharType="begin"/>
            </w:r>
            <w:r>
              <w:rPr>
                <w:rFonts w:ascii="Arial Narrow" w:hAnsi="Arial Narrow"/>
                <w:sz w:val="18"/>
                <w:szCs w:val="18"/>
                <w:lang w:val="en-GB"/>
              </w:rPr>
              <w:instrText xml:space="preserve"> ADDIN EN.CITE &lt;EndNote&gt;&lt;Cite&gt;&lt;Author&gt;Chassin&lt;/Author&gt;&lt;Year&gt;1986&lt;/Year&gt;&lt;RecNum&gt;5378&lt;/RecNum&gt;&lt;DisplayText&gt;[338]&lt;/DisplayText&gt;&lt;record&gt;&lt;rec-number&gt;5378&lt;/rec-number&gt;&lt;foreign-keys&gt;&lt;key app="EN" db-id="s5zvps5w4vd0rjevval59tpffwsfx2wptstf" timestamp="1470333582"&gt;5378&lt;/key&gt;&lt;/foreign-keys&gt;&lt;ref-type name="Journal Article"&gt;17&lt;/ref-type&gt;&lt;contributors&gt;&lt;authors&gt;&lt;author&gt;Chassin, Mark R&lt;/author&gt;&lt;author&gt;McCue, Sally M&lt;/author&gt;&lt;/authors&gt;&lt;/contributors&gt;&lt;titles&gt;&lt;title&gt;A randomized trial of medical quality assurance: improving physicians&amp;apos; use of pelvimetry&lt;/title&gt;&lt;secondary-title&gt;Jama&lt;/secondary-title&gt;&lt;/titles&gt;&lt;periodical&gt;&lt;full-title&gt;Jama&lt;/full-title&gt;&lt;/periodical&gt;&lt;pages&gt;1012-1016&lt;/pages&gt;&lt;volume&gt;256&lt;/volume&gt;&lt;number&gt;8&lt;/number&gt;&lt;dates&gt;&lt;year&gt;1986&lt;/year&gt;&lt;/dates&gt;&lt;isbn&gt;0098-7484&lt;/isbn&gt;&lt;urls&gt;&lt;/urls&gt;&lt;/record&gt;&lt;/Cite&gt;&lt;/EndNote&gt;</w:instrText>
            </w:r>
            <w:r w:rsidRPr="003E6B1E">
              <w:rPr>
                <w:rFonts w:ascii="Arial Narrow" w:hAnsi="Arial Narrow"/>
                <w:sz w:val="18"/>
                <w:szCs w:val="18"/>
                <w:lang w:val="en-GB"/>
              </w:rPr>
              <w:fldChar w:fldCharType="end"/>
            </w:r>
          </w:p>
        </w:tc>
        <w:tc>
          <w:tcPr>
            <w:tcW w:w="802" w:type="dxa"/>
            <w:tcBorders>
              <w:top w:val="nil"/>
              <w:left w:val="nil"/>
              <w:bottom w:val="single" w:sz="4" w:space="0" w:color="auto"/>
              <w:right w:val="nil"/>
            </w:tcBorders>
            <w:shd w:val="clear" w:color="auto" w:fill="auto"/>
            <w:vAlign w:val="center"/>
            <w:hideMark/>
          </w:tcPr>
          <w:p w14:paraId="55EDA20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186E87E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636108E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w:t>
            </w:r>
            <w:r>
              <w:rPr>
                <w:rFonts w:ascii="Arial Narrow" w:hAnsi="Arial Narrow"/>
                <w:sz w:val="18"/>
                <w:szCs w:val="18"/>
                <w:lang w:val="en-GB"/>
              </w:rPr>
              <w:t>e</w:t>
            </w:r>
            <w:r w:rsidRPr="003E6B1E">
              <w:rPr>
                <w:rFonts w:ascii="Arial Narrow" w:hAnsi="Arial Narrow"/>
                <w:sz w:val="18"/>
                <w:szCs w:val="18"/>
                <w:lang w:val="en-GB"/>
              </w:rPr>
              <w:t xml:space="preserve"> inappropriate use of </w:t>
            </w:r>
            <w:r>
              <w:rPr>
                <w:rFonts w:ascii="Arial Narrow" w:hAnsi="Arial Narrow"/>
                <w:sz w:val="18"/>
                <w:szCs w:val="18"/>
                <w:lang w:val="en-GB"/>
              </w:rPr>
              <w:t>X-ray</w:t>
            </w:r>
            <w:r w:rsidRPr="003E6B1E">
              <w:rPr>
                <w:rFonts w:ascii="Arial Narrow" w:hAnsi="Arial Narrow"/>
                <w:sz w:val="18"/>
                <w:szCs w:val="18"/>
                <w:lang w:val="en-GB"/>
              </w:rPr>
              <w:t xml:space="preserve"> pelvimetry</w:t>
            </w:r>
          </w:p>
        </w:tc>
        <w:tc>
          <w:tcPr>
            <w:tcW w:w="4364" w:type="dxa"/>
            <w:tcBorders>
              <w:top w:val="nil"/>
              <w:left w:val="nil"/>
              <w:bottom w:val="single" w:sz="4" w:space="0" w:color="auto"/>
              <w:right w:val="nil"/>
            </w:tcBorders>
            <w:shd w:val="clear" w:color="auto" w:fill="auto"/>
            <w:vAlign w:val="center"/>
            <w:hideMark/>
          </w:tcPr>
          <w:p w14:paraId="1C9E76A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Rate of pelvimetry</w:t>
            </w:r>
          </w:p>
        </w:tc>
        <w:tc>
          <w:tcPr>
            <w:tcW w:w="3209" w:type="dxa"/>
            <w:tcBorders>
              <w:top w:val="nil"/>
              <w:left w:val="nil"/>
              <w:bottom w:val="single" w:sz="4" w:space="0" w:color="auto"/>
              <w:right w:val="nil"/>
            </w:tcBorders>
            <w:shd w:val="clear" w:color="auto" w:fill="auto"/>
            <w:vAlign w:val="center"/>
            <w:hideMark/>
          </w:tcPr>
          <w:p w14:paraId="063AD97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1483 physicians at 120 hospitals in six states.</w:t>
            </w:r>
          </w:p>
        </w:tc>
        <w:tc>
          <w:tcPr>
            <w:tcW w:w="709" w:type="dxa"/>
            <w:tcBorders>
              <w:top w:val="nil"/>
              <w:left w:val="nil"/>
              <w:bottom w:val="single" w:sz="4" w:space="0" w:color="auto"/>
              <w:right w:val="nil"/>
            </w:tcBorders>
            <w:shd w:val="clear" w:color="auto" w:fill="auto"/>
            <w:vAlign w:val="center"/>
            <w:hideMark/>
          </w:tcPr>
          <w:p w14:paraId="589D0395"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5B04A31" w14:textId="77777777" w:rsidTr="008819CF">
        <w:trPr>
          <w:trHeight w:val="422"/>
        </w:trPr>
        <w:tc>
          <w:tcPr>
            <w:tcW w:w="1524" w:type="dxa"/>
            <w:tcBorders>
              <w:top w:val="nil"/>
              <w:left w:val="nil"/>
              <w:bottom w:val="single" w:sz="4" w:space="0" w:color="auto"/>
              <w:right w:val="nil"/>
            </w:tcBorders>
            <w:shd w:val="clear" w:color="auto" w:fill="auto"/>
            <w:vAlign w:val="center"/>
            <w:hideMark/>
          </w:tcPr>
          <w:p w14:paraId="6C5F01A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Christ-Crain 2004</w:t>
            </w:r>
            <w:r w:rsidRPr="003E6B1E">
              <w:rPr>
                <w:rFonts w:ascii="Arial Narrow" w:hAnsi="Arial Narrow"/>
                <w:sz w:val="18"/>
                <w:szCs w:val="18"/>
                <w:lang w:val="en-GB"/>
              </w:rPr>
              <w:fldChar w:fldCharType="begin"/>
            </w:r>
            <w:r>
              <w:rPr>
                <w:rFonts w:ascii="Arial Narrow" w:hAnsi="Arial Narrow"/>
                <w:sz w:val="18"/>
                <w:szCs w:val="18"/>
                <w:lang w:val="en-GB"/>
              </w:rPr>
              <w:instrText xml:space="preserve"> ADDIN EN.CITE &lt;EndNote&gt;&lt;Cite&gt;&lt;Author&gt;Christ-Crain&lt;/Author&gt;&lt;Year&gt;2004&lt;/Year&gt;&lt;RecNum&gt;5299&lt;/RecNum&gt;&lt;DisplayText&gt;[339]&lt;/DisplayText&gt;&lt;record&gt;&lt;rec-number&gt;5299&lt;/rec-number&gt;&lt;foreign-keys&gt;&lt;key app="EN" db-id="s5zvps5w4vd0rjevval59tpffwsfx2wptstf" timestamp="1470254822"&gt;5299&lt;/key&gt;&lt;/foreign-keys&gt;&lt;ref-type name="Journal Article"&gt;17&lt;/ref-type&gt;&lt;contributors&gt;&lt;authors&gt;&lt;author&gt;Christ-Crain, Mirjam&lt;/author&gt;&lt;author&gt;Jaccard-Stolz, Daiana&lt;/author&gt;&lt;author&gt;Bingisser, Roland&lt;/author&gt;&lt;author&gt;Gencay, Mikael M&lt;/author&gt;&lt;author&gt;Huber, Peter R&lt;/author&gt;&lt;author&gt;Tamm, Michael&lt;/author&gt;&lt;author&gt;Muller, Beat&lt;/author&gt;&lt;/authors&gt;&lt;/contributors&gt;&lt;titles&gt;&lt;title&gt;Effect of procalcitonin-guided treatment on antibiotic use and outcome in lower respiratory tract infections: cluster-randomised, single-blinded intervention trial&lt;/title&gt;&lt;secondary-title&gt;Lancet&lt;/secondary-title&gt;&lt;/titles&gt;&lt;periodical&gt;&lt;full-title&gt;Lancet&lt;/full-title&gt;&lt;/periodical&gt;&lt;pages&gt;600-607&lt;/pages&gt;&lt;volume&gt;363&lt;/volume&gt;&lt;number&gt;9409&lt;/number&gt;&lt;dates&gt;&lt;year&gt;2004&lt;/year&gt;&lt;/dates&gt;&lt;isbn&gt;0140-6736&lt;/isbn&gt;&lt;urls&gt;&lt;/urls&gt;&lt;/record&gt;&lt;/Cite&gt;&lt;/EndNote&gt;</w:instrText>
            </w:r>
            <w:r w:rsidRPr="003E6B1E">
              <w:rPr>
                <w:rFonts w:ascii="Arial Narrow" w:hAnsi="Arial Narrow"/>
                <w:sz w:val="18"/>
                <w:szCs w:val="18"/>
                <w:lang w:val="en-GB"/>
              </w:rPr>
              <w:fldChar w:fldCharType="end"/>
            </w:r>
          </w:p>
        </w:tc>
        <w:tc>
          <w:tcPr>
            <w:tcW w:w="802" w:type="dxa"/>
            <w:tcBorders>
              <w:top w:val="nil"/>
              <w:left w:val="nil"/>
              <w:bottom w:val="single" w:sz="4" w:space="0" w:color="auto"/>
              <w:right w:val="nil"/>
            </w:tcBorders>
            <w:shd w:val="clear" w:color="auto" w:fill="auto"/>
            <w:vAlign w:val="center"/>
            <w:hideMark/>
          </w:tcPr>
          <w:p w14:paraId="13CFE1A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29117AB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E9CD82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antibiotic use in lower respiratory tract infections</w:t>
            </w:r>
          </w:p>
        </w:tc>
        <w:tc>
          <w:tcPr>
            <w:tcW w:w="4364" w:type="dxa"/>
            <w:tcBorders>
              <w:top w:val="nil"/>
              <w:left w:val="nil"/>
              <w:bottom w:val="single" w:sz="4" w:space="0" w:color="auto"/>
              <w:right w:val="nil"/>
            </w:tcBorders>
            <w:shd w:val="clear" w:color="auto" w:fill="auto"/>
            <w:vAlign w:val="center"/>
            <w:hideMark/>
          </w:tcPr>
          <w:p w14:paraId="021C3F3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of antibiotics</w:t>
            </w:r>
          </w:p>
        </w:tc>
        <w:tc>
          <w:tcPr>
            <w:tcW w:w="3209" w:type="dxa"/>
            <w:tcBorders>
              <w:top w:val="nil"/>
              <w:left w:val="nil"/>
              <w:bottom w:val="single" w:sz="4" w:space="0" w:color="auto"/>
              <w:right w:val="nil"/>
            </w:tcBorders>
            <w:shd w:val="clear" w:color="auto" w:fill="auto"/>
            <w:vAlign w:val="center"/>
            <w:hideMark/>
          </w:tcPr>
          <w:p w14:paraId="10B0B5B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w:t>
            </w:r>
          </w:p>
        </w:tc>
        <w:tc>
          <w:tcPr>
            <w:tcW w:w="709" w:type="dxa"/>
            <w:tcBorders>
              <w:top w:val="nil"/>
              <w:left w:val="nil"/>
              <w:bottom w:val="single" w:sz="4" w:space="0" w:color="auto"/>
              <w:right w:val="nil"/>
            </w:tcBorders>
            <w:shd w:val="clear" w:color="auto" w:fill="auto"/>
            <w:vAlign w:val="center"/>
            <w:hideMark/>
          </w:tcPr>
          <w:p w14:paraId="00F8D92D"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D907C55" w14:textId="77777777" w:rsidTr="008819CF">
        <w:trPr>
          <w:trHeight w:val="427"/>
        </w:trPr>
        <w:tc>
          <w:tcPr>
            <w:tcW w:w="1524" w:type="dxa"/>
            <w:tcBorders>
              <w:top w:val="nil"/>
              <w:left w:val="nil"/>
              <w:bottom w:val="single" w:sz="4" w:space="0" w:color="auto"/>
              <w:right w:val="nil"/>
            </w:tcBorders>
            <w:shd w:val="clear" w:color="auto" w:fill="auto"/>
            <w:vAlign w:val="center"/>
            <w:hideMark/>
          </w:tcPr>
          <w:p w14:paraId="371B388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Christ-Crain 2006</w:t>
            </w:r>
            <w:r w:rsidRPr="003E6B1E">
              <w:rPr>
                <w:rFonts w:ascii="Arial Narrow" w:hAnsi="Arial Narrow"/>
                <w:sz w:val="18"/>
                <w:szCs w:val="18"/>
                <w:lang w:val="en-GB"/>
              </w:rPr>
              <w:fldChar w:fldCharType="begin"/>
            </w:r>
            <w:r>
              <w:rPr>
                <w:rFonts w:ascii="Arial Narrow" w:hAnsi="Arial Narrow"/>
                <w:sz w:val="18"/>
                <w:szCs w:val="18"/>
                <w:lang w:val="en-GB"/>
              </w:rPr>
              <w:instrText xml:space="preserve"> ADDIN EN.CITE &lt;EndNote&gt;&lt;Cite&gt;&lt;Author&gt;Christ-Crain&lt;/Author&gt;&lt;Year&gt;2006&lt;/Year&gt;&lt;RecNum&gt;5300&lt;/RecNum&gt;&lt;DisplayText&gt;[340]&lt;/DisplayText&gt;&lt;record&gt;&lt;rec-number&gt;5300&lt;/rec-number&gt;&lt;foreign-keys&gt;&lt;key app="EN" db-id="s5zvps5w4vd0rjevval59tpffwsfx2wptstf" timestamp="1470254851"&gt;5300&lt;/key&gt;&lt;/foreign-keys&gt;&lt;ref-type name="Journal Article"&gt;17&lt;/ref-type&gt;&lt;contributors&gt;&lt;authors&gt;&lt;author&gt;Christ-Crain, Mirjam&lt;/author&gt;&lt;author&gt;Stolz, Daiana&lt;/author&gt;&lt;author&gt;Bingisser, Roland&lt;/author&gt;&lt;author&gt;Muller, Christian&lt;/author&gt;&lt;author&gt;Miedinger, David&lt;/author&gt;&lt;author&gt;Huber, Peter R&lt;/author&gt;&lt;author&gt;Zimmerli, Werner&lt;/author&gt;&lt;author&gt;Harbarth, Stephan&lt;/author&gt;&lt;author&gt;Tamm, Michael&lt;/author&gt;&lt;author&gt;Muller, Beat&lt;/author&gt;&lt;/authors&gt;&lt;/contributors&gt;&lt;titles&gt;&lt;title&gt;Procalcitonin guidance of antibiotic therapy in community-acquired pneumonia: a randomized trial&lt;/title&gt;&lt;secondary-title&gt;American journal of respiratory and critical care medicine&lt;/secondary-title&gt;&lt;/titles&gt;&lt;periodical&gt;&lt;full-title&gt;American journal of respiratory and critical care medicine&lt;/full-title&gt;&lt;/periodical&gt;&lt;pages&gt;84-93&lt;/pages&gt;&lt;volume&gt;174&lt;/volume&gt;&lt;number&gt;1&lt;/number&gt;&lt;dates&gt;&lt;year&gt;2006&lt;/year&gt;&lt;/dates&gt;&lt;isbn&gt;1073-449X&lt;/isbn&gt;&lt;urls&gt;&lt;/urls&gt;&lt;/record&gt;&lt;/Cite&gt;&lt;/EndNote&gt;</w:instrText>
            </w:r>
            <w:r w:rsidRPr="003E6B1E">
              <w:rPr>
                <w:rFonts w:ascii="Arial Narrow" w:hAnsi="Arial Narrow"/>
                <w:sz w:val="18"/>
                <w:szCs w:val="18"/>
                <w:lang w:val="en-GB"/>
              </w:rPr>
              <w:fldChar w:fldCharType="end"/>
            </w:r>
          </w:p>
        </w:tc>
        <w:tc>
          <w:tcPr>
            <w:tcW w:w="802" w:type="dxa"/>
            <w:tcBorders>
              <w:top w:val="nil"/>
              <w:left w:val="nil"/>
              <w:bottom w:val="single" w:sz="4" w:space="0" w:color="auto"/>
              <w:right w:val="nil"/>
            </w:tcBorders>
            <w:shd w:val="clear" w:color="auto" w:fill="auto"/>
            <w:vAlign w:val="center"/>
            <w:hideMark/>
          </w:tcPr>
          <w:p w14:paraId="2A53981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63FE5B0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 xml:space="preserve">Decrease </w:t>
            </w:r>
          </w:p>
        </w:tc>
        <w:tc>
          <w:tcPr>
            <w:tcW w:w="2524" w:type="dxa"/>
            <w:tcBorders>
              <w:top w:val="nil"/>
              <w:left w:val="nil"/>
              <w:bottom w:val="single" w:sz="4" w:space="0" w:color="auto"/>
              <w:right w:val="nil"/>
            </w:tcBorders>
            <w:shd w:val="clear" w:color="auto" w:fill="auto"/>
            <w:vAlign w:val="center"/>
            <w:hideMark/>
          </w:tcPr>
          <w:p w14:paraId="2FF82AD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antibiotic use in community-acquired pneumonia.</w:t>
            </w:r>
          </w:p>
        </w:tc>
        <w:tc>
          <w:tcPr>
            <w:tcW w:w="4364" w:type="dxa"/>
            <w:tcBorders>
              <w:top w:val="nil"/>
              <w:left w:val="nil"/>
              <w:bottom w:val="single" w:sz="4" w:space="0" w:color="auto"/>
              <w:right w:val="nil"/>
            </w:tcBorders>
            <w:shd w:val="clear" w:color="auto" w:fill="auto"/>
            <w:vAlign w:val="center"/>
            <w:hideMark/>
          </w:tcPr>
          <w:p w14:paraId="5E902C28" w14:textId="77777777"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T</w:t>
            </w:r>
            <w:r w:rsidRPr="003E6B1E">
              <w:rPr>
                <w:rFonts w:ascii="Arial Narrow" w:hAnsi="Arial Narrow"/>
                <w:sz w:val="18"/>
                <w:szCs w:val="18"/>
                <w:lang w:val="en-GB"/>
              </w:rPr>
              <w:t>otal antibiotic use (i.e., antibiotic prescription [percentage]</w:t>
            </w:r>
          </w:p>
        </w:tc>
        <w:tc>
          <w:tcPr>
            <w:tcW w:w="3209" w:type="dxa"/>
            <w:tcBorders>
              <w:top w:val="nil"/>
              <w:left w:val="nil"/>
              <w:bottom w:val="single" w:sz="4" w:space="0" w:color="auto"/>
              <w:right w:val="nil"/>
            </w:tcBorders>
            <w:shd w:val="clear" w:color="auto" w:fill="auto"/>
            <w:vAlign w:val="center"/>
            <w:hideMark/>
          </w:tcPr>
          <w:p w14:paraId="5BFAE14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w:t>
            </w:r>
          </w:p>
        </w:tc>
        <w:tc>
          <w:tcPr>
            <w:tcW w:w="709" w:type="dxa"/>
            <w:tcBorders>
              <w:top w:val="nil"/>
              <w:left w:val="nil"/>
              <w:bottom w:val="single" w:sz="4" w:space="0" w:color="auto"/>
              <w:right w:val="nil"/>
            </w:tcBorders>
            <w:shd w:val="clear" w:color="auto" w:fill="auto"/>
            <w:vAlign w:val="center"/>
            <w:hideMark/>
          </w:tcPr>
          <w:p w14:paraId="21BF93A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7849227C" w14:textId="77777777" w:rsidTr="008819CF">
        <w:trPr>
          <w:trHeight w:val="351"/>
        </w:trPr>
        <w:tc>
          <w:tcPr>
            <w:tcW w:w="1524" w:type="dxa"/>
            <w:tcBorders>
              <w:top w:val="nil"/>
              <w:left w:val="nil"/>
              <w:bottom w:val="single" w:sz="4" w:space="0" w:color="auto"/>
              <w:right w:val="nil"/>
            </w:tcBorders>
            <w:shd w:val="clear" w:color="auto" w:fill="auto"/>
            <w:vAlign w:val="center"/>
            <w:hideMark/>
          </w:tcPr>
          <w:p w14:paraId="3AFE9CB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Chu 2003</w:t>
            </w:r>
          </w:p>
          <w:p w14:paraId="54CF48DC" w14:textId="77777777" w:rsidR="0098086A" w:rsidRPr="003E6B1E" w:rsidRDefault="0098086A" w:rsidP="00EF107A">
            <w:pPr>
              <w:spacing w:line="240" w:lineRule="auto"/>
              <w:rPr>
                <w:rFonts w:ascii="Arial Narrow" w:hAnsi="Arial Narrow"/>
                <w:sz w:val="18"/>
                <w:szCs w:val="18"/>
                <w:lang w:val="en-GB"/>
              </w:rPr>
            </w:pPr>
          </w:p>
        </w:tc>
        <w:tc>
          <w:tcPr>
            <w:tcW w:w="802" w:type="dxa"/>
            <w:tcBorders>
              <w:top w:val="nil"/>
              <w:left w:val="nil"/>
              <w:bottom w:val="single" w:sz="4" w:space="0" w:color="auto"/>
              <w:right w:val="nil"/>
            </w:tcBorders>
            <w:shd w:val="clear" w:color="auto" w:fill="auto"/>
            <w:vAlign w:val="center"/>
            <w:hideMark/>
          </w:tcPr>
          <w:p w14:paraId="2F2B101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221518F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E6BE16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the management of pneumonia</w:t>
            </w:r>
          </w:p>
        </w:tc>
        <w:tc>
          <w:tcPr>
            <w:tcW w:w="4364" w:type="dxa"/>
            <w:tcBorders>
              <w:top w:val="nil"/>
              <w:left w:val="nil"/>
              <w:bottom w:val="single" w:sz="4" w:space="0" w:color="auto"/>
              <w:right w:val="nil"/>
            </w:tcBorders>
            <w:shd w:val="clear" w:color="auto" w:fill="auto"/>
            <w:vAlign w:val="center"/>
            <w:hideMark/>
          </w:tcPr>
          <w:p w14:paraId="2BB2D0D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of antibiotics</w:t>
            </w:r>
          </w:p>
        </w:tc>
        <w:tc>
          <w:tcPr>
            <w:tcW w:w="3209" w:type="dxa"/>
            <w:tcBorders>
              <w:top w:val="nil"/>
              <w:left w:val="nil"/>
              <w:bottom w:val="single" w:sz="4" w:space="0" w:color="auto"/>
              <w:right w:val="nil"/>
            </w:tcBorders>
            <w:shd w:val="clear" w:color="auto" w:fill="auto"/>
            <w:vAlign w:val="center"/>
            <w:hideMark/>
          </w:tcPr>
          <w:p w14:paraId="06025FD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w:t>
            </w:r>
          </w:p>
        </w:tc>
        <w:tc>
          <w:tcPr>
            <w:tcW w:w="709" w:type="dxa"/>
            <w:tcBorders>
              <w:top w:val="nil"/>
              <w:left w:val="nil"/>
              <w:bottom w:val="single" w:sz="4" w:space="0" w:color="auto"/>
              <w:right w:val="nil"/>
            </w:tcBorders>
            <w:shd w:val="clear" w:color="auto" w:fill="auto"/>
            <w:vAlign w:val="center"/>
            <w:hideMark/>
          </w:tcPr>
          <w:p w14:paraId="1E6A8A5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CBA</w:t>
            </w:r>
          </w:p>
        </w:tc>
      </w:tr>
      <w:tr w:rsidR="0098086A" w:rsidRPr="003E6B1E" w14:paraId="1449FE3F" w14:textId="77777777" w:rsidTr="008819CF">
        <w:trPr>
          <w:trHeight w:val="356"/>
        </w:trPr>
        <w:tc>
          <w:tcPr>
            <w:tcW w:w="1524" w:type="dxa"/>
            <w:tcBorders>
              <w:top w:val="nil"/>
              <w:left w:val="nil"/>
              <w:bottom w:val="single" w:sz="4" w:space="0" w:color="auto"/>
              <w:right w:val="nil"/>
            </w:tcBorders>
            <w:shd w:val="clear" w:color="auto" w:fill="auto"/>
            <w:vAlign w:val="center"/>
            <w:hideMark/>
          </w:tcPr>
          <w:p w14:paraId="28BCDFD1"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Climo</w:t>
            </w:r>
            <w:proofErr w:type="spellEnd"/>
            <w:r w:rsidRPr="003E6B1E">
              <w:rPr>
                <w:rFonts w:ascii="Arial Narrow" w:hAnsi="Arial Narrow"/>
                <w:sz w:val="18"/>
                <w:szCs w:val="18"/>
                <w:lang w:val="en-GB"/>
              </w:rPr>
              <w:t xml:space="preserve"> 1998</w:t>
            </w:r>
          </w:p>
        </w:tc>
        <w:tc>
          <w:tcPr>
            <w:tcW w:w="802" w:type="dxa"/>
            <w:tcBorders>
              <w:top w:val="nil"/>
              <w:left w:val="nil"/>
              <w:bottom w:val="single" w:sz="4" w:space="0" w:color="auto"/>
              <w:right w:val="nil"/>
            </w:tcBorders>
            <w:shd w:val="clear" w:color="auto" w:fill="auto"/>
            <w:vAlign w:val="center"/>
            <w:hideMark/>
          </w:tcPr>
          <w:p w14:paraId="70E316A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52E8508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565C7F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w:t>
            </w:r>
            <w:r>
              <w:rPr>
                <w:rFonts w:ascii="Arial Narrow" w:hAnsi="Arial Narrow"/>
                <w:sz w:val="18"/>
                <w:szCs w:val="18"/>
                <w:lang w:val="en-GB"/>
              </w:rPr>
              <w:t>e</w:t>
            </w:r>
            <w:r w:rsidRPr="003E6B1E">
              <w:rPr>
                <w:rFonts w:ascii="Arial Narrow" w:hAnsi="Arial Narrow"/>
                <w:sz w:val="18"/>
                <w:szCs w:val="18"/>
                <w:lang w:val="en-GB"/>
              </w:rPr>
              <w:t xml:space="preserve"> the use of clindamycin</w:t>
            </w:r>
          </w:p>
        </w:tc>
        <w:tc>
          <w:tcPr>
            <w:tcW w:w="4364" w:type="dxa"/>
            <w:tcBorders>
              <w:top w:val="nil"/>
              <w:left w:val="nil"/>
              <w:bottom w:val="single" w:sz="4" w:space="0" w:color="auto"/>
              <w:right w:val="nil"/>
            </w:tcBorders>
            <w:shd w:val="clear" w:color="auto" w:fill="auto"/>
            <w:vAlign w:val="center"/>
            <w:hideMark/>
          </w:tcPr>
          <w:p w14:paraId="1CB5642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of antibiotics</w:t>
            </w:r>
          </w:p>
        </w:tc>
        <w:tc>
          <w:tcPr>
            <w:tcW w:w="3209" w:type="dxa"/>
            <w:tcBorders>
              <w:top w:val="nil"/>
              <w:left w:val="nil"/>
              <w:bottom w:val="single" w:sz="4" w:space="0" w:color="auto"/>
              <w:right w:val="nil"/>
            </w:tcBorders>
            <w:shd w:val="clear" w:color="auto" w:fill="auto"/>
            <w:vAlign w:val="center"/>
            <w:hideMark/>
          </w:tcPr>
          <w:p w14:paraId="75CF73E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w:t>
            </w:r>
          </w:p>
        </w:tc>
        <w:tc>
          <w:tcPr>
            <w:tcW w:w="709" w:type="dxa"/>
            <w:tcBorders>
              <w:top w:val="nil"/>
              <w:left w:val="nil"/>
              <w:bottom w:val="single" w:sz="4" w:space="0" w:color="auto"/>
              <w:right w:val="nil"/>
            </w:tcBorders>
            <w:shd w:val="clear" w:color="auto" w:fill="auto"/>
            <w:vAlign w:val="center"/>
            <w:hideMark/>
          </w:tcPr>
          <w:p w14:paraId="73BC27A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7B1C0EE8" w14:textId="77777777" w:rsidTr="008819CF">
        <w:trPr>
          <w:trHeight w:val="505"/>
        </w:trPr>
        <w:tc>
          <w:tcPr>
            <w:tcW w:w="1524" w:type="dxa"/>
            <w:tcBorders>
              <w:top w:val="nil"/>
              <w:left w:val="nil"/>
              <w:bottom w:val="single" w:sz="4" w:space="0" w:color="auto"/>
              <w:right w:val="nil"/>
            </w:tcBorders>
            <w:shd w:val="clear" w:color="auto" w:fill="auto"/>
            <w:vAlign w:val="center"/>
            <w:hideMark/>
          </w:tcPr>
          <w:p w14:paraId="75AB82F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Cline 2007</w:t>
            </w:r>
          </w:p>
        </w:tc>
        <w:tc>
          <w:tcPr>
            <w:tcW w:w="802" w:type="dxa"/>
            <w:tcBorders>
              <w:top w:val="nil"/>
              <w:left w:val="nil"/>
              <w:bottom w:val="single" w:sz="4" w:space="0" w:color="auto"/>
              <w:right w:val="nil"/>
            </w:tcBorders>
            <w:shd w:val="clear" w:color="auto" w:fill="auto"/>
            <w:vAlign w:val="center"/>
            <w:hideMark/>
          </w:tcPr>
          <w:p w14:paraId="4FCB190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3D8C652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4E1279A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 Increase </w:t>
            </w:r>
            <w:r>
              <w:rPr>
                <w:rFonts w:ascii="Arial Narrow" w:hAnsi="Arial Narrow"/>
                <w:sz w:val="18"/>
                <w:szCs w:val="18"/>
                <w:lang w:val="en-GB"/>
              </w:rPr>
              <w:t>r</w:t>
            </w:r>
            <w:r w:rsidRPr="003E6B1E">
              <w:rPr>
                <w:rFonts w:ascii="Arial Narrow" w:hAnsi="Arial Narrow"/>
                <w:sz w:val="18"/>
                <w:szCs w:val="18"/>
                <w:lang w:val="en-GB"/>
              </w:rPr>
              <w:t>eferral rates</w:t>
            </w:r>
          </w:p>
        </w:tc>
        <w:tc>
          <w:tcPr>
            <w:tcW w:w="4364" w:type="dxa"/>
            <w:tcBorders>
              <w:top w:val="nil"/>
              <w:left w:val="nil"/>
              <w:bottom w:val="single" w:sz="4" w:space="0" w:color="auto"/>
              <w:right w:val="nil"/>
            </w:tcBorders>
            <w:shd w:val="clear" w:color="auto" w:fill="auto"/>
            <w:vAlign w:val="center"/>
            <w:hideMark/>
          </w:tcPr>
          <w:p w14:paraId="35D2547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Hypertension specific referrals in discharge documentation for patients seen after an episode of hypertension, defined as a presenting blood pressure of 160/100 mm Hg or higher</w:t>
            </w:r>
          </w:p>
        </w:tc>
        <w:tc>
          <w:tcPr>
            <w:tcW w:w="3209" w:type="dxa"/>
            <w:tcBorders>
              <w:top w:val="nil"/>
              <w:left w:val="nil"/>
              <w:bottom w:val="single" w:sz="4" w:space="0" w:color="auto"/>
              <w:right w:val="nil"/>
            </w:tcBorders>
            <w:shd w:val="clear" w:color="auto" w:fill="auto"/>
            <w:vAlign w:val="center"/>
            <w:hideMark/>
          </w:tcPr>
          <w:p w14:paraId="60FE12D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ER Physicians</w:t>
            </w:r>
          </w:p>
        </w:tc>
        <w:tc>
          <w:tcPr>
            <w:tcW w:w="709" w:type="dxa"/>
            <w:tcBorders>
              <w:top w:val="nil"/>
              <w:left w:val="nil"/>
              <w:bottom w:val="single" w:sz="4" w:space="0" w:color="auto"/>
              <w:right w:val="nil"/>
            </w:tcBorders>
            <w:shd w:val="clear" w:color="auto" w:fill="auto"/>
            <w:vAlign w:val="center"/>
            <w:hideMark/>
          </w:tcPr>
          <w:p w14:paraId="3734AEA0"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7E25DA7" w14:textId="77777777" w:rsidTr="008819CF">
        <w:trPr>
          <w:trHeight w:val="301"/>
        </w:trPr>
        <w:tc>
          <w:tcPr>
            <w:tcW w:w="1524" w:type="dxa"/>
            <w:tcBorders>
              <w:top w:val="nil"/>
              <w:left w:val="nil"/>
              <w:bottom w:val="single" w:sz="4" w:space="0" w:color="auto"/>
              <w:right w:val="nil"/>
            </w:tcBorders>
            <w:shd w:val="clear" w:color="auto" w:fill="auto"/>
            <w:vAlign w:val="center"/>
            <w:hideMark/>
          </w:tcPr>
          <w:p w14:paraId="7E74D1D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Cohen 1982</w:t>
            </w:r>
          </w:p>
        </w:tc>
        <w:tc>
          <w:tcPr>
            <w:tcW w:w="802" w:type="dxa"/>
            <w:tcBorders>
              <w:top w:val="nil"/>
              <w:left w:val="nil"/>
              <w:bottom w:val="single" w:sz="4" w:space="0" w:color="auto"/>
              <w:right w:val="nil"/>
            </w:tcBorders>
            <w:shd w:val="clear" w:color="auto" w:fill="auto"/>
            <w:vAlign w:val="center"/>
            <w:hideMark/>
          </w:tcPr>
          <w:p w14:paraId="62A4079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49C412E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215389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physician test usage</w:t>
            </w:r>
          </w:p>
        </w:tc>
        <w:tc>
          <w:tcPr>
            <w:tcW w:w="4364" w:type="dxa"/>
            <w:tcBorders>
              <w:top w:val="nil"/>
              <w:left w:val="nil"/>
              <w:bottom w:val="single" w:sz="4" w:space="0" w:color="auto"/>
              <w:right w:val="nil"/>
            </w:tcBorders>
            <w:shd w:val="clear" w:color="auto" w:fill="auto"/>
            <w:vAlign w:val="center"/>
            <w:hideMark/>
          </w:tcPr>
          <w:p w14:paraId="03283C6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Tests usage </w:t>
            </w:r>
            <w:r>
              <w:rPr>
                <w:rFonts w:ascii="Arial Narrow" w:hAnsi="Arial Narrow"/>
                <w:sz w:val="18"/>
                <w:szCs w:val="18"/>
                <w:lang w:val="en-GB"/>
              </w:rPr>
              <w:t>X-ray</w:t>
            </w:r>
            <w:r w:rsidRPr="003E6B1E">
              <w:rPr>
                <w:rFonts w:ascii="Arial Narrow" w:hAnsi="Arial Narrow"/>
                <w:sz w:val="18"/>
                <w:szCs w:val="18"/>
                <w:lang w:val="en-GB"/>
              </w:rPr>
              <w:t xml:space="preserve"> and lab tests</w:t>
            </w:r>
          </w:p>
        </w:tc>
        <w:tc>
          <w:tcPr>
            <w:tcW w:w="3209" w:type="dxa"/>
            <w:tcBorders>
              <w:top w:val="nil"/>
              <w:left w:val="nil"/>
              <w:bottom w:val="single" w:sz="4" w:space="0" w:color="auto"/>
              <w:right w:val="nil"/>
            </w:tcBorders>
            <w:shd w:val="clear" w:color="auto" w:fill="auto"/>
            <w:vAlign w:val="center"/>
            <w:hideMark/>
          </w:tcPr>
          <w:p w14:paraId="39A18BC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hospital</w:t>
            </w:r>
          </w:p>
        </w:tc>
        <w:tc>
          <w:tcPr>
            <w:tcW w:w="709" w:type="dxa"/>
            <w:tcBorders>
              <w:top w:val="nil"/>
              <w:left w:val="nil"/>
              <w:bottom w:val="single" w:sz="4" w:space="0" w:color="auto"/>
              <w:right w:val="nil"/>
            </w:tcBorders>
            <w:shd w:val="clear" w:color="auto" w:fill="auto"/>
            <w:vAlign w:val="center"/>
            <w:hideMark/>
          </w:tcPr>
          <w:p w14:paraId="76C03C9E"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87E0323" w14:textId="77777777" w:rsidTr="008819CF">
        <w:trPr>
          <w:trHeight w:val="1354"/>
        </w:trPr>
        <w:tc>
          <w:tcPr>
            <w:tcW w:w="1524" w:type="dxa"/>
            <w:tcBorders>
              <w:top w:val="nil"/>
              <w:left w:val="nil"/>
              <w:bottom w:val="single" w:sz="4" w:space="0" w:color="auto"/>
              <w:right w:val="nil"/>
            </w:tcBorders>
            <w:shd w:val="clear" w:color="auto" w:fill="auto"/>
            <w:vAlign w:val="center"/>
            <w:hideMark/>
          </w:tcPr>
          <w:p w14:paraId="522FAB0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Curtis 2005 </w:t>
            </w:r>
          </w:p>
        </w:tc>
        <w:tc>
          <w:tcPr>
            <w:tcW w:w="802" w:type="dxa"/>
            <w:tcBorders>
              <w:top w:val="nil"/>
              <w:left w:val="nil"/>
              <w:bottom w:val="single" w:sz="4" w:space="0" w:color="auto"/>
              <w:right w:val="nil"/>
            </w:tcBorders>
            <w:shd w:val="clear" w:color="auto" w:fill="auto"/>
            <w:vAlign w:val="center"/>
            <w:hideMark/>
          </w:tcPr>
          <w:p w14:paraId="09C02F5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CE3E3C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3DA55F32" w14:textId="7EC8069D"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testing of CBC, Creatine, and use of cytoprotective agents.</w:t>
            </w:r>
          </w:p>
        </w:tc>
        <w:tc>
          <w:tcPr>
            <w:tcW w:w="4364" w:type="dxa"/>
            <w:tcBorders>
              <w:top w:val="nil"/>
              <w:left w:val="nil"/>
              <w:bottom w:val="single" w:sz="4" w:space="0" w:color="auto"/>
              <w:right w:val="nil"/>
            </w:tcBorders>
            <w:shd w:val="clear" w:color="auto" w:fill="auto"/>
            <w:vAlign w:val="center"/>
            <w:hideMark/>
          </w:tcPr>
          <w:p w14:paraId="0C41D33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The proportion patients with an increased risk for NSAID GI toxicity who had at least 1 CBC test performed); (2) the proportion of the physician’s patients with an increased risk for NSAID renal toxicity who had at least 1 creatinine test performed; and (3) the proportion of users of traditional NSAIDs with NSAID-related GI risk receiving a cytoprotective agent </w:t>
            </w:r>
          </w:p>
        </w:tc>
        <w:tc>
          <w:tcPr>
            <w:tcW w:w="3209" w:type="dxa"/>
            <w:tcBorders>
              <w:top w:val="nil"/>
              <w:left w:val="nil"/>
              <w:bottom w:val="single" w:sz="4" w:space="0" w:color="auto"/>
              <w:right w:val="nil"/>
            </w:tcBorders>
            <w:shd w:val="clear" w:color="auto" w:fill="auto"/>
            <w:vAlign w:val="center"/>
            <w:hideMark/>
          </w:tcPr>
          <w:p w14:paraId="5450947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 internists</w:t>
            </w:r>
          </w:p>
        </w:tc>
        <w:tc>
          <w:tcPr>
            <w:tcW w:w="709" w:type="dxa"/>
            <w:tcBorders>
              <w:top w:val="nil"/>
              <w:left w:val="nil"/>
              <w:bottom w:val="single" w:sz="4" w:space="0" w:color="auto"/>
              <w:right w:val="nil"/>
            </w:tcBorders>
            <w:shd w:val="clear" w:color="auto" w:fill="auto"/>
            <w:vAlign w:val="center"/>
            <w:hideMark/>
          </w:tcPr>
          <w:p w14:paraId="3D61B588"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715A633F" w14:textId="77777777" w:rsidTr="008819CF">
        <w:trPr>
          <w:trHeight w:val="699"/>
        </w:trPr>
        <w:tc>
          <w:tcPr>
            <w:tcW w:w="1524" w:type="dxa"/>
            <w:tcBorders>
              <w:top w:val="nil"/>
              <w:left w:val="nil"/>
              <w:bottom w:val="single" w:sz="4" w:space="0" w:color="auto"/>
              <w:right w:val="nil"/>
            </w:tcBorders>
            <w:shd w:val="clear" w:color="auto" w:fill="auto"/>
            <w:vAlign w:val="center"/>
            <w:hideMark/>
          </w:tcPr>
          <w:p w14:paraId="454B42A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Curtis 2007</w:t>
            </w:r>
          </w:p>
        </w:tc>
        <w:tc>
          <w:tcPr>
            <w:tcW w:w="802" w:type="dxa"/>
            <w:tcBorders>
              <w:top w:val="nil"/>
              <w:left w:val="nil"/>
              <w:bottom w:val="single" w:sz="4" w:space="0" w:color="auto"/>
              <w:right w:val="nil"/>
            </w:tcBorders>
            <w:shd w:val="clear" w:color="auto" w:fill="auto"/>
            <w:vAlign w:val="center"/>
            <w:hideMark/>
          </w:tcPr>
          <w:p w14:paraId="73492B4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w:t>
            </w:r>
            <w:r>
              <w:rPr>
                <w:rFonts w:ascii="Arial Narrow" w:hAnsi="Arial Narrow"/>
                <w:sz w:val="18"/>
                <w:szCs w:val="18"/>
                <w:lang w:val="en-GB"/>
              </w:rPr>
              <w:t>M</w:t>
            </w:r>
          </w:p>
        </w:tc>
        <w:tc>
          <w:tcPr>
            <w:tcW w:w="1051" w:type="dxa"/>
            <w:tcBorders>
              <w:top w:val="nil"/>
              <w:left w:val="nil"/>
              <w:bottom w:val="single" w:sz="4" w:space="0" w:color="auto"/>
              <w:right w:val="nil"/>
            </w:tcBorders>
            <w:shd w:val="clear" w:color="auto" w:fill="auto"/>
            <w:vAlign w:val="center"/>
            <w:hideMark/>
          </w:tcPr>
          <w:p w14:paraId="590E337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0D9FD15" w14:textId="15D40BD8"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In</w:t>
            </w:r>
            <w:r w:rsidRPr="003E6B1E">
              <w:rPr>
                <w:rFonts w:ascii="Arial Narrow" w:hAnsi="Arial Narrow"/>
                <w:sz w:val="18"/>
                <w:szCs w:val="18"/>
                <w:lang w:val="en-GB"/>
              </w:rPr>
              <w:t>crease osteoporosis medication prescription</w:t>
            </w:r>
          </w:p>
        </w:tc>
        <w:tc>
          <w:tcPr>
            <w:tcW w:w="4364" w:type="dxa"/>
            <w:tcBorders>
              <w:top w:val="nil"/>
              <w:left w:val="nil"/>
              <w:bottom w:val="single" w:sz="4" w:space="0" w:color="auto"/>
              <w:right w:val="nil"/>
            </w:tcBorders>
            <w:shd w:val="clear" w:color="auto" w:fill="auto"/>
            <w:vAlign w:val="center"/>
            <w:hideMark/>
          </w:tcPr>
          <w:p w14:paraId="15CECAB9" w14:textId="608F90A0"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P</w:t>
            </w:r>
            <w:r w:rsidRPr="003E6B1E">
              <w:rPr>
                <w:rFonts w:ascii="Arial Narrow" w:hAnsi="Arial Narrow"/>
                <w:sz w:val="18"/>
                <w:szCs w:val="18"/>
                <w:lang w:val="en-GB"/>
              </w:rPr>
              <w:t xml:space="preserve">roportion of the long-term glucocorticoid users of each physician in the 1-year following the intervention who received prescription osteoporosis medication </w:t>
            </w:r>
          </w:p>
        </w:tc>
        <w:tc>
          <w:tcPr>
            <w:tcW w:w="3209" w:type="dxa"/>
            <w:tcBorders>
              <w:top w:val="nil"/>
              <w:left w:val="nil"/>
              <w:bottom w:val="single" w:sz="4" w:space="0" w:color="auto"/>
              <w:right w:val="nil"/>
            </w:tcBorders>
            <w:shd w:val="clear" w:color="auto" w:fill="auto"/>
            <w:vAlign w:val="center"/>
            <w:hideMark/>
          </w:tcPr>
          <w:p w14:paraId="3943E89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treating long-term Glucocorticoid patients</w:t>
            </w:r>
          </w:p>
        </w:tc>
        <w:tc>
          <w:tcPr>
            <w:tcW w:w="709" w:type="dxa"/>
            <w:tcBorders>
              <w:top w:val="nil"/>
              <w:left w:val="nil"/>
              <w:bottom w:val="single" w:sz="4" w:space="0" w:color="auto"/>
              <w:right w:val="nil"/>
            </w:tcBorders>
            <w:shd w:val="clear" w:color="auto" w:fill="auto"/>
            <w:vAlign w:val="center"/>
            <w:hideMark/>
          </w:tcPr>
          <w:p w14:paraId="06652573"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BAEA32B" w14:textId="77777777" w:rsidTr="008819CF">
        <w:trPr>
          <w:trHeight w:val="699"/>
        </w:trPr>
        <w:tc>
          <w:tcPr>
            <w:tcW w:w="1524" w:type="dxa"/>
            <w:tcBorders>
              <w:top w:val="nil"/>
              <w:left w:val="nil"/>
              <w:bottom w:val="single" w:sz="4" w:space="0" w:color="auto"/>
              <w:right w:val="nil"/>
            </w:tcBorders>
            <w:shd w:val="clear" w:color="auto" w:fill="auto"/>
            <w:vAlign w:val="center"/>
            <w:hideMark/>
          </w:tcPr>
          <w:p w14:paraId="339E6A1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Curtis 2007</w:t>
            </w:r>
            <w:r>
              <w:rPr>
                <w:rFonts w:ascii="Arial Narrow" w:hAnsi="Arial Narrow"/>
                <w:sz w:val="18"/>
                <w:szCs w:val="18"/>
                <w:lang w:val="en-GB"/>
              </w:rPr>
              <w:t>a</w:t>
            </w:r>
          </w:p>
        </w:tc>
        <w:tc>
          <w:tcPr>
            <w:tcW w:w="802" w:type="dxa"/>
            <w:tcBorders>
              <w:top w:val="nil"/>
              <w:left w:val="nil"/>
              <w:bottom w:val="single" w:sz="4" w:space="0" w:color="auto"/>
              <w:right w:val="nil"/>
            </w:tcBorders>
            <w:shd w:val="clear" w:color="auto" w:fill="auto"/>
            <w:vAlign w:val="center"/>
            <w:hideMark/>
          </w:tcPr>
          <w:p w14:paraId="5F59A8A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DA92CB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2E25854F" w14:textId="0A68B6DA"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Increase bone mineral density (BMD) testing </w:t>
            </w:r>
          </w:p>
        </w:tc>
        <w:tc>
          <w:tcPr>
            <w:tcW w:w="4364" w:type="dxa"/>
            <w:tcBorders>
              <w:top w:val="nil"/>
              <w:left w:val="nil"/>
              <w:bottom w:val="single" w:sz="4" w:space="0" w:color="auto"/>
              <w:right w:val="nil"/>
            </w:tcBorders>
            <w:shd w:val="clear" w:color="auto" w:fill="auto"/>
            <w:vAlign w:val="center"/>
            <w:hideMark/>
          </w:tcPr>
          <w:p w14:paraId="7077E1D7" w14:textId="5AB2BB9B"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P</w:t>
            </w:r>
            <w:r w:rsidRPr="003E6B1E">
              <w:rPr>
                <w:rFonts w:ascii="Arial Narrow" w:hAnsi="Arial Narrow"/>
                <w:sz w:val="18"/>
                <w:szCs w:val="18"/>
                <w:lang w:val="en-GB"/>
              </w:rPr>
              <w:t xml:space="preserve">roportion of the long-term glucocorticoid users of each physician in the 1-year following the intervention who underwent BMD testing </w:t>
            </w:r>
          </w:p>
        </w:tc>
        <w:tc>
          <w:tcPr>
            <w:tcW w:w="3209" w:type="dxa"/>
            <w:tcBorders>
              <w:top w:val="nil"/>
              <w:left w:val="nil"/>
              <w:bottom w:val="single" w:sz="4" w:space="0" w:color="auto"/>
              <w:right w:val="nil"/>
            </w:tcBorders>
            <w:shd w:val="clear" w:color="auto" w:fill="auto"/>
            <w:vAlign w:val="center"/>
            <w:hideMark/>
          </w:tcPr>
          <w:p w14:paraId="421FF38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treating long-term Glucocorticoid patients</w:t>
            </w:r>
          </w:p>
        </w:tc>
        <w:tc>
          <w:tcPr>
            <w:tcW w:w="709" w:type="dxa"/>
            <w:tcBorders>
              <w:top w:val="nil"/>
              <w:left w:val="nil"/>
              <w:bottom w:val="single" w:sz="4" w:space="0" w:color="auto"/>
              <w:right w:val="nil"/>
            </w:tcBorders>
            <w:shd w:val="clear" w:color="auto" w:fill="auto"/>
            <w:vAlign w:val="center"/>
            <w:hideMark/>
          </w:tcPr>
          <w:p w14:paraId="13616D66"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3441769C" w14:textId="77777777" w:rsidTr="008819CF">
        <w:trPr>
          <w:trHeight w:val="417"/>
        </w:trPr>
        <w:tc>
          <w:tcPr>
            <w:tcW w:w="1524" w:type="dxa"/>
            <w:tcBorders>
              <w:top w:val="nil"/>
              <w:left w:val="nil"/>
              <w:bottom w:val="single" w:sz="4" w:space="0" w:color="auto"/>
              <w:right w:val="nil"/>
            </w:tcBorders>
            <w:shd w:val="clear" w:color="auto" w:fill="auto"/>
            <w:vAlign w:val="center"/>
            <w:hideMark/>
          </w:tcPr>
          <w:p w14:paraId="15B67C8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De Champs </w:t>
            </w:r>
            <w:r>
              <w:rPr>
                <w:rFonts w:ascii="Arial Narrow" w:hAnsi="Arial Narrow"/>
                <w:sz w:val="18"/>
                <w:szCs w:val="18"/>
                <w:lang w:val="en-GB"/>
              </w:rPr>
              <w:t>1</w:t>
            </w:r>
            <w:r w:rsidRPr="003E6B1E">
              <w:rPr>
                <w:rFonts w:ascii="Arial Narrow" w:hAnsi="Arial Narrow"/>
                <w:sz w:val="18"/>
                <w:szCs w:val="18"/>
                <w:lang w:val="en-GB"/>
              </w:rPr>
              <w:t>994</w:t>
            </w:r>
          </w:p>
        </w:tc>
        <w:tc>
          <w:tcPr>
            <w:tcW w:w="802" w:type="dxa"/>
            <w:tcBorders>
              <w:top w:val="nil"/>
              <w:left w:val="nil"/>
              <w:bottom w:val="single" w:sz="4" w:space="0" w:color="auto"/>
              <w:right w:val="nil"/>
            </w:tcBorders>
            <w:shd w:val="clear" w:color="auto" w:fill="auto"/>
            <w:vAlign w:val="center"/>
            <w:hideMark/>
          </w:tcPr>
          <w:p w14:paraId="14D4A4C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3CC16C2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635F37E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Use amikacin instead of gentamicin </w:t>
            </w:r>
          </w:p>
        </w:tc>
        <w:tc>
          <w:tcPr>
            <w:tcW w:w="4364" w:type="dxa"/>
            <w:tcBorders>
              <w:top w:val="nil"/>
              <w:left w:val="nil"/>
              <w:bottom w:val="single" w:sz="4" w:space="0" w:color="auto"/>
              <w:right w:val="nil"/>
            </w:tcBorders>
            <w:shd w:val="clear" w:color="auto" w:fill="auto"/>
            <w:vAlign w:val="center"/>
            <w:hideMark/>
          </w:tcPr>
          <w:p w14:paraId="56EFD4E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Rate of amikacin use</w:t>
            </w:r>
          </w:p>
        </w:tc>
        <w:tc>
          <w:tcPr>
            <w:tcW w:w="3209" w:type="dxa"/>
            <w:tcBorders>
              <w:top w:val="nil"/>
              <w:left w:val="nil"/>
              <w:bottom w:val="single" w:sz="4" w:space="0" w:color="auto"/>
              <w:right w:val="nil"/>
            </w:tcBorders>
            <w:shd w:val="clear" w:color="auto" w:fill="auto"/>
            <w:vAlign w:val="center"/>
            <w:hideMark/>
          </w:tcPr>
          <w:p w14:paraId="49C6BEA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Clinicians on neonatal/paediatric ward</w:t>
            </w:r>
          </w:p>
        </w:tc>
        <w:tc>
          <w:tcPr>
            <w:tcW w:w="709" w:type="dxa"/>
            <w:tcBorders>
              <w:top w:val="nil"/>
              <w:left w:val="nil"/>
              <w:bottom w:val="single" w:sz="4" w:space="0" w:color="auto"/>
              <w:right w:val="nil"/>
            </w:tcBorders>
            <w:shd w:val="clear" w:color="auto" w:fill="auto"/>
            <w:vAlign w:val="center"/>
            <w:hideMark/>
          </w:tcPr>
          <w:p w14:paraId="6B54EE2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597EA002" w14:textId="77777777" w:rsidTr="008819CF">
        <w:trPr>
          <w:trHeight w:val="520"/>
        </w:trPr>
        <w:tc>
          <w:tcPr>
            <w:tcW w:w="1524" w:type="dxa"/>
            <w:tcBorders>
              <w:top w:val="nil"/>
              <w:left w:val="nil"/>
              <w:bottom w:val="single" w:sz="4" w:space="0" w:color="auto"/>
              <w:right w:val="nil"/>
            </w:tcBorders>
            <w:shd w:val="clear" w:color="auto" w:fill="auto"/>
            <w:vAlign w:val="center"/>
            <w:hideMark/>
          </w:tcPr>
          <w:p w14:paraId="4E6FFEB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De Man 2000 </w:t>
            </w:r>
            <w:r w:rsidRPr="003E6B1E">
              <w:rPr>
                <w:rFonts w:ascii="Arial Narrow" w:hAnsi="Arial Narrow"/>
                <w:sz w:val="18"/>
                <w:szCs w:val="18"/>
                <w:lang w:val="en-GB"/>
              </w:rPr>
              <w:fldChar w:fldCharType="begin"/>
            </w:r>
            <w:r>
              <w:rPr>
                <w:rFonts w:ascii="Arial Narrow" w:hAnsi="Arial Narrow"/>
                <w:sz w:val="18"/>
                <w:szCs w:val="18"/>
                <w:lang w:val="en-GB"/>
              </w:rPr>
              <w:instrText xml:space="preserve"> ADDIN EN.CITE &lt;EndNote&gt;&lt;Cite&gt;&lt;Author&gt;De Man&lt;/Author&gt;&lt;Year&gt;2000&lt;/Year&gt;&lt;RecNum&gt;5304&lt;/RecNum&gt;&lt;DisplayText&gt;[348]&lt;/DisplayText&gt;&lt;record&gt;&lt;rec-number&gt;5304&lt;/rec-number&gt;&lt;foreign-keys&gt;&lt;key app="EN" db-id="s5zvps5w4vd0rjevval59tpffwsfx2wptstf" timestamp="1470255065"&gt;5304&lt;/key&gt;&lt;/foreign-keys&gt;&lt;ref-type name="Journal Article"&gt;17&lt;/ref-type&gt;&lt;contributors&gt;&lt;authors&gt;&lt;author&gt;De Man, P&lt;/author&gt;&lt;author&gt;Verhoeven, BAN&lt;/author&gt;&lt;author&gt;Verbrugh, HA&lt;/author&gt;&lt;author&gt;Vos, MC&lt;/author&gt;&lt;author&gt;Van den Anker, JN&lt;/author&gt;&lt;/authors&gt;&lt;/contributors&gt;&lt;titles&gt;&lt;title&gt;An antibiotic policy to prevent emergence of resistant bacilli&lt;/title&gt;&lt;secondary-title&gt;The Lancet&lt;/secondary-title&gt;&lt;/titles&gt;&lt;periodical&gt;&lt;full-title&gt;The Lancet&lt;/full-title&gt;&lt;/periodical&gt;&lt;pages&gt;973-978&lt;/pages&gt;&lt;volume&gt;355&lt;/volume&gt;&lt;number&gt;9208&lt;/number&gt;&lt;dates&gt;&lt;year&gt;2000&lt;/year&gt;&lt;/dates&gt;&lt;isbn&gt;0140-6736&lt;/isbn&gt;&lt;urls&gt;&lt;/urls&gt;&lt;/record&gt;&lt;/Cite&gt;&lt;/EndNote&gt;</w:instrText>
            </w:r>
            <w:r w:rsidRPr="003E6B1E">
              <w:rPr>
                <w:rFonts w:ascii="Arial Narrow" w:hAnsi="Arial Narrow"/>
                <w:sz w:val="18"/>
                <w:szCs w:val="18"/>
                <w:lang w:val="en-GB"/>
              </w:rPr>
              <w:fldChar w:fldCharType="end"/>
            </w:r>
          </w:p>
        </w:tc>
        <w:tc>
          <w:tcPr>
            <w:tcW w:w="802" w:type="dxa"/>
            <w:tcBorders>
              <w:top w:val="nil"/>
              <w:left w:val="nil"/>
              <w:bottom w:val="single" w:sz="4" w:space="0" w:color="auto"/>
              <w:right w:val="nil"/>
            </w:tcBorders>
            <w:shd w:val="clear" w:color="auto" w:fill="auto"/>
            <w:vAlign w:val="center"/>
            <w:hideMark/>
          </w:tcPr>
          <w:p w14:paraId="398C57C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580F385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AF1486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Change from </w:t>
            </w:r>
            <w:r>
              <w:rPr>
                <w:rFonts w:ascii="Arial Narrow" w:hAnsi="Arial Narrow"/>
                <w:sz w:val="18"/>
                <w:szCs w:val="18"/>
                <w:lang w:val="en-GB"/>
              </w:rPr>
              <w:t xml:space="preserve">one </w:t>
            </w:r>
            <w:r w:rsidRPr="003E6B1E">
              <w:rPr>
                <w:rFonts w:ascii="Arial Narrow" w:hAnsi="Arial Narrow"/>
                <w:sz w:val="18"/>
                <w:szCs w:val="18"/>
                <w:lang w:val="en-GB"/>
              </w:rPr>
              <w:t>group of antibiotics to another</w:t>
            </w:r>
          </w:p>
        </w:tc>
        <w:tc>
          <w:tcPr>
            <w:tcW w:w="4364" w:type="dxa"/>
            <w:tcBorders>
              <w:top w:val="nil"/>
              <w:left w:val="nil"/>
              <w:bottom w:val="single" w:sz="4" w:space="0" w:color="auto"/>
              <w:right w:val="nil"/>
            </w:tcBorders>
            <w:shd w:val="clear" w:color="auto" w:fill="auto"/>
            <w:vAlign w:val="center"/>
            <w:hideMark/>
          </w:tcPr>
          <w:p w14:paraId="75739FB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over number of days.</w:t>
            </w:r>
          </w:p>
        </w:tc>
        <w:tc>
          <w:tcPr>
            <w:tcW w:w="3209" w:type="dxa"/>
            <w:tcBorders>
              <w:top w:val="nil"/>
              <w:left w:val="nil"/>
              <w:bottom w:val="single" w:sz="4" w:space="0" w:color="auto"/>
              <w:right w:val="nil"/>
            </w:tcBorders>
            <w:shd w:val="clear" w:color="auto" w:fill="auto"/>
            <w:vAlign w:val="center"/>
            <w:hideMark/>
          </w:tcPr>
          <w:p w14:paraId="6FC2F27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Clinicians on two neonatal wards</w:t>
            </w:r>
          </w:p>
        </w:tc>
        <w:tc>
          <w:tcPr>
            <w:tcW w:w="709" w:type="dxa"/>
            <w:tcBorders>
              <w:top w:val="nil"/>
              <w:left w:val="nil"/>
              <w:bottom w:val="single" w:sz="4" w:space="0" w:color="auto"/>
              <w:right w:val="nil"/>
            </w:tcBorders>
            <w:shd w:val="clear" w:color="auto" w:fill="auto"/>
            <w:vAlign w:val="center"/>
            <w:hideMark/>
          </w:tcPr>
          <w:p w14:paraId="4027FF6C"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cCCT</w:t>
            </w:r>
            <w:proofErr w:type="spellEnd"/>
          </w:p>
        </w:tc>
      </w:tr>
      <w:tr w:rsidR="0098086A" w:rsidRPr="003E6B1E" w14:paraId="37FBE949" w14:textId="77777777" w:rsidTr="008819CF">
        <w:trPr>
          <w:trHeight w:val="600"/>
        </w:trPr>
        <w:tc>
          <w:tcPr>
            <w:tcW w:w="1524" w:type="dxa"/>
            <w:tcBorders>
              <w:top w:val="nil"/>
              <w:left w:val="nil"/>
              <w:bottom w:val="single" w:sz="4" w:space="0" w:color="auto"/>
              <w:right w:val="nil"/>
            </w:tcBorders>
            <w:shd w:val="clear" w:color="auto" w:fill="auto"/>
            <w:vAlign w:val="center"/>
            <w:hideMark/>
          </w:tcPr>
          <w:p w14:paraId="69CD5B6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lastRenderedPageBreak/>
              <w:t>Dey 2004</w:t>
            </w:r>
          </w:p>
        </w:tc>
        <w:tc>
          <w:tcPr>
            <w:tcW w:w="802" w:type="dxa"/>
            <w:tcBorders>
              <w:top w:val="nil"/>
              <w:left w:val="nil"/>
              <w:bottom w:val="single" w:sz="4" w:space="0" w:color="auto"/>
              <w:right w:val="nil"/>
            </w:tcBorders>
            <w:shd w:val="clear" w:color="auto" w:fill="auto"/>
            <w:vAlign w:val="center"/>
            <w:hideMark/>
          </w:tcPr>
          <w:p w14:paraId="0638166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30BFFF5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0B2FCC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management of low back pain</w:t>
            </w:r>
          </w:p>
        </w:tc>
        <w:tc>
          <w:tcPr>
            <w:tcW w:w="4364" w:type="dxa"/>
            <w:tcBorders>
              <w:top w:val="nil"/>
              <w:left w:val="nil"/>
              <w:bottom w:val="single" w:sz="4" w:space="0" w:color="auto"/>
              <w:right w:val="nil"/>
            </w:tcBorders>
            <w:shd w:val="clear" w:color="auto" w:fill="auto"/>
            <w:vAlign w:val="center"/>
            <w:hideMark/>
          </w:tcPr>
          <w:p w14:paraId="7D9922A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Referral rates within 3 mos.; number of prescribed opioids and relaxants; number of referrals to secondary care; number of referral</w:t>
            </w:r>
            <w:r>
              <w:rPr>
                <w:rFonts w:ascii="Arial Narrow" w:hAnsi="Arial Narrow"/>
                <w:sz w:val="18"/>
                <w:szCs w:val="18"/>
                <w:lang w:val="en-GB"/>
              </w:rPr>
              <w:t xml:space="preserve">s </w:t>
            </w:r>
            <w:r w:rsidRPr="003E6B1E">
              <w:rPr>
                <w:rFonts w:ascii="Arial Narrow" w:hAnsi="Arial Narrow"/>
                <w:sz w:val="18"/>
                <w:szCs w:val="18"/>
                <w:lang w:val="en-GB"/>
              </w:rPr>
              <w:t>to physio or education program.</w:t>
            </w:r>
          </w:p>
        </w:tc>
        <w:tc>
          <w:tcPr>
            <w:tcW w:w="3209" w:type="dxa"/>
            <w:tcBorders>
              <w:top w:val="nil"/>
              <w:left w:val="nil"/>
              <w:bottom w:val="single" w:sz="4" w:space="0" w:color="auto"/>
              <w:right w:val="nil"/>
            </w:tcBorders>
            <w:shd w:val="clear" w:color="auto" w:fill="auto"/>
            <w:vAlign w:val="center"/>
            <w:hideMark/>
          </w:tcPr>
          <w:p w14:paraId="76D36D3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65137EFF"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70ADF992" w14:textId="77777777" w:rsidTr="008819CF">
        <w:trPr>
          <w:trHeight w:val="525"/>
        </w:trPr>
        <w:tc>
          <w:tcPr>
            <w:tcW w:w="1524" w:type="dxa"/>
            <w:tcBorders>
              <w:top w:val="nil"/>
              <w:left w:val="nil"/>
              <w:bottom w:val="single" w:sz="4" w:space="0" w:color="auto"/>
              <w:right w:val="nil"/>
            </w:tcBorders>
            <w:shd w:val="clear" w:color="auto" w:fill="auto"/>
            <w:vAlign w:val="center"/>
            <w:hideMark/>
          </w:tcPr>
          <w:p w14:paraId="5631578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Dranitisaris 2001 </w:t>
            </w:r>
            <w:r w:rsidRPr="003E6B1E">
              <w:rPr>
                <w:rFonts w:ascii="Arial Narrow" w:hAnsi="Arial Narrow"/>
                <w:sz w:val="18"/>
                <w:szCs w:val="18"/>
                <w:lang w:val="en-GB"/>
              </w:rPr>
              <w:fldChar w:fldCharType="begin"/>
            </w:r>
            <w:r>
              <w:rPr>
                <w:rFonts w:ascii="Arial Narrow" w:hAnsi="Arial Narrow"/>
                <w:sz w:val="18"/>
                <w:szCs w:val="18"/>
                <w:lang w:val="en-GB"/>
              </w:rPr>
              <w:instrText xml:space="preserve"> ADDIN EN.CITE &lt;EndNote&gt;&lt;Cite&gt;&lt;Author&gt;Dranitsaris&lt;/Author&gt;&lt;Year&gt;2001&lt;/Year&gt;&lt;RecNum&gt;5305&lt;/RecNum&gt;&lt;DisplayText&gt;[350]&lt;/DisplayText&gt;&lt;record&gt;&lt;rec-number&gt;5305&lt;/rec-number&gt;&lt;foreign-keys&gt;&lt;key app="EN" db-id="s5zvps5w4vd0rjevval59tpffwsfx2wptstf" timestamp="1470255365"&gt;5305&lt;/key&gt;&lt;/foreign-keys&gt;&lt;ref-type name="Journal Article"&gt;17&lt;/ref-type&gt;&lt;contributors&gt;&lt;authors&gt;&lt;author&gt;Dranitsaris, G&lt;/author&gt;&lt;author&gt;Spizzirri, D&lt;/author&gt;&lt;author&gt;Pitre, M&lt;/author&gt;&lt;author&gt;McGeer, A&lt;/author&gt;&lt;/authors&gt;&lt;/contributors&gt;&lt;titles&gt;&lt;title&gt;A randomised trial to measure the optimal role of the pharmacist in promoting evidence-based antobiotic use in acute care hospitals.&lt;/title&gt;&lt;secondary-title&gt;International Journal of Technology Assessment in Health Care&lt;/secondary-title&gt;&lt;/titles&gt;&lt;periodical&gt;&lt;full-title&gt;International Journal of Technology Assessment in Health Care&lt;/full-title&gt;&lt;/periodical&gt;&lt;pages&gt;171-180&lt;/pages&gt;&lt;volume&gt;17&lt;/volume&gt;&lt;number&gt;2&lt;/number&gt;&lt;dates&gt;&lt;year&gt;2001&lt;/year&gt;&lt;/dates&gt;&lt;urls&gt;&lt;/urls&gt;&lt;/record&gt;&lt;/Cite&gt;&lt;/EndNote&gt;</w:instrText>
            </w:r>
            <w:r w:rsidRPr="003E6B1E">
              <w:rPr>
                <w:rFonts w:ascii="Arial Narrow" w:hAnsi="Arial Narrow"/>
                <w:sz w:val="18"/>
                <w:szCs w:val="18"/>
                <w:lang w:val="en-GB"/>
              </w:rPr>
              <w:fldChar w:fldCharType="end"/>
            </w:r>
          </w:p>
        </w:tc>
        <w:tc>
          <w:tcPr>
            <w:tcW w:w="802" w:type="dxa"/>
            <w:tcBorders>
              <w:top w:val="nil"/>
              <w:left w:val="nil"/>
              <w:bottom w:val="single" w:sz="4" w:space="0" w:color="auto"/>
              <w:right w:val="nil"/>
            </w:tcBorders>
            <w:shd w:val="clear" w:color="auto" w:fill="auto"/>
            <w:vAlign w:val="center"/>
            <w:hideMark/>
          </w:tcPr>
          <w:p w14:paraId="3DF7D73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68085EE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42CA7E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inappropriate use of cefotaxime according to hospital guidelines</w:t>
            </w:r>
          </w:p>
        </w:tc>
        <w:tc>
          <w:tcPr>
            <w:tcW w:w="4364" w:type="dxa"/>
            <w:tcBorders>
              <w:top w:val="nil"/>
              <w:left w:val="nil"/>
              <w:bottom w:val="single" w:sz="4" w:space="0" w:color="auto"/>
              <w:right w:val="nil"/>
            </w:tcBorders>
            <w:shd w:val="clear" w:color="auto" w:fill="auto"/>
            <w:vAlign w:val="center"/>
            <w:hideMark/>
          </w:tcPr>
          <w:p w14:paraId="6032B57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Percentage of prescribing consistent with guidelines.</w:t>
            </w:r>
          </w:p>
        </w:tc>
        <w:tc>
          <w:tcPr>
            <w:tcW w:w="3209" w:type="dxa"/>
            <w:tcBorders>
              <w:top w:val="nil"/>
              <w:left w:val="nil"/>
              <w:bottom w:val="single" w:sz="4" w:space="0" w:color="auto"/>
              <w:right w:val="nil"/>
            </w:tcBorders>
            <w:shd w:val="clear" w:color="auto" w:fill="auto"/>
            <w:vAlign w:val="center"/>
            <w:hideMark/>
          </w:tcPr>
          <w:p w14:paraId="146880E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managing patients with infections requiring IV cefotaxime</w:t>
            </w:r>
          </w:p>
        </w:tc>
        <w:tc>
          <w:tcPr>
            <w:tcW w:w="709" w:type="dxa"/>
            <w:tcBorders>
              <w:top w:val="nil"/>
              <w:left w:val="nil"/>
              <w:bottom w:val="single" w:sz="4" w:space="0" w:color="auto"/>
              <w:right w:val="nil"/>
            </w:tcBorders>
            <w:shd w:val="clear" w:color="auto" w:fill="auto"/>
            <w:vAlign w:val="center"/>
            <w:hideMark/>
          </w:tcPr>
          <w:p w14:paraId="59E2E66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63A7DB87" w14:textId="77777777" w:rsidTr="008819CF">
        <w:trPr>
          <w:trHeight w:val="699"/>
        </w:trPr>
        <w:tc>
          <w:tcPr>
            <w:tcW w:w="1524" w:type="dxa"/>
            <w:tcBorders>
              <w:top w:val="nil"/>
              <w:left w:val="nil"/>
              <w:bottom w:val="single" w:sz="4" w:space="0" w:color="auto"/>
              <w:right w:val="nil"/>
            </w:tcBorders>
            <w:shd w:val="clear" w:color="auto" w:fill="auto"/>
            <w:vAlign w:val="center"/>
            <w:hideMark/>
          </w:tcPr>
          <w:p w14:paraId="5D4C556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Eccles 2001</w:t>
            </w:r>
          </w:p>
        </w:tc>
        <w:tc>
          <w:tcPr>
            <w:tcW w:w="802" w:type="dxa"/>
            <w:tcBorders>
              <w:top w:val="nil"/>
              <w:left w:val="nil"/>
              <w:bottom w:val="single" w:sz="4" w:space="0" w:color="auto"/>
              <w:right w:val="nil"/>
            </w:tcBorders>
            <w:shd w:val="clear" w:color="auto" w:fill="auto"/>
            <w:vAlign w:val="center"/>
            <w:hideMark/>
          </w:tcPr>
          <w:p w14:paraId="5475BB9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 /A+F</w:t>
            </w:r>
          </w:p>
        </w:tc>
        <w:tc>
          <w:tcPr>
            <w:tcW w:w="1051" w:type="dxa"/>
            <w:tcBorders>
              <w:top w:val="nil"/>
              <w:left w:val="nil"/>
              <w:bottom w:val="single" w:sz="4" w:space="0" w:color="auto"/>
              <w:right w:val="nil"/>
            </w:tcBorders>
            <w:shd w:val="clear" w:color="auto" w:fill="auto"/>
            <w:vAlign w:val="center"/>
            <w:hideMark/>
          </w:tcPr>
          <w:p w14:paraId="43AB7CC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4DDE89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w:t>
            </w:r>
            <w:r>
              <w:rPr>
                <w:rFonts w:ascii="Arial Narrow" w:hAnsi="Arial Narrow"/>
                <w:sz w:val="18"/>
                <w:szCs w:val="18"/>
                <w:lang w:val="en-GB"/>
              </w:rPr>
              <w:t>e</w:t>
            </w:r>
            <w:r w:rsidRPr="003E6B1E">
              <w:rPr>
                <w:rFonts w:ascii="Arial Narrow" w:hAnsi="Arial Narrow"/>
                <w:sz w:val="18"/>
                <w:szCs w:val="18"/>
                <w:lang w:val="en-GB"/>
              </w:rPr>
              <w:t xml:space="preserve"> requests for radiological tests on lumbar spine and knee radiographs</w:t>
            </w:r>
          </w:p>
        </w:tc>
        <w:tc>
          <w:tcPr>
            <w:tcW w:w="4364" w:type="dxa"/>
            <w:tcBorders>
              <w:top w:val="nil"/>
              <w:left w:val="nil"/>
              <w:bottom w:val="single" w:sz="4" w:space="0" w:color="auto"/>
              <w:right w:val="nil"/>
            </w:tcBorders>
            <w:shd w:val="clear" w:color="auto" w:fill="auto"/>
            <w:vAlign w:val="center"/>
            <w:hideMark/>
          </w:tcPr>
          <w:p w14:paraId="7030684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The number of each radiograph requested per 1000 patients registered with every practice per year for 2 years; the second year was the intervention period.</w:t>
            </w:r>
          </w:p>
        </w:tc>
        <w:tc>
          <w:tcPr>
            <w:tcW w:w="3209" w:type="dxa"/>
            <w:tcBorders>
              <w:top w:val="nil"/>
              <w:left w:val="nil"/>
              <w:bottom w:val="single" w:sz="4" w:space="0" w:color="auto"/>
              <w:right w:val="nil"/>
            </w:tcBorders>
            <w:shd w:val="clear" w:color="auto" w:fill="auto"/>
            <w:vAlign w:val="center"/>
            <w:hideMark/>
          </w:tcPr>
          <w:p w14:paraId="0C1C747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General practitioner</w:t>
            </w:r>
          </w:p>
        </w:tc>
        <w:tc>
          <w:tcPr>
            <w:tcW w:w="709" w:type="dxa"/>
            <w:tcBorders>
              <w:top w:val="nil"/>
              <w:left w:val="nil"/>
              <w:bottom w:val="single" w:sz="4" w:space="0" w:color="auto"/>
              <w:right w:val="nil"/>
            </w:tcBorders>
            <w:shd w:val="clear" w:color="auto" w:fill="auto"/>
            <w:vAlign w:val="center"/>
            <w:hideMark/>
          </w:tcPr>
          <w:p w14:paraId="6326D435"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1F87088" w14:textId="77777777" w:rsidTr="008819CF">
        <w:trPr>
          <w:trHeight w:val="284"/>
        </w:trPr>
        <w:tc>
          <w:tcPr>
            <w:tcW w:w="1524" w:type="dxa"/>
            <w:tcBorders>
              <w:top w:val="nil"/>
              <w:left w:val="nil"/>
              <w:bottom w:val="single" w:sz="4" w:space="0" w:color="auto"/>
              <w:right w:val="nil"/>
            </w:tcBorders>
            <w:shd w:val="clear" w:color="auto" w:fill="auto"/>
            <w:vAlign w:val="center"/>
            <w:hideMark/>
          </w:tcPr>
          <w:p w14:paraId="399DC7E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Everett 1983</w:t>
            </w:r>
          </w:p>
        </w:tc>
        <w:tc>
          <w:tcPr>
            <w:tcW w:w="802" w:type="dxa"/>
            <w:tcBorders>
              <w:top w:val="nil"/>
              <w:left w:val="nil"/>
              <w:bottom w:val="single" w:sz="4" w:space="0" w:color="auto"/>
              <w:right w:val="nil"/>
            </w:tcBorders>
            <w:shd w:val="clear" w:color="auto" w:fill="auto"/>
            <w:vAlign w:val="center"/>
            <w:hideMark/>
          </w:tcPr>
          <w:p w14:paraId="750B889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568308B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7BF2B0B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the use of laboratory services</w:t>
            </w:r>
          </w:p>
        </w:tc>
        <w:tc>
          <w:tcPr>
            <w:tcW w:w="4364" w:type="dxa"/>
            <w:tcBorders>
              <w:top w:val="nil"/>
              <w:left w:val="nil"/>
              <w:bottom w:val="single" w:sz="4" w:space="0" w:color="auto"/>
              <w:right w:val="nil"/>
            </w:tcBorders>
            <w:shd w:val="clear" w:color="auto" w:fill="auto"/>
            <w:vAlign w:val="center"/>
            <w:hideMark/>
          </w:tcPr>
          <w:p w14:paraId="2871707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The unit of statistical analysis consisted of the number of tests performed</w:t>
            </w:r>
          </w:p>
        </w:tc>
        <w:tc>
          <w:tcPr>
            <w:tcW w:w="3209" w:type="dxa"/>
            <w:tcBorders>
              <w:top w:val="nil"/>
              <w:left w:val="nil"/>
              <w:bottom w:val="single" w:sz="4" w:space="0" w:color="auto"/>
              <w:right w:val="nil"/>
            </w:tcBorders>
            <w:shd w:val="clear" w:color="auto" w:fill="auto"/>
            <w:vAlign w:val="center"/>
            <w:hideMark/>
          </w:tcPr>
          <w:p w14:paraId="22F32F2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Internal medicine physicians</w:t>
            </w:r>
          </w:p>
        </w:tc>
        <w:tc>
          <w:tcPr>
            <w:tcW w:w="709" w:type="dxa"/>
            <w:tcBorders>
              <w:top w:val="nil"/>
              <w:left w:val="nil"/>
              <w:bottom w:val="single" w:sz="4" w:space="0" w:color="auto"/>
              <w:right w:val="nil"/>
            </w:tcBorders>
            <w:shd w:val="clear" w:color="auto" w:fill="auto"/>
            <w:vAlign w:val="center"/>
            <w:hideMark/>
          </w:tcPr>
          <w:p w14:paraId="4EB3C77A"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0361EB18" w14:textId="77777777" w:rsidTr="008819CF">
        <w:trPr>
          <w:trHeight w:val="574"/>
        </w:trPr>
        <w:tc>
          <w:tcPr>
            <w:tcW w:w="1524" w:type="dxa"/>
            <w:tcBorders>
              <w:top w:val="nil"/>
              <w:left w:val="nil"/>
              <w:bottom w:val="single" w:sz="4" w:space="0" w:color="auto"/>
              <w:right w:val="nil"/>
            </w:tcBorders>
            <w:shd w:val="clear" w:color="auto" w:fill="auto"/>
            <w:vAlign w:val="center"/>
            <w:hideMark/>
          </w:tcPr>
          <w:p w14:paraId="1301E9C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Everitt 1990</w:t>
            </w:r>
          </w:p>
        </w:tc>
        <w:tc>
          <w:tcPr>
            <w:tcW w:w="802" w:type="dxa"/>
            <w:tcBorders>
              <w:top w:val="nil"/>
              <w:left w:val="nil"/>
              <w:bottom w:val="single" w:sz="4" w:space="0" w:color="auto"/>
              <w:right w:val="nil"/>
            </w:tcBorders>
            <w:shd w:val="clear" w:color="auto" w:fill="auto"/>
            <w:vAlign w:val="center"/>
            <w:hideMark/>
          </w:tcPr>
          <w:p w14:paraId="4B71242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4E847E8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BF6C7C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Decrease inappropriate perioperative prophylaxis antibiotics </w:t>
            </w:r>
          </w:p>
        </w:tc>
        <w:tc>
          <w:tcPr>
            <w:tcW w:w="4364" w:type="dxa"/>
            <w:tcBorders>
              <w:top w:val="nil"/>
              <w:left w:val="nil"/>
              <w:bottom w:val="single" w:sz="4" w:space="0" w:color="auto"/>
              <w:right w:val="nil"/>
            </w:tcBorders>
            <w:shd w:val="clear" w:color="auto" w:fill="auto"/>
            <w:vAlign w:val="center"/>
            <w:hideMark/>
          </w:tcPr>
          <w:p w14:paraId="555AE2C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Relative use of Cefazolin or cefoxitin in caesarean sections that received &lt;5g of either drug perioperatively. </w:t>
            </w:r>
          </w:p>
        </w:tc>
        <w:tc>
          <w:tcPr>
            <w:tcW w:w="3209" w:type="dxa"/>
            <w:tcBorders>
              <w:top w:val="nil"/>
              <w:left w:val="nil"/>
              <w:bottom w:val="single" w:sz="4" w:space="0" w:color="auto"/>
              <w:right w:val="nil"/>
            </w:tcBorders>
            <w:shd w:val="clear" w:color="auto" w:fill="auto"/>
            <w:vAlign w:val="center"/>
            <w:hideMark/>
          </w:tcPr>
          <w:p w14:paraId="1AB9C83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Obstetrics &amp; Gynaecology</w:t>
            </w:r>
          </w:p>
        </w:tc>
        <w:tc>
          <w:tcPr>
            <w:tcW w:w="709" w:type="dxa"/>
            <w:tcBorders>
              <w:top w:val="nil"/>
              <w:left w:val="nil"/>
              <w:bottom w:val="single" w:sz="4" w:space="0" w:color="auto"/>
              <w:right w:val="nil"/>
            </w:tcBorders>
            <w:shd w:val="clear" w:color="auto" w:fill="auto"/>
            <w:vAlign w:val="center"/>
            <w:hideMark/>
          </w:tcPr>
          <w:p w14:paraId="59F7681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1708A101" w14:textId="77777777" w:rsidTr="008819CF">
        <w:trPr>
          <w:trHeight w:val="276"/>
        </w:trPr>
        <w:tc>
          <w:tcPr>
            <w:tcW w:w="1524" w:type="dxa"/>
            <w:tcBorders>
              <w:top w:val="nil"/>
              <w:left w:val="nil"/>
              <w:bottom w:val="single" w:sz="4" w:space="0" w:color="auto"/>
              <w:right w:val="nil"/>
            </w:tcBorders>
            <w:shd w:val="clear" w:color="auto" w:fill="auto"/>
            <w:vAlign w:val="center"/>
            <w:hideMark/>
          </w:tcPr>
          <w:p w14:paraId="5E84A0E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Fairbrother 1999 </w:t>
            </w:r>
          </w:p>
        </w:tc>
        <w:tc>
          <w:tcPr>
            <w:tcW w:w="802" w:type="dxa"/>
            <w:tcBorders>
              <w:top w:val="nil"/>
              <w:left w:val="nil"/>
              <w:bottom w:val="single" w:sz="4" w:space="0" w:color="auto"/>
              <w:right w:val="nil"/>
            </w:tcBorders>
            <w:shd w:val="clear" w:color="auto" w:fill="auto"/>
            <w:vAlign w:val="center"/>
            <w:hideMark/>
          </w:tcPr>
          <w:p w14:paraId="211EA08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F02361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2E2B7C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immunization rates</w:t>
            </w:r>
          </w:p>
        </w:tc>
        <w:tc>
          <w:tcPr>
            <w:tcW w:w="4364" w:type="dxa"/>
            <w:tcBorders>
              <w:top w:val="nil"/>
              <w:left w:val="nil"/>
              <w:bottom w:val="single" w:sz="4" w:space="0" w:color="auto"/>
              <w:right w:val="nil"/>
            </w:tcBorders>
            <w:shd w:val="clear" w:color="auto" w:fill="auto"/>
            <w:vAlign w:val="center"/>
            <w:hideMark/>
          </w:tcPr>
          <w:p w14:paraId="4EB1EEF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Up to date immunization status</w:t>
            </w:r>
          </w:p>
        </w:tc>
        <w:tc>
          <w:tcPr>
            <w:tcW w:w="3209" w:type="dxa"/>
            <w:tcBorders>
              <w:top w:val="nil"/>
              <w:left w:val="nil"/>
              <w:bottom w:val="single" w:sz="4" w:space="0" w:color="auto"/>
              <w:right w:val="nil"/>
            </w:tcBorders>
            <w:shd w:val="clear" w:color="auto" w:fill="auto"/>
            <w:vAlign w:val="center"/>
            <w:hideMark/>
          </w:tcPr>
          <w:p w14:paraId="1B295C1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w:t>
            </w:r>
          </w:p>
        </w:tc>
        <w:tc>
          <w:tcPr>
            <w:tcW w:w="709" w:type="dxa"/>
            <w:tcBorders>
              <w:top w:val="nil"/>
              <w:left w:val="nil"/>
              <w:bottom w:val="single" w:sz="4" w:space="0" w:color="auto"/>
              <w:right w:val="nil"/>
            </w:tcBorders>
            <w:shd w:val="clear" w:color="auto" w:fill="auto"/>
            <w:vAlign w:val="center"/>
            <w:hideMark/>
          </w:tcPr>
          <w:p w14:paraId="7EB59456"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0CF7B4F" w14:textId="77777777" w:rsidTr="008819CF">
        <w:trPr>
          <w:trHeight w:val="473"/>
        </w:trPr>
        <w:tc>
          <w:tcPr>
            <w:tcW w:w="1524" w:type="dxa"/>
            <w:tcBorders>
              <w:top w:val="nil"/>
              <w:left w:val="nil"/>
              <w:bottom w:val="single" w:sz="4" w:space="0" w:color="auto"/>
              <w:right w:val="nil"/>
            </w:tcBorders>
            <w:shd w:val="clear" w:color="auto" w:fill="auto"/>
            <w:vAlign w:val="center"/>
            <w:hideMark/>
          </w:tcPr>
          <w:p w14:paraId="41155D4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Feldstein 2006</w:t>
            </w:r>
          </w:p>
        </w:tc>
        <w:tc>
          <w:tcPr>
            <w:tcW w:w="802" w:type="dxa"/>
            <w:tcBorders>
              <w:top w:val="nil"/>
              <w:left w:val="nil"/>
              <w:bottom w:val="single" w:sz="4" w:space="0" w:color="auto"/>
              <w:right w:val="nil"/>
            </w:tcBorders>
            <w:shd w:val="clear" w:color="auto" w:fill="auto"/>
            <w:vAlign w:val="center"/>
            <w:hideMark/>
          </w:tcPr>
          <w:p w14:paraId="6BA87CA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39C3094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A47D75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BMD measurement and osteoporosis medication.</w:t>
            </w:r>
          </w:p>
        </w:tc>
        <w:tc>
          <w:tcPr>
            <w:tcW w:w="4364" w:type="dxa"/>
            <w:tcBorders>
              <w:top w:val="nil"/>
              <w:left w:val="nil"/>
              <w:bottom w:val="single" w:sz="4" w:space="0" w:color="auto"/>
              <w:right w:val="nil"/>
            </w:tcBorders>
            <w:shd w:val="clear" w:color="auto" w:fill="auto"/>
            <w:vAlign w:val="center"/>
            <w:hideMark/>
          </w:tcPr>
          <w:p w14:paraId="011BEED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BMD measurement and osteoporosis</w:t>
            </w:r>
            <w:r w:rsidRPr="003E6B1E">
              <w:rPr>
                <w:rFonts w:ascii="Arial Narrow" w:hAnsi="Arial Narrow"/>
                <w:sz w:val="18"/>
                <w:szCs w:val="18"/>
                <w:lang w:val="en-GB"/>
              </w:rPr>
              <w:br/>
              <w:t>medication.</w:t>
            </w:r>
          </w:p>
        </w:tc>
        <w:tc>
          <w:tcPr>
            <w:tcW w:w="3209" w:type="dxa"/>
            <w:tcBorders>
              <w:top w:val="nil"/>
              <w:left w:val="nil"/>
              <w:bottom w:val="single" w:sz="4" w:space="0" w:color="auto"/>
              <w:right w:val="nil"/>
            </w:tcBorders>
            <w:shd w:val="clear" w:color="auto" w:fill="auto"/>
            <w:vAlign w:val="center"/>
            <w:hideMark/>
          </w:tcPr>
          <w:p w14:paraId="27A621E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Primary care physicians </w:t>
            </w:r>
          </w:p>
        </w:tc>
        <w:tc>
          <w:tcPr>
            <w:tcW w:w="709" w:type="dxa"/>
            <w:tcBorders>
              <w:top w:val="nil"/>
              <w:left w:val="nil"/>
              <w:bottom w:val="single" w:sz="4" w:space="0" w:color="auto"/>
              <w:right w:val="nil"/>
            </w:tcBorders>
            <w:shd w:val="clear" w:color="auto" w:fill="auto"/>
            <w:vAlign w:val="center"/>
            <w:hideMark/>
          </w:tcPr>
          <w:p w14:paraId="5EE1A04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1025D2A9" w14:textId="77777777" w:rsidTr="008819CF">
        <w:trPr>
          <w:trHeight w:val="696"/>
        </w:trPr>
        <w:tc>
          <w:tcPr>
            <w:tcW w:w="1524" w:type="dxa"/>
            <w:tcBorders>
              <w:top w:val="nil"/>
              <w:left w:val="nil"/>
              <w:bottom w:val="single" w:sz="4" w:space="0" w:color="auto"/>
              <w:right w:val="nil"/>
            </w:tcBorders>
            <w:shd w:val="clear" w:color="auto" w:fill="auto"/>
            <w:vAlign w:val="center"/>
            <w:hideMark/>
          </w:tcPr>
          <w:p w14:paraId="02BA52E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Feldstein 200</w:t>
            </w:r>
            <w:r>
              <w:rPr>
                <w:rFonts w:ascii="Arial Narrow" w:hAnsi="Arial Narrow"/>
                <w:sz w:val="18"/>
                <w:szCs w:val="18"/>
                <w:lang w:val="en-GB"/>
              </w:rPr>
              <w:t>7</w:t>
            </w:r>
          </w:p>
        </w:tc>
        <w:tc>
          <w:tcPr>
            <w:tcW w:w="802" w:type="dxa"/>
            <w:tcBorders>
              <w:top w:val="nil"/>
              <w:left w:val="nil"/>
              <w:bottom w:val="single" w:sz="4" w:space="0" w:color="auto"/>
              <w:right w:val="nil"/>
            </w:tcBorders>
            <w:shd w:val="clear" w:color="auto" w:fill="auto"/>
            <w:vAlign w:val="center"/>
            <w:hideMark/>
          </w:tcPr>
          <w:p w14:paraId="410A38A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402C8AB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7D20E09" w14:textId="636E5C0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Improve management of osteoporosis after a fracture either by BMD or treatment </w:t>
            </w:r>
          </w:p>
        </w:tc>
        <w:tc>
          <w:tcPr>
            <w:tcW w:w="4364" w:type="dxa"/>
            <w:tcBorders>
              <w:top w:val="nil"/>
              <w:left w:val="nil"/>
              <w:bottom w:val="single" w:sz="4" w:space="0" w:color="auto"/>
              <w:right w:val="nil"/>
            </w:tcBorders>
            <w:shd w:val="clear" w:color="auto" w:fill="auto"/>
            <w:vAlign w:val="center"/>
            <w:hideMark/>
          </w:tcPr>
          <w:p w14:paraId="20711F4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Proportion of patients who received BMD within 6 mos. post-fracture; proportion who had Osteoporosis medication prescribed</w:t>
            </w:r>
          </w:p>
        </w:tc>
        <w:tc>
          <w:tcPr>
            <w:tcW w:w="3209" w:type="dxa"/>
            <w:tcBorders>
              <w:top w:val="nil"/>
              <w:left w:val="nil"/>
              <w:bottom w:val="single" w:sz="4" w:space="0" w:color="auto"/>
              <w:right w:val="nil"/>
            </w:tcBorders>
            <w:shd w:val="clear" w:color="auto" w:fill="auto"/>
            <w:vAlign w:val="center"/>
            <w:hideMark/>
          </w:tcPr>
          <w:p w14:paraId="2ECA910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w:t>
            </w:r>
          </w:p>
        </w:tc>
        <w:tc>
          <w:tcPr>
            <w:tcW w:w="709" w:type="dxa"/>
            <w:tcBorders>
              <w:top w:val="nil"/>
              <w:left w:val="nil"/>
              <w:bottom w:val="single" w:sz="4" w:space="0" w:color="auto"/>
              <w:right w:val="nil"/>
            </w:tcBorders>
            <w:shd w:val="clear" w:color="auto" w:fill="auto"/>
            <w:vAlign w:val="center"/>
            <w:hideMark/>
          </w:tcPr>
          <w:p w14:paraId="5B3EB80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30AAAAE3" w14:textId="77777777" w:rsidTr="008819CF">
        <w:trPr>
          <w:trHeight w:val="708"/>
        </w:trPr>
        <w:tc>
          <w:tcPr>
            <w:tcW w:w="1524" w:type="dxa"/>
            <w:tcBorders>
              <w:top w:val="nil"/>
              <w:left w:val="nil"/>
              <w:bottom w:val="single" w:sz="4" w:space="0" w:color="auto"/>
              <w:right w:val="nil"/>
            </w:tcBorders>
            <w:shd w:val="clear" w:color="auto" w:fill="auto"/>
            <w:vAlign w:val="center"/>
            <w:hideMark/>
          </w:tcPr>
          <w:p w14:paraId="160F5E2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Ferguson 2003</w:t>
            </w:r>
          </w:p>
        </w:tc>
        <w:tc>
          <w:tcPr>
            <w:tcW w:w="802" w:type="dxa"/>
            <w:tcBorders>
              <w:top w:val="nil"/>
              <w:left w:val="nil"/>
              <w:bottom w:val="single" w:sz="4" w:space="0" w:color="auto"/>
              <w:right w:val="nil"/>
            </w:tcBorders>
            <w:shd w:val="clear" w:color="auto" w:fill="auto"/>
            <w:vAlign w:val="center"/>
            <w:hideMark/>
          </w:tcPr>
          <w:p w14:paraId="669B15C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69FE59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F387BD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use of process measures in patients undergoing coronary artery bypass graft surgery</w:t>
            </w:r>
          </w:p>
        </w:tc>
        <w:tc>
          <w:tcPr>
            <w:tcW w:w="4364" w:type="dxa"/>
            <w:tcBorders>
              <w:top w:val="nil"/>
              <w:left w:val="nil"/>
              <w:bottom w:val="single" w:sz="4" w:space="0" w:color="auto"/>
              <w:right w:val="nil"/>
            </w:tcBorders>
            <w:shd w:val="clear" w:color="auto" w:fill="auto"/>
            <w:vAlign w:val="center"/>
            <w:hideMark/>
          </w:tcPr>
          <w:p w14:paraId="54F3F61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of process of care measures: Beta-blockage and internal mammary artery grafting</w:t>
            </w:r>
          </w:p>
        </w:tc>
        <w:tc>
          <w:tcPr>
            <w:tcW w:w="3209" w:type="dxa"/>
            <w:tcBorders>
              <w:top w:val="nil"/>
              <w:left w:val="nil"/>
              <w:bottom w:val="single" w:sz="4" w:space="0" w:color="auto"/>
              <w:right w:val="nil"/>
            </w:tcBorders>
            <w:shd w:val="clear" w:color="auto" w:fill="auto"/>
            <w:vAlign w:val="center"/>
            <w:hideMark/>
          </w:tcPr>
          <w:p w14:paraId="2E33D9E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Health Professionals in hospital </w:t>
            </w:r>
          </w:p>
        </w:tc>
        <w:tc>
          <w:tcPr>
            <w:tcW w:w="709" w:type="dxa"/>
            <w:tcBorders>
              <w:top w:val="nil"/>
              <w:left w:val="nil"/>
              <w:bottom w:val="single" w:sz="4" w:space="0" w:color="auto"/>
              <w:right w:val="nil"/>
            </w:tcBorders>
            <w:shd w:val="clear" w:color="auto" w:fill="auto"/>
            <w:vAlign w:val="center"/>
            <w:hideMark/>
          </w:tcPr>
          <w:p w14:paraId="6F7D3016"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BF0AA41" w14:textId="77777777" w:rsidTr="008819CF">
        <w:trPr>
          <w:trHeight w:val="408"/>
        </w:trPr>
        <w:tc>
          <w:tcPr>
            <w:tcW w:w="1524" w:type="dxa"/>
            <w:tcBorders>
              <w:top w:val="nil"/>
              <w:left w:val="nil"/>
              <w:bottom w:val="single" w:sz="4" w:space="0" w:color="auto"/>
              <w:right w:val="nil"/>
            </w:tcBorders>
            <w:shd w:val="clear" w:color="auto" w:fill="auto"/>
            <w:vAlign w:val="center"/>
            <w:hideMark/>
          </w:tcPr>
          <w:p w14:paraId="1E6A99B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Fine 2003</w:t>
            </w:r>
          </w:p>
        </w:tc>
        <w:tc>
          <w:tcPr>
            <w:tcW w:w="802" w:type="dxa"/>
            <w:tcBorders>
              <w:top w:val="nil"/>
              <w:left w:val="nil"/>
              <w:bottom w:val="single" w:sz="4" w:space="0" w:color="auto"/>
              <w:right w:val="nil"/>
            </w:tcBorders>
            <w:shd w:val="clear" w:color="auto" w:fill="auto"/>
            <w:vAlign w:val="center"/>
            <w:hideMark/>
          </w:tcPr>
          <w:p w14:paraId="7A97AD6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27E399B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618DBB5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duration of Intravenous Antibiotic</w:t>
            </w:r>
          </w:p>
        </w:tc>
        <w:tc>
          <w:tcPr>
            <w:tcW w:w="4364" w:type="dxa"/>
            <w:tcBorders>
              <w:top w:val="nil"/>
              <w:left w:val="nil"/>
              <w:bottom w:val="single" w:sz="4" w:space="0" w:color="auto"/>
              <w:right w:val="nil"/>
            </w:tcBorders>
            <w:shd w:val="clear" w:color="auto" w:fill="auto"/>
            <w:vAlign w:val="center"/>
            <w:hideMark/>
          </w:tcPr>
          <w:p w14:paraId="155967C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Duration of intravenous antibiotic therapy</w:t>
            </w:r>
          </w:p>
        </w:tc>
        <w:tc>
          <w:tcPr>
            <w:tcW w:w="3209" w:type="dxa"/>
            <w:tcBorders>
              <w:top w:val="nil"/>
              <w:left w:val="nil"/>
              <w:bottom w:val="single" w:sz="4" w:space="0" w:color="auto"/>
              <w:right w:val="nil"/>
            </w:tcBorders>
            <w:shd w:val="clear" w:color="auto" w:fill="auto"/>
            <w:vAlign w:val="center"/>
            <w:hideMark/>
          </w:tcPr>
          <w:p w14:paraId="21EF0F5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w:t>
            </w:r>
          </w:p>
        </w:tc>
        <w:tc>
          <w:tcPr>
            <w:tcW w:w="709" w:type="dxa"/>
            <w:tcBorders>
              <w:top w:val="nil"/>
              <w:left w:val="nil"/>
              <w:bottom w:val="single" w:sz="4" w:space="0" w:color="auto"/>
              <w:right w:val="nil"/>
            </w:tcBorders>
            <w:shd w:val="clear" w:color="auto" w:fill="auto"/>
            <w:vAlign w:val="center"/>
            <w:hideMark/>
          </w:tcPr>
          <w:p w14:paraId="1E64CBF1"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FCED8BC" w14:textId="77777777" w:rsidTr="008819CF">
        <w:trPr>
          <w:trHeight w:val="473"/>
        </w:trPr>
        <w:tc>
          <w:tcPr>
            <w:tcW w:w="1524" w:type="dxa"/>
            <w:tcBorders>
              <w:top w:val="nil"/>
              <w:left w:val="nil"/>
              <w:bottom w:val="single" w:sz="4" w:space="0" w:color="auto"/>
              <w:right w:val="nil"/>
            </w:tcBorders>
            <w:shd w:val="clear" w:color="auto" w:fill="auto"/>
            <w:vAlign w:val="center"/>
            <w:hideMark/>
          </w:tcPr>
          <w:p w14:paraId="7AC040F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Foster</w:t>
            </w:r>
            <w:r>
              <w:rPr>
                <w:rFonts w:ascii="Arial Narrow" w:hAnsi="Arial Narrow"/>
                <w:sz w:val="18"/>
                <w:szCs w:val="18"/>
                <w:lang w:val="en-GB"/>
              </w:rPr>
              <w:t xml:space="preserve"> </w:t>
            </w:r>
            <w:r w:rsidRPr="003E6B1E">
              <w:rPr>
                <w:rFonts w:ascii="Arial Narrow" w:hAnsi="Arial Narrow"/>
                <w:sz w:val="18"/>
                <w:szCs w:val="18"/>
                <w:lang w:val="en-GB"/>
              </w:rPr>
              <w:t xml:space="preserve">2007 </w:t>
            </w:r>
          </w:p>
        </w:tc>
        <w:tc>
          <w:tcPr>
            <w:tcW w:w="802" w:type="dxa"/>
            <w:tcBorders>
              <w:top w:val="nil"/>
              <w:left w:val="nil"/>
              <w:bottom w:val="single" w:sz="4" w:space="0" w:color="auto"/>
              <w:right w:val="nil"/>
            </w:tcBorders>
            <w:shd w:val="clear" w:color="auto" w:fill="auto"/>
            <w:vAlign w:val="center"/>
            <w:hideMark/>
          </w:tcPr>
          <w:p w14:paraId="3C88931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5E802AC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75F6086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management of asthma (recording peak flow in chart)</w:t>
            </w:r>
          </w:p>
        </w:tc>
        <w:tc>
          <w:tcPr>
            <w:tcW w:w="4364" w:type="dxa"/>
            <w:tcBorders>
              <w:top w:val="nil"/>
              <w:left w:val="nil"/>
              <w:bottom w:val="single" w:sz="4" w:space="0" w:color="auto"/>
              <w:right w:val="nil"/>
            </w:tcBorders>
            <w:shd w:val="clear" w:color="auto" w:fill="auto"/>
            <w:vAlign w:val="center"/>
            <w:hideMark/>
          </w:tcPr>
          <w:p w14:paraId="7AAE52A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Number of patients with asthma with peak flow recordings</w:t>
            </w:r>
          </w:p>
        </w:tc>
        <w:tc>
          <w:tcPr>
            <w:tcW w:w="3209" w:type="dxa"/>
            <w:tcBorders>
              <w:top w:val="nil"/>
              <w:left w:val="nil"/>
              <w:bottom w:val="single" w:sz="4" w:space="0" w:color="auto"/>
              <w:right w:val="nil"/>
            </w:tcBorders>
            <w:shd w:val="clear" w:color="auto" w:fill="auto"/>
            <w:vAlign w:val="center"/>
            <w:hideMark/>
          </w:tcPr>
          <w:p w14:paraId="0CA4CF45" w14:textId="489D17DA"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w:t>
            </w:r>
            <w:r>
              <w:rPr>
                <w:rFonts w:ascii="Arial Narrow" w:hAnsi="Arial Narrow"/>
                <w:sz w:val="18"/>
                <w:szCs w:val="18"/>
                <w:lang w:val="en-GB"/>
              </w:rPr>
              <w:t xml:space="preserve"> </w:t>
            </w:r>
            <w:r w:rsidRPr="003E6B1E">
              <w:rPr>
                <w:rFonts w:ascii="Arial Narrow" w:hAnsi="Arial Narrow"/>
                <w:sz w:val="18"/>
                <w:szCs w:val="18"/>
                <w:lang w:val="en-GB"/>
              </w:rPr>
              <w:t>physicians who deliver most pneumonia care</w:t>
            </w:r>
          </w:p>
        </w:tc>
        <w:tc>
          <w:tcPr>
            <w:tcW w:w="709" w:type="dxa"/>
            <w:tcBorders>
              <w:top w:val="nil"/>
              <w:left w:val="nil"/>
              <w:bottom w:val="single" w:sz="4" w:space="0" w:color="auto"/>
              <w:right w:val="nil"/>
            </w:tcBorders>
            <w:shd w:val="clear" w:color="auto" w:fill="auto"/>
            <w:vAlign w:val="center"/>
            <w:hideMark/>
          </w:tcPr>
          <w:p w14:paraId="6AFBFAB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CBA</w:t>
            </w:r>
          </w:p>
        </w:tc>
      </w:tr>
      <w:tr w:rsidR="0098086A" w:rsidRPr="003E6B1E" w14:paraId="2C6EEF5E" w14:textId="77777777" w:rsidTr="008819CF">
        <w:trPr>
          <w:trHeight w:val="250"/>
        </w:trPr>
        <w:tc>
          <w:tcPr>
            <w:tcW w:w="1524" w:type="dxa"/>
            <w:tcBorders>
              <w:top w:val="nil"/>
              <w:left w:val="nil"/>
              <w:bottom w:val="single" w:sz="4" w:space="0" w:color="auto"/>
              <w:right w:val="nil"/>
            </w:tcBorders>
            <w:shd w:val="clear" w:color="auto" w:fill="auto"/>
            <w:vAlign w:val="center"/>
            <w:hideMark/>
          </w:tcPr>
          <w:p w14:paraId="1D5D876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Foy 2004 </w:t>
            </w:r>
          </w:p>
        </w:tc>
        <w:tc>
          <w:tcPr>
            <w:tcW w:w="802" w:type="dxa"/>
            <w:tcBorders>
              <w:top w:val="nil"/>
              <w:left w:val="nil"/>
              <w:bottom w:val="single" w:sz="4" w:space="0" w:color="auto"/>
              <w:right w:val="nil"/>
            </w:tcBorders>
            <w:shd w:val="clear" w:color="auto" w:fill="auto"/>
            <w:vAlign w:val="center"/>
            <w:hideMark/>
          </w:tcPr>
          <w:p w14:paraId="2821465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1F94B7C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275BE36E" w14:textId="21A3088C"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Prescribe a</w:t>
            </w:r>
            <w:r w:rsidRPr="003E6B1E">
              <w:rPr>
                <w:rFonts w:ascii="Arial Narrow" w:hAnsi="Arial Narrow"/>
                <w:sz w:val="18"/>
                <w:szCs w:val="18"/>
                <w:lang w:val="en-GB"/>
              </w:rPr>
              <w:t>ntibiotic prophylaxis</w:t>
            </w:r>
          </w:p>
        </w:tc>
        <w:tc>
          <w:tcPr>
            <w:tcW w:w="4364" w:type="dxa"/>
            <w:tcBorders>
              <w:top w:val="nil"/>
              <w:left w:val="nil"/>
              <w:bottom w:val="single" w:sz="4" w:space="0" w:color="auto"/>
              <w:right w:val="nil"/>
            </w:tcBorders>
            <w:shd w:val="clear" w:color="auto" w:fill="auto"/>
            <w:vAlign w:val="center"/>
            <w:hideMark/>
          </w:tcPr>
          <w:p w14:paraId="0B30B008" w14:textId="3FB79F59"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Odds ratio of receiving prophylactic antibiotics </w:t>
            </w:r>
            <w:r>
              <w:rPr>
                <w:rFonts w:ascii="Arial Narrow" w:hAnsi="Arial Narrow"/>
                <w:sz w:val="18"/>
                <w:szCs w:val="18"/>
                <w:lang w:val="en-GB"/>
              </w:rPr>
              <w:t xml:space="preserve">for </w:t>
            </w:r>
            <w:r w:rsidRPr="003E6B1E">
              <w:rPr>
                <w:rFonts w:ascii="Arial Narrow" w:hAnsi="Arial Narrow"/>
                <w:sz w:val="18"/>
                <w:szCs w:val="18"/>
                <w:lang w:val="en-GB"/>
              </w:rPr>
              <w:t>lower genital tract infection</w:t>
            </w:r>
          </w:p>
        </w:tc>
        <w:tc>
          <w:tcPr>
            <w:tcW w:w="3209" w:type="dxa"/>
            <w:tcBorders>
              <w:top w:val="nil"/>
              <w:left w:val="nil"/>
              <w:bottom w:val="single" w:sz="4" w:space="0" w:color="auto"/>
              <w:right w:val="nil"/>
            </w:tcBorders>
            <w:shd w:val="clear" w:color="auto" w:fill="auto"/>
            <w:vAlign w:val="center"/>
            <w:hideMark/>
          </w:tcPr>
          <w:p w14:paraId="65DDD7C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Clinician in gynaecological unit </w:t>
            </w:r>
          </w:p>
        </w:tc>
        <w:tc>
          <w:tcPr>
            <w:tcW w:w="709" w:type="dxa"/>
            <w:tcBorders>
              <w:top w:val="nil"/>
              <w:left w:val="nil"/>
              <w:bottom w:val="single" w:sz="4" w:space="0" w:color="auto"/>
              <w:right w:val="nil"/>
            </w:tcBorders>
            <w:shd w:val="clear" w:color="auto" w:fill="auto"/>
            <w:vAlign w:val="center"/>
            <w:hideMark/>
          </w:tcPr>
          <w:p w14:paraId="24A015BE"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75728A6D" w14:textId="77777777" w:rsidTr="008819CF">
        <w:trPr>
          <w:trHeight w:val="401"/>
        </w:trPr>
        <w:tc>
          <w:tcPr>
            <w:tcW w:w="1524" w:type="dxa"/>
            <w:tcBorders>
              <w:top w:val="nil"/>
              <w:left w:val="nil"/>
              <w:bottom w:val="single" w:sz="4" w:space="0" w:color="auto"/>
              <w:right w:val="nil"/>
            </w:tcBorders>
            <w:shd w:val="clear" w:color="auto" w:fill="auto"/>
            <w:vAlign w:val="center"/>
            <w:hideMark/>
          </w:tcPr>
          <w:p w14:paraId="36E1BEB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Foy 2004</w:t>
            </w:r>
            <w:r>
              <w:rPr>
                <w:rFonts w:ascii="Arial Narrow" w:hAnsi="Arial Narrow"/>
                <w:sz w:val="18"/>
                <w:szCs w:val="18"/>
                <w:lang w:val="en-GB"/>
              </w:rPr>
              <w:t>a</w:t>
            </w:r>
          </w:p>
        </w:tc>
        <w:tc>
          <w:tcPr>
            <w:tcW w:w="802" w:type="dxa"/>
            <w:tcBorders>
              <w:top w:val="nil"/>
              <w:left w:val="nil"/>
              <w:bottom w:val="single" w:sz="4" w:space="0" w:color="auto"/>
              <w:right w:val="nil"/>
            </w:tcBorders>
            <w:shd w:val="clear" w:color="auto" w:fill="auto"/>
            <w:vAlign w:val="center"/>
            <w:hideMark/>
          </w:tcPr>
          <w:p w14:paraId="0D5E5CF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7820DAB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F74D6FC" w14:textId="026914AF"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S</w:t>
            </w:r>
            <w:r w:rsidRPr="003E6B1E">
              <w:rPr>
                <w:rFonts w:ascii="Arial Narrow" w:hAnsi="Arial Narrow"/>
                <w:sz w:val="18"/>
                <w:szCs w:val="18"/>
                <w:lang w:val="en-GB"/>
              </w:rPr>
              <w:t xml:space="preserve">creening for lower genital tract infection </w:t>
            </w:r>
          </w:p>
        </w:tc>
        <w:tc>
          <w:tcPr>
            <w:tcW w:w="4364" w:type="dxa"/>
            <w:tcBorders>
              <w:top w:val="nil"/>
              <w:left w:val="nil"/>
              <w:bottom w:val="single" w:sz="4" w:space="0" w:color="auto"/>
              <w:right w:val="nil"/>
            </w:tcBorders>
            <w:shd w:val="clear" w:color="auto" w:fill="auto"/>
            <w:vAlign w:val="center"/>
            <w:hideMark/>
          </w:tcPr>
          <w:p w14:paraId="6068564A" w14:textId="46DAA62E"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S</w:t>
            </w:r>
            <w:r w:rsidRPr="003E6B1E">
              <w:rPr>
                <w:rFonts w:ascii="Arial Narrow" w:hAnsi="Arial Narrow"/>
                <w:sz w:val="18"/>
                <w:szCs w:val="18"/>
                <w:lang w:val="en-GB"/>
              </w:rPr>
              <w:t xml:space="preserve">creening for lower genital tract infection </w:t>
            </w:r>
          </w:p>
        </w:tc>
        <w:tc>
          <w:tcPr>
            <w:tcW w:w="3209" w:type="dxa"/>
            <w:tcBorders>
              <w:top w:val="nil"/>
              <w:left w:val="nil"/>
              <w:bottom w:val="single" w:sz="4" w:space="0" w:color="auto"/>
              <w:right w:val="nil"/>
            </w:tcBorders>
            <w:shd w:val="clear" w:color="auto" w:fill="auto"/>
            <w:vAlign w:val="center"/>
            <w:hideMark/>
          </w:tcPr>
          <w:p w14:paraId="1DC33F6F" w14:textId="77777777"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Clinicians</w:t>
            </w:r>
            <w:r w:rsidRPr="003E6B1E">
              <w:rPr>
                <w:rFonts w:ascii="Arial Narrow" w:hAnsi="Arial Narrow"/>
                <w:sz w:val="18"/>
                <w:szCs w:val="18"/>
                <w:lang w:val="en-GB"/>
              </w:rPr>
              <w:t xml:space="preserve"> </w:t>
            </w:r>
          </w:p>
        </w:tc>
        <w:tc>
          <w:tcPr>
            <w:tcW w:w="709" w:type="dxa"/>
            <w:tcBorders>
              <w:top w:val="nil"/>
              <w:left w:val="nil"/>
              <w:bottom w:val="single" w:sz="4" w:space="0" w:color="auto"/>
              <w:right w:val="nil"/>
            </w:tcBorders>
            <w:shd w:val="clear" w:color="auto" w:fill="auto"/>
            <w:vAlign w:val="center"/>
            <w:hideMark/>
          </w:tcPr>
          <w:p w14:paraId="55F00EBF"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2842EF6B" w14:textId="77777777" w:rsidTr="008819CF">
        <w:trPr>
          <w:trHeight w:val="436"/>
        </w:trPr>
        <w:tc>
          <w:tcPr>
            <w:tcW w:w="1524" w:type="dxa"/>
            <w:tcBorders>
              <w:top w:val="nil"/>
              <w:left w:val="nil"/>
              <w:bottom w:val="single" w:sz="4" w:space="0" w:color="auto"/>
              <w:right w:val="nil"/>
            </w:tcBorders>
            <w:shd w:val="clear" w:color="auto" w:fill="auto"/>
            <w:vAlign w:val="center"/>
            <w:hideMark/>
          </w:tcPr>
          <w:p w14:paraId="46357E0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Franz 200</w:t>
            </w:r>
            <w:r>
              <w:rPr>
                <w:rFonts w:ascii="Arial Narrow" w:hAnsi="Arial Narrow"/>
                <w:sz w:val="18"/>
                <w:szCs w:val="18"/>
                <w:lang w:val="en-GB"/>
              </w:rPr>
              <w:t>4</w:t>
            </w:r>
            <w:r w:rsidRPr="003E6B1E">
              <w:rPr>
                <w:rFonts w:ascii="Arial Narrow" w:hAnsi="Arial Narrow"/>
                <w:sz w:val="18"/>
                <w:szCs w:val="18"/>
                <w:lang w:val="en-GB"/>
              </w:rPr>
              <w:t xml:space="preserve"> </w:t>
            </w:r>
          </w:p>
        </w:tc>
        <w:tc>
          <w:tcPr>
            <w:tcW w:w="802" w:type="dxa"/>
            <w:tcBorders>
              <w:top w:val="nil"/>
              <w:left w:val="nil"/>
              <w:bottom w:val="single" w:sz="4" w:space="0" w:color="auto"/>
              <w:right w:val="nil"/>
            </w:tcBorders>
            <w:shd w:val="clear" w:color="auto" w:fill="auto"/>
            <w:vAlign w:val="center"/>
            <w:hideMark/>
          </w:tcPr>
          <w:p w14:paraId="0D305A9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130F0A8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3128F3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antibiotic therapy</w:t>
            </w:r>
          </w:p>
        </w:tc>
        <w:tc>
          <w:tcPr>
            <w:tcW w:w="4364" w:type="dxa"/>
            <w:tcBorders>
              <w:top w:val="nil"/>
              <w:left w:val="nil"/>
              <w:bottom w:val="single" w:sz="4" w:space="0" w:color="auto"/>
              <w:right w:val="nil"/>
            </w:tcBorders>
            <w:shd w:val="clear" w:color="auto" w:fill="auto"/>
            <w:vAlign w:val="center"/>
            <w:hideMark/>
          </w:tcPr>
          <w:p w14:paraId="3A0D0C1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Proportion of infants treated with antibiotics within 7 days after study entry of all infants enrolled for suspected infection</w:t>
            </w:r>
          </w:p>
        </w:tc>
        <w:tc>
          <w:tcPr>
            <w:tcW w:w="3209" w:type="dxa"/>
            <w:tcBorders>
              <w:top w:val="nil"/>
              <w:left w:val="nil"/>
              <w:bottom w:val="single" w:sz="4" w:space="0" w:color="auto"/>
              <w:right w:val="nil"/>
            </w:tcBorders>
            <w:shd w:val="clear" w:color="auto" w:fill="auto"/>
            <w:vAlign w:val="center"/>
            <w:hideMark/>
          </w:tcPr>
          <w:p w14:paraId="2195C9C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neonatology</w:t>
            </w:r>
          </w:p>
        </w:tc>
        <w:tc>
          <w:tcPr>
            <w:tcW w:w="709" w:type="dxa"/>
            <w:tcBorders>
              <w:top w:val="nil"/>
              <w:left w:val="nil"/>
              <w:bottom w:val="single" w:sz="4" w:space="0" w:color="auto"/>
              <w:right w:val="nil"/>
            </w:tcBorders>
            <w:shd w:val="clear" w:color="auto" w:fill="auto"/>
            <w:vAlign w:val="center"/>
            <w:hideMark/>
          </w:tcPr>
          <w:p w14:paraId="2409D52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02763A9E" w14:textId="77777777" w:rsidTr="008819CF">
        <w:trPr>
          <w:trHeight w:val="244"/>
        </w:trPr>
        <w:tc>
          <w:tcPr>
            <w:tcW w:w="1524" w:type="dxa"/>
            <w:tcBorders>
              <w:top w:val="nil"/>
              <w:left w:val="nil"/>
              <w:bottom w:val="single" w:sz="4" w:space="0" w:color="auto"/>
              <w:right w:val="nil"/>
            </w:tcBorders>
            <w:shd w:val="clear" w:color="auto" w:fill="auto"/>
            <w:vAlign w:val="center"/>
            <w:hideMark/>
          </w:tcPr>
          <w:p w14:paraId="2AE7A2D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Fraser 199</w:t>
            </w:r>
            <w:r>
              <w:rPr>
                <w:rFonts w:ascii="Arial Narrow" w:hAnsi="Arial Narrow"/>
                <w:sz w:val="18"/>
                <w:szCs w:val="18"/>
                <w:lang w:val="en-GB"/>
              </w:rPr>
              <w:t>7</w:t>
            </w:r>
          </w:p>
        </w:tc>
        <w:tc>
          <w:tcPr>
            <w:tcW w:w="802" w:type="dxa"/>
            <w:tcBorders>
              <w:top w:val="nil"/>
              <w:left w:val="nil"/>
              <w:bottom w:val="single" w:sz="4" w:space="0" w:color="auto"/>
              <w:right w:val="nil"/>
            </w:tcBorders>
            <w:shd w:val="clear" w:color="auto" w:fill="auto"/>
            <w:vAlign w:val="center"/>
            <w:hideMark/>
          </w:tcPr>
          <w:p w14:paraId="135E796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2A635A5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08D050F" w14:textId="77777777"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Prescribe appropriate a</w:t>
            </w:r>
            <w:r w:rsidRPr="003E6B1E">
              <w:rPr>
                <w:rFonts w:ascii="Arial Narrow" w:hAnsi="Arial Narrow"/>
                <w:sz w:val="18"/>
                <w:szCs w:val="18"/>
                <w:lang w:val="en-GB"/>
              </w:rPr>
              <w:t>ntibiotic, dosing regimen or timing</w:t>
            </w:r>
          </w:p>
        </w:tc>
        <w:tc>
          <w:tcPr>
            <w:tcW w:w="4364" w:type="dxa"/>
            <w:tcBorders>
              <w:top w:val="nil"/>
              <w:left w:val="nil"/>
              <w:bottom w:val="single" w:sz="4" w:space="0" w:color="auto"/>
              <w:right w:val="nil"/>
            </w:tcBorders>
            <w:shd w:val="clear" w:color="auto" w:fill="auto"/>
            <w:vAlign w:val="center"/>
            <w:hideMark/>
          </w:tcPr>
          <w:p w14:paraId="7D07E14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Antibiotic charges</w:t>
            </w:r>
          </w:p>
        </w:tc>
        <w:tc>
          <w:tcPr>
            <w:tcW w:w="3209" w:type="dxa"/>
            <w:tcBorders>
              <w:top w:val="nil"/>
              <w:left w:val="nil"/>
              <w:bottom w:val="single" w:sz="4" w:space="0" w:color="auto"/>
              <w:right w:val="nil"/>
            </w:tcBorders>
            <w:shd w:val="clear" w:color="auto" w:fill="auto"/>
            <w:vAlign w:val="center"/>
            <w:hideMark/>
          </w:tcPr>
          <w:p w14:paraId="325AFA13" w14:textId="29CCE010"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Medical, surgery, intensive care, haematology and oncology</w:t>
            </w:r>
          </w:p>
        </w:tc>
        <w:tc>
          <w:tcPr>
            <w:tcW w:w="709" w:type="dxa"/>
            <w:tcBorders>
              <w:top w:val="nil"/>
              <w:left w:val="nil"/>
              <w:bottom w:val="single" w:sz="4" w:space="0" w:color="auto"/>
              <w:right w:val="nil"/>
            </w:tcBorders>
            <w:shd w:val="clear" w:color="auto" w:fill="auto"/>
            <w:vAlign w:val="center"/>
            <w:hideMark/>
          </w:tcPr>
          <w:p w14:paraId="7D9CC67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381891E2" w14:textId="77777777" w:rsidTr="008819CF">
        <w:trPr>
          <w:trHeight w:val="359"/>
        </w:trPr>
        <w:tc>
          <w:tcPr>
            <w:tcW w:w="1524" w:type="dxa"/>
            <w:tcBorders>
              <w:top w:val="nil"/>
              <w:left w:val="nil"/>
              <w:bottom w:val="single" w:sz="4" w:space="0" w:color="auto"/>
              <w:right w:val="nil"/>
            </w:tcBorders>
            <w:shd w:val="clear" w:color="auto" w:fill="auto"/>
            <w:vAlign w:val="center"/>
            <w:hideMark/>
          </w:tcPr>
          <w:p w14:paraId="0CB3773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Fridkin 2002 </w:t>
            </w:r>
          </w:p>
        </w:tc>
        <w:tc>
          <w:tcPr>
            <w:tcW w:w="802" w:type="dxa"/>
            <w:tcBorders>
              <w:top w:val="nil"/>
              <w:left w:val="nil"/>
              <w:bottom w:val="single" w:sz="4" w:space="0" w:color="auto"/>
              <w:right w:val="nil"/>
            </w:tcBorders>
            <w:shd w:val="clear" w:color="auto" w:fill="auto"/>
            <w:vAlign w:val="center"/>
            <w:hideMark/>
          </w:tcPr>
          <w:p w14:paraId="5BF1858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5B9D336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8C9C20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vancomycin use</w:t>
            </w:r>
          </w:p>
        </w:tc>
        <w:tc>
          <w:tcPr>
            <w:tcW w:w="4364" w:type="dxa"/>
            <w:tcBorders>
              <w:top w:val="nil"/>
              <w:left w:val="nil"/>
              <w:bottom w:val="single" w:sz="4" w:space="0" w:color="auto"/>
              <w:right w:val="nil"/>
            </w:tcBorders>
            <w:shd w:val="clear" w:color="auto" w:fill="auto"/>
            <w:vAlign w:val="center"/>
            <w:hideMark/>
          </w:tcPr>
          <w:p w14:paraId="2F251E3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Vancomycin use; presence of vancomycin-resistant enterococci</w:t>
            </w:r>
          </w:p>
        </w:tc>
        <w:tc>
          <w:tcPr>
            <w:tcW w:w="3209" w:type="dxa"/>
            <w:tcBorders>
              <w:top w:val="nil"/>
              <w:left w:val="nil"/>
              <w:bottom w:val="single" w:sz="4" w:space="0" w:color="auto"/>
              <w:right w:val="nil"/>
            </w:tcBorders>
            <w:shd w:val="clear" w:color="auto" w:fill="auto"/>
            <w:vAlign w:val="center"/>
            <w:hideMark/>
          </w:tcPr>
          <w:p w14:paraId="3E05337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Physicians in ICU </w:t>
            </w:r>
          </w:p>
        </w:tc>
        <w:tc>
          <w:tcPr>
            <w:tcW w:w="709" w:type="dxa"/>
            <w:tcBorders>
              <w:top w:val="nil"/>
              <w:left w:val="nil"/>
              <w:bottom w:val="single" w:sz="4" w:space="0" w:color="auto"/>
              <w:right w:val="nil"/>
            </w:tcBorders>
            <w:shd w:val="clear" w:color="auto" w:fill="auto"/>
            <w:vAlign w:val="center"/>
            <w:hideMark/>
          </w:tcPr>
          <w:p w14:paraId="1DC20A7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CBA</w:t>
            </w:r>
          </w:p>
        </w:tc>
      </w:tr>
      <w:tr w:rsidR="0098086A" w:rsidRPr="003E6B1E" w14:paraId="68A73BF0" w14:textId="77777777" w:rsidTr="008819CF">
        <w:trPr>
          <w:trHeight w:val="1408"/>
        </w:trPr>
        <w:tc>
          <w:tcPr>
            <w:tcW w:w="1524" w:type="dxa"/>
            <w:tcBorders>
              <w:top w:val="nil"/>
              <w:left w:val="nil"/>
              <w:bottom w:val="single" w:sz="4" w:space="0" w:color="auto"/>
              <w:right w:val="nil"/>
            </w:tcBorders>
            <w:shd w:val="clear" w:color="auto" w:fill="auto"/>
            <w:vAlign w:val="center"/>
            <w:hideMark/>
          </w:tcPr>
          <w:p w14:paraId="21A1615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Frijling 2002</w:t>
            </w:r>
          </w:p>
        </w:tc>
        <w:tc>
          <w:tcPr>
            <w:tcW w:w="802" w:type="dxa"/>
            <w:tcBorders>
              <w:top w:val="nil"/>
              <w:left w:val="nil"/>
              <w:bottom w:val="single" w:sz="4" w:space="0" w:color="auto"/>
              <w:right w:val="nil"/>
            </w:tcBorders>
            <w:shd w:val="clear" w:color="auto" w:fill="auto"/>
            <w:vAlign w:val="center"/>
            <w:hideMark/>
          </w:tcPr>
          <w:p w14:paraId="4720496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3CADE05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7584729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decision making in diabetes care</w:t>
            </w:r>
          </w:p>
        </w:tc>
        <w:tc>
          <w:tcPr>
            <w:tcW w:w="4364" w:type="dxa"/>
            <w:tcBorders>
              <w:top w:val="nil"/>
              <w:left w:val="nil"/>
              <w:bottom w:val="single" w:sz="4" w:space="0" w:color="auto"/>
              <w:right w:val="nil"/>
            </w:tcBorders>
            <w:shd w:val="clear" w:color="auto" w:fill="auto"/>
            <w:vAlign w:val="center"/>
            <w:hideMark/>
          </w:tcPr>
          <w:p w14:paraId="752C4CBD" w14:textId="77777777" w:rsidR="0098086A" w:rsidRPr="003E6B1E" w:rsidRDefault="0098086A" w:rsidP="00EF107A">
            <w:pPr>
              <w:tabs>
                <w:tab w:val="left" w:pos="6379"/>
              </w:tabs>
              <w:spacing w:line="240" w:lineRule="auto"/>
              <w:rPr>
                <w:rFonts w:ascii="Arial Narrow" w:hAnsi="Arial Narrow"/>
                <w:sz w:val="18"/>
                <w:szCs w:val="18"/>
                <w:lang w:val="en-GB"/>
              </w:rPr>
            </w:pPr>
            <w:r w:rsidRPr="003E6B1E">
              <w:rPr>
                <w:rFonts w:ascii="Arial Narrow" w:hAnsi="Arial Narrow"/>
                <w:sz w:val="18"/>
                <w:szCs w:val="18"/>
                <w:lang w:val="en-GB"/>
              </w:rPr>
              <w:t>Compliance rates with evidence-based recommendations pertaining to discussion of body weight control, discussion of problems with medication, blood pressure measurement, foot examination, eye examination, initiating anti-diabetic medication or increasing the dosage in cases of uncontrolled blood glucose, and scheduling a follow-up appointment</w:t>
            </w:r>
          </w:p>
        </w:tc>
        <w:tc>
          <w:tcPr>
            <w:tcW w:w="3209" w:type="dxa"/>
            <w:tcBorders>
              <w:top w:val="nil"/>
              <w:left w:val="nil"/>
              <w:bottom w:val="single" w:sz="4" w:space="0" w:color="auto"/>
              <w:right w:val="nil"/>
            </w:tcBorders>
            <w:shd w:val="clear" w:color="auto" w:fill="auto"/>
            <w:vAlign w:val="center"/>
            <w:hideMark/>
          </w:tcPr>
          <w:p w14:paraId="3F88D8A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572CB1A0"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0E556096" w14:textId="77777777" w:rsidTr="008819CF">
        <w:trPr>
          <w:trHeight w:val="566"/>
        </w:trPr>
        <w:tc>
          <w:tcPr>
            <w:tcW w:w="1524" w:type="dxa"/>
            <w:tcBorders>
              <w:top w:val="nil"/>
              <w:left w:val="nil"/>
              <w:bottom w:val="single" w:sz="4" w:space="0" w:color="auto"/>
              <w:right w:val="nil"/>
            </w:tcBorders>
            <w:shd w:val="clear" w:color="auto" w:fill="auto"/>
            <w:vAlign w:val="center"/>
            <w:hideMark/>
          </w:tcPr>
          <w:p w14:paraId="72B346D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Frijling 2003</w:t>
            </w:r>
          </w:p>
        </w:tc>
        <w:tc>
          <w:tcPr>
            <w:tcW w:w="802" w:type="dxa"/>
            <w:tcBorders>
              <w:top w:val="nil"/>
              <w:left w:val="nil"/>
              <w:bottom w:val="single" w:sz="4" w:space="0" w:color="auto"/>
              <w:right w:val="nil"/>
            </w:tcBorders>
            <w:shd w:val="clear" w:color="auto" w:fill="auto"/>
            <w:vAlign w:val="center"/>
            <w:hideMark/>
          </w:tcPr>
          <w:p w14:paraId="62B1B27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5617A17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639B560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frequency of 12 behaviours</w:t>
            </w:r>
          </w:p>
        </w:tc>
        <w:tc>
          <w:tcPr>
            <w:tcW w:w="4364" w:type="dxa"/>
            <w:tcBorders>
              <w:top w:val="nil"/>
              <w:left w:val="nil"/>
              <w:bottom w:val="single" w:sz="4" w:space="0" w:color="auto"/>
              <w:right w:val="nil"/>
            </w:tcBorders>
            <w:shd w:val="clear" w:color="auto" w:fill="auto"/>
            <w:vAlign w:val="center"/>
            <w:hideMark/>
          </w:tcPr>
          <w:p w14:paraId="59415DE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Clinical decision making of GP's in cardiovascular care (12 Behaviours assessment of risk factors for Newly diagno</w:t>
            </w:r>
            <w:r>
              <w:rPr>
                <w:rFonts w:ascii="Arial Narrow" w:hAnsi="Arial Narrow"/>
                <w:sz w:val="18"/>
                <w:szCs w:val="18"/>
                <w:lang w:val="en-GB"/>
              </w:rPr>
              <w:t>sed hypertension)</w:t>
            </w:r>
            <w:r w:rsidRPr="003E6B1E">
              <w:rPr>
                <w:rFonts w:ascii="Arial Narrow" w:hAnsi="Arial Narrow"/>
                <w:sz w:val="18"/>
                <w:szCs w:val="18"/>
                <w:lang w:val="en-GB"/>
              </w:rPr>
              <w:t xml:space="preserve"> </w:t>
            </w:r>
          </w:p>
        </w:tc>
        <w:tc>
          <w:tcPr>
            <w:tcW w:w="3209" w:type="dxa"/>
            <w:tcBorders>
              <w:top w:val="nil"/>
              <w:left w:val="nil"/>
              <w:bottom w:val="single" w:sz="4" w:space="0" w:color="auto"/>
              <w:right w:val="nil"/>
            </w:tcBorders>
            <w:shd w:val="clear" w:color="auto" w:fill="auto"/>
            <w:vAlign w:val="center"/>
            <w:hideMark/>
          </w:tcPr>
          <w:p w14:paraId="3BBB782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2CDF51E4"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2DB2793B" w14:textId="77777777" w:rsidTr="008819CF">
        <w:trPr>
          <w:trHeight w:val="396"/>
        </w:trPr>
        <w:tc>
          <w:tcPr>
            <w:tcW w:w="1524" w:type="dxa"/>
            <w:tcBorders>
              <w:top w:val="nil"/>
              <w:left w:val="nil"/>
              <w:bottom w:val="single" w:sz="4" w:space="0" w:color="auto"/>
              <w:right w:val="nil"/>
            </w:tcBorders>
            <w:shd w:val="clear" w:color="auto" w:fill="auto"/>
            <w:vAlign w:val="center"/>
            <w:hideMark/>
          </w:tcPr>
          <w:p w14:paraId="7C671C4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Gama 1992</w:t>
            </w:r>
          </w:p>
        </w:tc>
        <w:tc>
          <w:tcPr>
            <w:tcW w:w="802" w:type="dxa"/>
            <w:tcBorders>
              <w:top w:val="nil"/>
              <w:left w:val="nil"/>
              <w:bottom w:val="single" w:sz="4" w:space="0" w:color="auto"/>
              <w:right w:val="nil"/>
            </w:tcBorders>
            <w:shd w:val="clear" w:color="auto" w:fill="auto"/>
            <w:vAlign w:val="center"/>
            <w:hideMark/>
          </w:tcPr>
          <w:p w14:paraId="1AB4BC1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29F9DC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6074F80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w:t>
            </w:r>
            <w:r>
              <w:rPr>
                <w:rFonts w:ascii="Arial Narrow" w:hAnsi="Arial Narrow"/>
                <w:sz w:val="18"/>
                <w:szCs w:val="18"/>
                <w:lang w:val="en-GB"/>
              </w:rPr>
              <w:t>e</w:t>
            </w:r>
            <w:r w:rsidRPr="003E6B1E">
              <w:rPr>
                <w:rFonts w:ascii="Arial Narrow" w:hAnsi="Arial Narrow"/>
                <w:sz w:val="18"/>
                <w:szCs w:val="18"/>
                <w:lang w:val="en-GB"/>
              </w:rPr>
              <w:t xml:space="preserve"> laboratory test usage</w:t>
            </w:r>
          </w:p>
        </w:tc>
        <w:tc>
          <w:tcPr>
            <w:tcW w:w="4364" w:type="dxa"/>
            <w:tcBorders>
              <w:top w:val="nil"/>
              <w:left w:val="nil"/>
              <w:bottom w:val="single" w:sz="4" w:space="0" w:color="auto"/>
              <w:right w:val="nil"/>
            </w:tcBorders>
            <w:shd w:val="clear" w:color="auto" w:fill="auto"/>
            <w:vAlign w:val="center"/>
            <w:hideMark/>
          </w:tcPr>
          <w:p w14:paraId="025C978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Clinical chemistry test requests, revenue expenditure</w:t>
            </w:r>
          </w:p>
        </w:tc>
        <w:tc>
          <w:tcPr>
            <w:tcW w:w="3209" w:type="dxa"/>
            <w:tcBorders>
              <w:top w:val="nil"/>
              <w:left w:val="nil"/>
              <w:bottom w:val="single" w:sz="4" w:space="0" w:color="auto"/>
              <w:right w:val="nil"/>
            </w:tcBorders>
            <w:shd w:val="clear" w:color="auto" w:fill="auto"/>
            <w:vAlign w:val="center"/>
            <w:hideMark/>
          </w:tcPr>
          <w:p w14:paraId="352E3EE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Consultant physicians (3 intervention; 2 control)</w:t>
            </w:r>
          </w:p>
        </w:tc>
        <w:tc>
          <w:tcPr>
            <w:tcW w:w="709" w:type="dxa"/>
            <w:tcBorders>
              <w:top w:val="nil"/>
              <w:left w:val="nil"/>
              <w:bottom w:val="single" w:sz="4" w:space="0" w:color="auto"/>
              <w:right w:val="nil"/>
            </w:tcBorders>
            <w:shd w:val="clear" w:color="auto" w:fill="auto"/>
            <w:vAlign w:val="center"/>
            <w:hideMark/>
          </w:tcPr>
          <w:p w14:paraId="58CC38F8"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7056E43" w14:textId="77777777" w:rsidTr="008819CF">
        <w:trPr>
          <w:trHeight w:val="416"/>
        </w:trPr>
        <w:tc>
          <w:tcPr>
            <w:tcW w:w="1524" w:type="dxa"/>
            <w:tcBorders>
              <w:top w:val="nil"/>
              <w:left w:val="nil"/>
              <w:bottom w:val="single" w:sz="4" w:space="0" w:color="auto"/>
              <w:right w:val="nil"/>
            </w:tcBorders>
            <w:shd w:val="clear" w:color="auto" w:fill="auto"/>
            <w:vAlign w:val="center"/>
            <w:hideMark/>
          </w:tcPr>
          <w:p w14:paraId="32E19EE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lastRenderedPageBreak/>
              <w:t>Gardner 2005</w:t>
            </w:r>
          </w:p>
        </w:tc>
        <w:tc>
          <w:tcPr>
            <w:tcW w:w="802" w:type="dxa"/>
            <w:tcBorders>
              <w:top w:val="nil"/>
              <w:left w:val="nil"/>
              <w:bottom w:val="single" w:sz="4" w:space="0" w:color="auto"/>
              <w:right w:val="nil"/>
            </w:tcBorders>
            <w:shd w:val="clear" w:color="auto" w:fill="auto"/>
            <w:vAlign w:val="center"/>
            <w:hideMark/>
          </w:tcPr>
          <w:p w14:paraId="149AE9C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16073E8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2EF7771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Increase the </w:t>
            </w:r>
            <w:r>
              <w:rPr>
                <w:rFonts w:ascii="Arial Narrow" w:hAnsi="Arial Narrow"/>
                <w:sz w:val="18"/>
                <w:szCs w:val="18"/>
                <w:lang w:val="en-GB"/>
              </w:rPr>
              <w:t>follow-up for</w:t>
            </w:r>
            <w:r w:rsidRPr="003E6B1E">
              <w:rPr>
                <w:rFonts w:ascii="Arial Narrow" w:hAnsi="Arial Narrow"/>
                <w:sz w:val="18"/>
                <w:szCs w:val="18"/>
                <w:lang w:val="en-GB"/>
              </w:rPr>
              <w:t xml:space="preserve"> a hip fracture by BMD ordered and anti-resorptive Therapy.</w:t>
            </w:r>
          </w:p>
        </w:tc>
        <w:tc>
          <w:tcPr>
            <w:tcW w:w="4364" w:type="dxa"/>
            <w:tcBorders>
              <w:top w:val="nil"/>
              <w:left w:val="nil"/>
              <w:bottom w:val="single" w:sz="4" w:space="0" w:color="auto"/>
              <w:right w:val="nil"/>
            </w:tcBorders>
            <w:shd w:val="clear" w:color="auto" w:fill="auto"/>
            <w:vAlign w:val="center"/>
            <w:hideMark/>
          </w:tcPr>
          <w:p w14:paraId="66A0C5A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The ratio of the number of patients in each group to the number of patients in whom their primary physician had addressed the osteoporosis, as reported by the patient. </w:t>
            </w:r>
          </w:p>
        </w:tc>
        <w:tc>
          <w:tcPr>
            <w:tcW w:w="3209" w:type="dxa"/>
            <w:tcBorders>
              <w:top w:val="nil"/>
              <w:left w:val="nil"/>
              <w:bottom w:val="single" w:sz="4" w:space="0" w:color="auto"/>
              <w:right w:val="nil"/>
            </w:tcBorders>
            <w:shd w:val="clear" w:color="auto" w:fill="auto"/>
            <w:vAlign w:val="center"/>
            <w:hideMark/>
          </w:tcPr>
          <w:p w14:paraId="40CCAEF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Primary care physicians </w:t>
            </w:r>
          </w:p>
        </w:tc>
        <w:tc>
          <w:tcPr>
            <w:tcW w:w="709" w:type="dxa"/>
            <w:tcBorders>
              <w:top w:val="nil"/>
              <w:left w:val="nil"/>
              <w:bottom w:val="single" w:sz="4" w:space="0" w:color="auto"/>
              <w:right w:val="nil"/>
            </w:tcBorders>
            <w:shd w:val="clear" w:color="auto" w:fill="auto"/>
            <w:vAlign w:val="center"/>
            <w:hideMark/>
          </w:tcPr>
          <w:p w14:paraId="45C238A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33D9E8DF" w14:textId="77777777" w:rsidTr="008819CF">
        <w:trPr>
          <w:trHeight w:val="420"/>
        </w:trPr>
        <w:tc>
          <w:tcPr>
            <w:tcW w:w="1524" w:type="dxa"/>
            <w:tcBorders>
              <w:top w:val="nil"/>
              <w:left w:val="nil"/>
              <w:bottom w:val="single" w:sz="4" w:space="0" w:color="auto"/>
              <w:right w:val="nil"/>
            </w:tcBorders>
            <w:shd w:val="clear" w:color="auto" w:fill="auto"/>
            <w:vAlign w:val="center"/>
            <w:hideMark/>
          </w:tcPr>
          <w:p w14:paraId="3663CE4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Gehlbach 1984</w:t>
            </w:r>
          </w:p>
        </w:tc>
        <w:tc>
          <w:tcPr>
            <w:tcW w:w="802" w:type="dxa"/>
            <w:tcBorders>
              <w:top w:val="nil"/>
              <w:left w:val="nil"/>
              <w:bottom w:val="single" w:sz="4" w:space="0" w:color="auto"/>
              <w:right w:val="nil"/>
            </w:tcBorders>
            <w:shd w:val="clear" w:color="auto" w:fill="auto"/>
            <w:vAlign w:val="center"/>
            <w:hideMark/>
          </w:tcPr>
          <w:p w14:paraId="2DECDCF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72E50C5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58189E4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generic drug prescribing</w:t>
            </w:r>
          </w:p>
        </w:tc>
        <w:tc>
          <w:tcPr>
            <w:tcW w:w="4364" w:type="dxa"/>
            <w:tcBorders>
              <w:top w:val="nil"/>
              <w:left w:val="nil"/>
              <w:bottom w:val="single" w:sz="4" w:space="0" w:color="auto"/>
              <w:right w:val="nil"/>
            </w:tcBorders>
            <w:shd w:val="clear" w:color="auto" w:fill="auto"/>
            <w:vAlign w:val="center"/>
            <w:hideMark/>
          </w:tcPr>
          <w:p w14:paraId="437C2CA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generic drug prescribing</w:t>
            </w:r>
          </w:p>
        </w:tc>
        <w:tc>
          <w:tcPr>
            <w:tcW w:w="3209" w:type="dxa"/>
            <w:tcBorders>
              <w:top w:val="nil"/>
              <w:left w:val="nil"/>
              <w:bottom w:val="single" w:sz="4" w:space="0" w:color="auto"/>
              <w:right w:val="nil"/>
            </w:tcBorders>
            <w:shd w:val="clear" w:color="auto" w:fill="auto"/>
            <w:vAlign w:val="center"/>
            <w:hideMark/>
          </w:tcPr>
          <w:p w14:paraId="0DCA0B5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7A052E9B"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0AE3403B" w14:textId="77777777" w:rsidTr="008819CF">
        <w:trPr>
          <w:trHeight w:val="271"/>
        </w:trPr>
        <w:tc>
          <w:tcPr>
            <w:tcW w:w="1524" w:type="dxa"/>
            <w:tcBorders>
              <w:top w:val="nil"/>
              <w:left w:val="nil"/>
              <w:bottom w:val="single" w:sz="4" w:space="0" w:color="auto"/>
              <w:right w:val="nil"/>
            </w:tcBorders>
            <w:shd w:val="clear" w:color="auto" w:fill="auto"/>
            <w:vAlign w:val="center"/>
            <w:hideMark/>
          </w:tcPr>
          <w:p w14:paraId="49C7708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Gerding 1985 </w:t>
            </w:r>
            <w:r w:rsidRPr="003E6B1E">
              <w:rPr>
                <w:rFonts w:ascii="Arial Narrow" w:hAnsi="Arial Narrow"/>
                <w:sz w:val="18"/>
                <w:szCs w:val="18"/>
                <w:lang w:val="en-GB"/>
              </w:rPr>
              <w:fldChar w:fldCharType="begin"/>
            </w:r>
            <w:r>
              <w:rPr>
                <w:rFonts w:ascii="Arial Narrow" w:hAnsi="Arial Narrow"/>
                <w:sz w:val="18"/>
                <w:szCs w:val="18"/>
                <w:lang w:val="en-GB"/>
              </w:rPr>
              <w:instrText xml:space="preserve"> ADDIN EN.CITE &lt;EndNote&gt;&lt;Cite&gt;&lt;Author&gt;Gerding&lt;/Author&gt;&lt;Year&gt;1985&lt;/Year&gt;&lt;RecNum&gt;5314&lt;/RecNum&gt;&lt;DisplayText&gt;[369]&lt;/DisplayText&gt;&lt;record&gt;&lt;rec-number&gt;5314&lt;/rec-number&gt;&lt;foreign-keys&gt;&lt;key app="EN" db-id="s5zvps5w4vd0rjevval59tpffwsfx2wptstf" timestamp="1470257890"&gt;5314&lt;/key&gt;&lt;/foreign-keys&gt;&lt;ref-type name="Journal Article"&gt;17&lt;/ref-type&gt;&lt;contributors&gt;&lt;authors&gt;&lt;author&gt;Gerding, Dale N&lt;/author&gt;&lt;author&gt;Larson, Tom A&lt;/author&gt;&lt;/authors&gt;&lt;/contributors&gt;&lt;titles&gt;&lt;title&gt;Aminoglycoside resistance in gram-negative bacilli during increased amikacin use: comparison of experience in 14 United States hospitals with experience in the Minneapolis Veterans Administration Medical Center&lt;/title&gt;&lt;secondary-title&gt;The American journal of medicine&lt;/secondary-title&gt;&lt;/titles&gt;&lt;periodical&gt;&lt;full-title&gt;The American journal of medicine&lt;/full-title&gt;&lt;/periodical&gt;&lt;pages&gt;1-7&lt;/pages&gt;&lt;volume&gt;79&lt;/volume&gt;&lt;number&gt;1&lt;/number&gt;&lt;dates&gt;&lt;year&gt;1985&lt;/year&gt;&lt;/dates&gt;&lt;isbn&gt;0002-9343&lt;/isbn&gt;&lt;urls&gt;&lt;/urls&gt;&lt;/record&gt;&lt;/Cite&gt;&lt;/EndNote&gt;</w:instrText>
            </w:r>
            <w:r w:rsidRPr="003E6B1E">
              <w:rPr>
                <w:rFonts w:ascii="Arial Narrow" w:hAnsi="Arial Narrow"/>
                <w:sz w:val="18"/>
                <w:szCs w:val="18"/>
                <w:lang w:val="en-GB"/>
              </w:rPr>
              <w:fldChar w:fldCharType="end"/>
            </w:r>
          </w:p>
        </w:tc>
        <w:tc>
          <w:tcPr>
            <w:tcW w:w="802" w:type="dxa"/>
            <w:tcBorders>
              <w:top w:val="nil"/>
              <w:left w:val="nil"/>
              <w:bottom w:val="single" w:sz="4" w:space="0" w:color="auto"/>
              <w:right w:val="nil"/>
            </w:tcBorders>
            <w:shd w:val="clear" w:color="auto" w:fill="auto"/>
            <w:vAlign w:val="center"/>
            <w:hideMark/>
          </w:tcPr>
          <w:p w14:paraId="0334C9C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1B2CBB5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E1CDF3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Change from one antibiotic to another</w:t>
            </w:r>
          </w:p>
        </w:tc>
        <w:tc>
          <w:tcPr>
            <w:tcW w:w="4364" w:type="dxa"/>
            <w:tcBorders>
              <w:top w:val="nil"/>
              <w:left w:val="nil"/>
              <w:bottom w:val="single" w:sz="4" w:space="0" w:color="auto"/>
              <w:right w:val="nil"/>
            </w:tcBorders>
            <w:shd w:val="clear" w:color="auto" w:fill="auto"/>
            <w:vAlign w:val="center"/>
            <w:hideMark/>
          </w:tcPr>
          <w:p w14:paraId="54AC183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Aminoglycoside use and resistance to gentamicin </w:t>
            </w:r>
          </w:p>
        </w:tc>
        <w:tc>
          <w:tcPr>
            <w:tcW w:w="3209" w:type="dxa"/>
            <w:tcBorders>
              <w:top w:val="nil"/>
              <w:left w:val="nil"/>
              <w:bottom w:val="single" w:sz="4" w:space="0" w:color="auto"/>
              <w:right w:val="nil"/>
            </w:tcBorders>
            <w:shd w:val="clear" w:color="auto" w:fill="auto"/>
            <w:vAlign w:val="center"/>
            <w:hideMark/>
          </w:tcPr>
          <w:p w14:paraId="6929207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Physicians in 14 hospitals </w:t>
            </w:r>
          </w:p>
        </w:tc>
        <w:tc>
          <w:tcPr>
            <w:tcW w:w="709" w:type="dxa"/>
            <w:tcBorders>
              <w:top w:val="nil"/>
              <w:left w:val="nil"/>
              <w:bottom w:val="single" w:sz="4" w:space="0" w:color="auto"/>
              <w:right w:val="nil"/>
            </w:tcBorders>
            <w:shd w:val="clear" w:color="auto" w:fill="auto"/>
            <w:vAlign w:val="center"/>
            <w:hideMark/>
          </w:tcPr>
          <w:p w14:paraId="7224DA9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 UBA</w:t>
            </w:r>
          </w:p>
        </w:tc>
      </w:tr>
      <w:tr w:rsidR="0098086A" w:rsidRPr="003E6B1E" w14:paraId="760C0BAC" w14:textId="77777777" w:rsidTr="008819CF">
        <w:trPr>
          <w:trHeight w:val="419"/>
        </w:trPr>
        <w:tc>
          <w:tcPr>
            <w:tcW w:w="1524" w:type="dxa"/>
            <w:tcBorders>
              <w:top w:val="nil"/>
              <w:left w:val="nil"/>
              <w:bottom w:val="single" w:sz="4" w:space="0" w:color="auto"/>
              <w:right w:val="nil"/>
            </w:tcBorders>
            <w:shd w:val="clear" w:color="auto" w:fill="auto"/>
            <w:vAlign w:val="center"/>
            <w:hideMark/>
          </w:tcPr>
          <w:p w14:paraId="4B23DBB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Goff 2003</w:t>
            </w:r>
          </w:p>
        </w:tc>
        <w:tc>
          <w:tcPr>
            <w:tcW w:w="802" w:type="dxa"/>
            <w:tcBorders>
              <w:top w:val="nil"/>
              <w:left w:val="nil"/>
              <w:bottom w:val="single" w:sz="4" w:space="0" w:color="auto"/>
              <w:right w:val="nil"/>
            </w:tcBorders>
            <w:shd w:val="clear" w:color="auto" w:fill="auto"/>
            <w:vAlign w:val="center"/>
            <w:hideMark/>
          </w:tcPr>
          <w:p w14:paraId="39B0015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30308A5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5137679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use of coronary heart disease medications</w:t>
            </w:r>
          </w:p>
        </w:tc>
        <w:tc>
          <w:tcPr>
            <w:tcW w:w="4364" w:type="dxa"/>
            <w:tcBorders>
              <w:top w:val="nil"/>
              <w:left w:val="nil"/>
              <w:bottom w:val="single" w:sz="4" w:space="0" w:color="auto"/>
              <w:right w:val="nil"/>
            </w:tcBorders>
            <w:shd w:val="clear" w:color="auto" w:fill="auto"/>
            <w:vAlign w:val="center"/>
            <w:hideMark/>
          </w:tcPr>
          <w:p w14:paraId="558D289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The use of 3-hydroxy- 3methylglutaryl coenzyme A (HMG CoA) reductase inhibitors, </w:t>
            </w:r>
            <w:r>
              <w:rPr>
                <w:rFonts w:ascii="Arial Narrow" w:hAnsi="Arial Narrow"/>
                <w:sz w:val="18"/>
                <w:szCs w:val="18"/>
                <w:lang w:val="en-GB"/>
              </w:rPr>
              <w:t>beta blocker</w:t>
            </w:r>
            <w:r w:rsidRPr="003E6B1E">
              <w:rPr>
                <w:rFonts w:ascii="Arial Narrow" w:hAnsi="Arial Narrow"/>
                <w:sz w:val="18"/>
                <w:szCs w:val="18"/>
                <w:lang w:val="en-GB"/>
              </w:rPr>
              <w:t>s, and angiotensin-converting enzyme (ACE) inhibitors in patients with CHD</w:t>
            </w:r>
          </w:p>
        </w:tc>
        <w:tc>
          <w:tcPr>
            <w:tcW w:w="3209" w:type="dxa"/>
            <w:tcBorders>
              <w:top w:val="nil"/>
              <w:left w:val="nil"/>
              <w:bottom w:val="single" w:sz="4" w:space="0" w:color="auto"/>
              <w:right w:val="nil"/>
            </w:tcBorders>
            <w:shd w:val="clear" w:color="auto" w:fill="auto"/>
            <w:vAlign w:val="center"/>
            <w:hideMark/>
          </w:tcPr>
          <w:p w14:paraId="235A75C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physicians</w:t>
            </w:r>
          </w:p>
        </w:tc>
        <w:tc>
          <w:tcPr>
            <w:tcW w:w="709" w:type="dxa"/>
            <w:tcBorders>
              <w:top w:val="nil"/>
              <w:left w:val="nil"/>
              <w:bottom w:val="single" w:sz="4" w:space="0" w:color="auto"/>
              <w:right w:val="nil"/>
            </w:tcBorders>
            <w:shd w:val="clear" w:color="auto" w:fill="auto"/>
            <w:vAlign w:val="center"/>
            <w:hideMark/>
          </w:tcPr>
          <w:p w14:paraId="02B5084C"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7B9C05F8" w14:textId="77777777" w:rsidTr="008819CF">
        <w:trPr>
          <w:trHeight w:val="295"/>
        </w:trPr>
        <w:tc>
          <w:tcPr>
            <w:tcW w:w="1524" w:type="dxa"/>
            <w:tcBorders>
              <w:top w:val="nil"/>
              <w:left w:val="nil"/>
              <w:bottom w:val="single" w:sz="4" w:space="0" w:color="auto"/>
              <w:right w:val="nil"/>
            </w:tcBorders>
            <w:shd w:val="clear" w:color="auto" w:fill="auto"/>
            <w:vAlign w:val="center"/>
            <w:hideMark/>
          </w:tcPr>
          <w:p w14:paraId="4728AAF1" w14:textId="31AFE990"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Grady 1997</w:t>
            </w:r>
          </w:p>
        </w:tc>
        <w:tc>
          <w:tcPr>
            <w:tcW w:w="802" w:type="dxa"/>
            <w:tcBorders>
              <w:top w:val="nil"/>
              <w:left w:val="nil"/>
              <w:bottom w:val="single" w:sz="4" w:space="0" w:color="auto"/>
              <w:right w:val="nil"/>
            </w:tcBorders>
            <w:shd w:val="clear" w:color="auto" w:fill="auto"/>
            <w:vAlign w:val="center"/>
            <w:hideMark/>
          </w:tcPr>
          <w:p w14:paraId="7E32A7D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785E614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57C625F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w:t>
            </w:r>
            <w:r>
              <w:rPr>
                <w:rFonts w:ascii="Arial Narrow" w:hAnsi="Arial Narrow"/>
                <w:sz w:val="18"/>
                <w:szCs w:val="18"/>
                <w:lang w:val="en-GB"/>
              </w:rPr>
              <w:t>e</w:t>
            </w:r>
            <w:r w:rsidRPr="003E6B1E">
              <w:rPr>
                <w:rFonts w:ascii="Arial Narrow" w:hAnsi="Arial Narrow"/>
                <w:sz w:val="18"/>
                <w:szCs w:val="18"/>
                <w:lang w:val="en-GB"/>
              </w:rPr>
              <w:t xml:space="preserve"> mammography referral</w:t>
            </w:r>
          </w:p>
        </w:tc>
        <w:tc>
          <w:tcPr>
            <w:tcW w:w="4364" w:type="dxa"/>
            <w:tcBorders>
              <w:top w:val="nil"/>
              <w:left w:val="nil"/>
              <w:bottom w:val="single" w:sz="4" w:space="0" w:color="auto"/>
              <w:right w:val="nil"/>
            </w:tcBorders>
            <w:shd w:val="clear" w:color="auto" w:fill="auto"/>
            <w:vAlign w:val="center"/>
            <w:hideMark/>
          </w:tcPr>
          <w:p w14:paraId="67ABAB2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Quarterly and annual mammography referral rates, Quarterly and annual mammography completion rates</w:t>
            </w:r>
          </w:p>
        </w:tc>
        <w:tc>
          <w:tcPr>
            <w:tcW w:w="3209" w:type="dxa"/>
            <w:tcBorders>
              <w:top w:val="nil"/>
              <w:left w:val="nil"/>
              <w:bottom w:val="single" w:sz="4" w:space="0" w:color="auto"/>
              <w:right w:val="nil"/>
            </w:tcBorders>
            <w:shd w:val="clear" w:color="auto" w:fill="auto"/>
            <w:vAlign w:val="center"/>
            <w:hideMark/>
          </w:tcPr>
          <w:p w14:paraId="3FD2E8D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Primary care physicians </w:t>
            </w:r>
          </w:p>
        </w:tc>
        <w:tc>
          <w:tcPr>
            <w:tcW w:w="709" w:type="dxa"/>
            <w:tcBorders>
              <w:top w:val="nil"/>
              <w:left w:val="nil"/>
              <w:bottom w:val="single" w:sz="4" w:space="0" w:color="auto"/>
              <w:right w:val="nil"/>
            </w:tcBorders>
            <w:shd w:val="clear" w:color="auto" w:fill="auto"/>
            <w:vAlign w:val="center"/>
            <w:hideMark/>
          </w:tcPr>
          <w:p w14:paraId="38B10F12"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BCAAC9D" w14:textId="77777777" w:rsidTr="008819CF">
        <w:trPr>
          <w:trHeight w:val="571"/>
        </w:trPr>
        <w:tc>
          <w:tcPr>
            <w:tcW w:w="1524" w:type="dxa"/>
            <w:tcBorders>
              <w:top w:val="nil"/>
              <w:left w:val="nil"/>
              <w:bottom w:val="single" w:sz="4" w:space="0" w:color="auto"/>
              <w:right w:val="nil"/>
            </w:tcBorders>
            <w:shd w:val="clear" w:color="auto" w:fill="auto"/>
            <w:vAlign w:val="center"/>
            <w:hideMark/>
          </w:tcPr>
          <w:p w14:paraId="2B9DF288" w14:textId="48375CF1"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Guadagnoli 2000 </w:t>
            </w:r>
          </w:p>
        </w:tc>
        <w:tc>
          <w:tcPr>
            <w:tcW w:w="802" w:type="dxa"/>
            <w:tcBorders>
              <w:top w:val="nil"/>
              <w:left w:val="nil"/>
              <w:bottom w:val="single" w:sz="4" w:space="0" w:color="auto"/>
              <w:right w:val="nil"/>
            </w:tcBorders>
            <w:shd w:val="clear" w:color="auto" w:fill="auto"/>
            <w:vAlign w:val="center"/>
            <w:hideMark/>
          </w:tcPr>
          <w:p w14:paraId="656E138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4AF1521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26E6B02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w:t>
            </w:r>
            <w:r>
              <w:rPr>
                <w:rFonts w:ascii="Arial Narrow" w:hAnsi="Arial Narrow"/>
                <w:sz w:val="18"/>
                <w:szCs w:val="18"/>
                <w:lang w:val="en-GB"/>
              </w:rPr>
              <w:t>e</w:t>
            </w:r>
            <w:r w:rsidRPr="003E6B1E">
              <w:rPr>
                <w:rFonts w:ascii="Arial Narrow" w:hAnsi="Arial Narrow"/>
                <w:sz w:val="18"/>
                <w:szCs w:val="18"/>
                <w:lang w:val="en-GB"/>
              </w:rPr>
              <w:t xml:space="preserve"> discussion of surgical treatment options for patients with breast cancer</w:t>
            </w:r>
          </w:p>
        </w:tc>
        <w:tc>
          <w:tcPr>
            <w:tcW w:w="4364" w:type="dxa"/>
            <w:tcBorders>
              <w:top w:val="nil"/>
              <w:left w:val="nil"/>
              <w:bottom w:val="single" w:sz="4" w:space="0" w:color="auto"/>
              <w:right w:val="nil"/>
            </w:tcBorders>
            <w:shd w:val="clear" w:color="auto" w:fill="auto"/>
            <w:vAlign w:val="center"/>
            <w:hideMark/>
          </w:tcPr>
          <w:p w14:paraId="7B003DF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Proportion of patients who report surgeon didn't discuss surgical options</w:t>
            </w:r>
          </w:p>
        </w:tc>
        <w:tc>
          <w:tcPr>
            <w:tcW w:w="3209" w:type="dxa"/>
            <w:tcBorders>
              <w:top w:val="nil"/>
              <w:left w:val="nil"/>
              <w:bottom w:val="single" w:sz="4" w:space="0" w:color="auto"/>
              <w:right w:val="nil"/>
            </w:tcBorders>
            <w:shd w:val="clear" w:color="auto" w:fill="auto"/>
            <w:vAlign w:val="center"/>
            <w:hideMark/>
          </w:tcPr>
          <w:p w14:paraId="5356850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Surgeons</w:t>
            </w:r>
          </w:p>
        </w:tc>
        <w:tc>
          <w:tcPr>
            <w:tcW w:w="709" w:type="dxa"/>
            <w:tcBorders>
              <w:top w:val="nil"/>
              <w:left w:val="nil"/>
              <w:bottom w:val="single" w:sz="4" w:space="0" w:color="auto"/>
              <w:right w:val="nil"/>
            </w:tcBorders>
            <w:shd w:val="clear" w:color="auto" w:fill="auto"/>
            <w:vAlign w:val="center"/>
            <w:hideMark/>
          </w:tcPr>
          <w:p w14:paraId="287496D2"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29EBF372" w14:textId="77777777" w:rsidTr="008819CF">
        <w:trPr>
          <w:trHeight w:val="274"/>
        </w:trPr>
        <w:tc>
          <w:tcPr>
            <w:tcW w:w="1524" w:type="dxa"/>
            <w:tcBorders>
              <w:top w:val="nil"/>
              <w:left w:val="nil"/>
              <w:bottom w:val="single" w:sz="4" w:space="0" w:color="auto"/>
              <w:right w:val="nil"/>
            </w:tcBorders>
            <w:shd w:val="clear" w:color="auto" w:fill="auto"/>
            <w:vAlign w:val="center"/>
            <w:hideMark/>
          </w:tcPr>
          <w:p w14:paraId="494CD0F6" w14:textId="5AD9C1B5"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Gupta 1989</w:t>
            </w:r>
          </w:p>
        </w:tc>
        <w:tc>
          <w:tcPr>
            <w:tcW w:w="802" w:type="dxa"/>
            <w:tcBorders>
              <w:top w:val="nil"/>
              <w:left w:val="nil"/>
              <w:bottom w:val="single" w:sz="4" w:space="0" w:color="auto"/>
              <w:right w:val="nil"/>
            </w:tcBorders>
            <w:shd w:val="clear" w:color="auto" w:fill="auto"/>
            <w:vAlign w:val="center"/>
            <w:hideMark/>
          </w:tcPr>
          <w:p w14:paraId="22F9439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4FA3942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176BBB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Cefazolin usage</w:t>
            </w:r>
          </w:p>
        </w:tc>
        <w:tc>
          <w:tcPr>
            <w:tcW w:w="4364" w:type="dxa"/>
            <w:tcBorders>
              <w:top w:val="nil"/>
              <w:left w:val="nil"/>
              <w:bottom w:val="single" w:sz="4" w:space="0" w:color="auto"/>
              <w:right w:val="nil"/>
            </w:tcBorders>
            <w:shd w:val="clear" w:color="auto" w:fill="auto"/>
            <w:vAlign w:val="center"/>
            <w:hideMark/>
          </w:tcPr>
          <w:p w14:paraId="530CFDE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Percentage of order that complied with extended intervals </w:t>
            </w:r>
          </w:p>
        </w:tc>
        <w:tc>
          <w:tcPr>
            <w:tcW w:w="3209" w:type="dxa"/>
            <w:tcBorders>
              <w:top w:val="nil"/>
              <w:left w:val="nil"/>
              <w:bottom w:val="single" w:sz="4" w:space="0" w:color="auto"/>
              <w:right w:val="nil"/>
            </w:tcBorders>
            <w:shd w:val="clear" w:color="auto" w:fill="auto"/>
            <w:vAlign w:val="center"/>
            <w:hideMark/>
          </w:tcPr>
          <w:p w14:paraId="3475624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Health professional </w:t>
            </w:r>
          </w:p>
        </w:tc>
        <w:tc>
          <w:tcPr>
            <w:tcW w:w="709" w:type="dxa"/>
            <w:tcBorders>
              <w:top w:val="nil"/>
              <w:left w:val="nil"/>
              <w:bottom w:val="single" w:sz="4" w:space="0" w:color="auto"/>
              <w:right w:val="nil"/>
            </w:tcBorders>
            <w:shd w:val="clear" w:color="auto" w:fill="auto"/>
            <w:vAlign w:val="center"/>
            <w:hideMark/>
          </w:tcPr>
          <w:p w14:paraId="46AB050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02A33444" w14:textId="77777777" w:rsidTr="008819CF">
        <w:trPr>
          <w:trHeight w:val="476"/>
        </w:trPr>
        <w:tc>
          <w:tcPr>
            <w:tcW w:w="1524" w:type="dxa"/>
            <w:tcBorders>
              <w:top w:val="nil"/>
              <w:left w:val="nil"/>
              <w:bottom w:val="single" w:sz="4" w:space="0" w:color="auto"/>
              <w:right w:val="nil"/>
            </w:tcBorders>
            <w:shd w:val="clear" w:color="auto" w:fill="auto"/>
            <w:vAlign w:val="center"/>
            <w:hideMark/>
          </w:tcPr>
          <w:p w14:paraId="5BE72E76" w14:textId="763DAAD8"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Halm </w:t>
            </w:r>
            <w:r>
              <w:rPr>
                <w:rFonts w:ascii="Arial Narrow" w:hAnsi="Arial Narrow"/>
                <w:sz w:val="18"/>
                <w:szCs w:val="18"/>
                <w:lang w:val="en-GB"/>
              </w:rPr>
              <w:t>2</w:t>
            </w:r>
            <w:r w:rsidRPr="003E6B1E">
              <w:rPr>
                <w:rFonts w:ascii="Arial Narrow" w:hAnsi="Arial Narrow"/>
                <w:sz w:val="18"/>
                <w:szCs w:val="18"/>
                <w:lang w:val="en-GB"/>
              </w:rPr>
              <w:t>004</w:t>
            </w:r>
            <w:r w:rsidRPr="003E6B1E">
              <w:rPr>
                <w:rFonts w:ascii="Arial Narrow" w:hAnsi="Arial Narrow"/>
                <w:sz w:val="18"/>
                <w:szCs w:val="18"/>
                <w:lang w:val="en-GB"/>
              </w:rPr>
              <w:fldChar w:fldCharType="begin"/>
            </w:r>
            <w:r>
              <w:rPr>
                <w:rFonts w:ascii="Arial Narrow" w:hAnsi="Arial Narrow"/>
                <w:sz w:val="18"/>
                <w:szCs w:val="18"/>
                <w:lang w:val="en-GB"/>
              </w:rPr>
              <w:instrText xml:space="preserve"> ADDIN EN.CITE &lt;EndNote&gt;&lt;Cite&gt;&lt;Author&gt;Halm&lt;/Author&gt;&lt;Year&gt;2004&lt;/Year&gt;&lt;RecNum&gt;5316&lt;/RecNum&gt;&lt;DisplayText&gt;[375]&lt;/DisplayText&gt;&lt;record&gt;&lt;rec-number&gt;5316&lt;/rec-number&gt;&lt;foreign-keys&gt;&lt;key app="EN" db-id="s5zvps5w4vd0rjevval59tpffwsfx2wptstf" timestamp="1470257995"&gt;5316&lt;/key&gt;&lt;/foreign-keys&gt;&lt;ref-type name="Journal Article"&gt;17&lt;/ref-type&gt;&lt;contributors&gt;&lt;authors&gt;&lt;author&gt;Halm, Ethan A&lt;/author&gt;&lt;author&gt;Horowitz, Carol&lt;/author&gt;&lt;author&gt;Silver, Alan&lt;/author&gt;&lt;author&gt;Fein, Alan&lt;/author&gt;&lt;author&gt;Dlugacz, Yosef D&lt;/author&gt;&lt;author&gt;Hirsch, Bruce&lt;/author&gt;&lt;author&gt;Chassin, Mark R&lt;/author&gt;&lt;/authors&gt;&lt;/contributors&gt;&lt;titles&gt;&lt;title&gt;Limited impact of a multicenter intervention to improve the quality and efficiency of pneumonia care&lt;/title&gt;&lt;secondary-title&gt;CHEST Journal&lt;/secondary-title&gt;&lt;/titles&gt;&lt;periodical&gt;&lt;full-title&gt;CHEST Journal&lt;/full-title&gt;&lt;/periodical&gt;&lt;pages&gt;100-107&lt;/pages&gt;&lt;volume&gt;126&lt;/volume&gt;&lt;number&gt;1&lt;/number&gt;&lt;dates&gt;&lt;year&gt;2004&lt;/year&gt;&lt;/dates&gt;&lt;isbn&gt;0012-3692&lt;/isbn&gt;&lt;urls&gt;&lt;/urls&gt;&lt;/record&gt;&lt;/Cite&gt;&lt;/EndNote&gt;</w:instrText>
            </w:r>
            <w:r w:rsidRPr="003E6B1E">
              <w:rPr>
                <w:rFonts w:ascii="Arial Narrow" w:hAnsi="Arial Narrow"/>
                <w:sz w:val="18"/>
                <w:szCs w:val="18"/>
                <w:lang w:val="en-GB"/>
              </w:rPr>
              <w:fldChar w:fldCharType="end"/>
            </w:r>
          </w:p>
        </w:tc>
        <w:tc>
          <w:tcPr>
            <w:tcW w:w="802" w:type="dxa"/>
            <w:tcBorders>
              <w:top w:val="nil"/>
              <w:left w:val="nil"/>
              <w:bottom w:val="single" w:sz="4" w:space="0" w:color="auto"/>
              <w:right w:val="nil"/>
            </w:tcBorders>
            <w:shd w:val="clear" w:color="auto" w:fill="auto"/>
            <w:vAlign w:val="center"/>
            <w:hideMark/>
          </w:tcPr>
          <w:p w14:paraId="4EEE3AB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24501E4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30A67DC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the quality, efficiency, and patient understanding of care for community-acquired pneumonia</w:t>
            </w:r>
          </w:p>
        </w:tc>
        <w:tc>
          <w:tcPr>
            <w:tcW w:w="4364" w:type="dxa"/>
            <w:tcBorders>
              <w:top w:val="nil"/>
              <w:left w:val="nil"/>
              <w:bottom w:val="single" w:sz="4" w:space="0" w:color="auto"/>
              <w:right w:val="nil"/>
            </w:tcBorders>
            <w:shd w:val="clear" w:color="auto" w:fill="auto"/>
            <w:vAlign w:val="center"/>
            <w:hideMark/>
          </w:tcPr>
          <w:p w14:paraId="7E34426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Percentage of patients treated with appropriate antibiotic</w:t>
            </w:r>
          </w:p>
        </w:tc>
        <w:tc>
          <w:tcPr>
            <w:tcW w:w="3209" w:type="dxa"/>
            <w:tcBorders>
              <w:top w:val="nil"/>
              <w:left w:val="nil"/>
              <w:bottom w:val="single" w:sz="4" w:space="0" w:color="auto"/>
              <w:right w:val="nil"/>
            </w:tcBorders>
            <w:shd w:val="clear" w:color="auto" w:fill="auto"/>
            <w:vAlign w:val="center"/>
            <w:hideMark/>
          </w:tcPr>
          <w:p w14:paraId="35E3BCE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Hospital Physicians</w:t>
            </w:r>
          </w:p>
        </w:tc>
        <w:tc>
          <w:tcPr>
            <w:tcW w:w="709" w:type="dxa"/>
            <w:tcBorders>
              <w:top w:val="nil"/>
              <w:left w:val="nil"/>
              <w:bottom w:val="single" w:sz="4" w:space="0" w:color="auto"/>
              <w:right w:val="nil"/>
            </w:tcBorders>
            <w:shd w:val="clear" w:color="auto" w:fill="auto"/>
            <w:vAlign w:val="center"/>
            <w:hideMark/>
          </w:tcPr>
          <w:p w14:paraId="48CD2F7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20B94127" w14:textId="77777777" w:rsidTr="008819CF">
        <w:trPr>
          <w:trHeight w:val="658"/>
        </w:trPr>
        <w:tc>
          <w:tcPr>
            <w:tcW w:w="1524" w:type="dxa"/>
            <w:tcBorders>
              <w:top w:val="nil"/>
              <w:left w:val="nil"/>
              <w:bottom w:val="single" w:sz="4" w:space="0" w:color="auto"/>
              <w:right w:val="nil"/>
            </w:tcBorders>
            <w:shd w:val="clear" w:color="auto" w:fill="auto"/>
            <w:vAlign w:val="center"/>
            <w:hideMark/>
          </w:tcPr>
          <w:p w14:paraId="4A18B91E" w14:textId="0B1B52B2"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Hayes 2001 </w:t>
            </w:r>
          </w:p>
        </w:tc>
        <w:tc>
          <w:tcPr>
            <w:tcW w:w="802" w:type="dxa"/>
            <w:tcBorders>
              <w:top w:val="nil"/>
              <w:left w:val="nil"/>
              <w:bottom w:val="single" w:sz="4" w:space="0" w:color="auto"/>
              <w:right w:val="nil"/>
            </w:tcBorders>
            <w:shd w:val="clear" w:color="auto" w:fill="auto"/>
            <w:vAlign w:val="center"/>
            <w:hideMark/>
          </w:tcPr>
          <w:p w14:paraId="3182986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7A1CA1F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377E940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care of inpatients with venous thrombosis</w:t>
            </w:r>
          </w:p>
        </w:tc>
        <w:tc>
          <w:tcPr>
            <w:tcW w:w="4364" w:type="dxa"/>
            <w:tcBorders>
              <w:top w:val="nil"/>
              <w:left w:val="nil"/>
              <w:bottom w:val="single" w:sz="4" w:space="0" w:color="auto"/>
              <w:right w:val="nil"/>
            </w:tcBorders>
            <w:shd w:val="clear" w:color="auto" w:fill="auto"/>
            <w:vAlign w:val="center"/>
            <w:hideMark/>
          </w:tcPr>
          <w:p w14:paraId="0E0221A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Nuclear medicine—ventilation perfusion lung scans Routine INR reporting with prothrombin times</w:t>
            </w:r>
            <w:r w:rsidRPr="003E6B1E">
              <w:rPr>
                <w:rFonts w:ascii="Arial Narrow" w:hAnsi="Arial Narrow"/>
                <w:sz w:val="18"/>
                <w:szCs w:val="18"/>
                <w:lang w:val="en-GB"/>
              </w:rPr>
              <w:br/>
              <w:t>Use of heparin nomogram, standard orders, or protocol</w:t>
            </w:r>
          </w:p>
        </w:tc>
        <w:tc>
          <w:tcPr>
            <w:tcW w:w="3209" w:type="dxa"/>
            <w:tcBorders>
              <w:top w:val="nil"/>
              <w:left w:val="nil"/>
              <w:bottom w:val="single" w:sz="4" w:space="0" w:color="auto"/>
              <w:right w:val="nil"/>
            </w:tcBorders>
            <w:shd w:val="clear" w:color="auto" w:fill="auto"/>
            <w:vAlign w:val="center"/>
            <w:hideMark/>
          </w:tcPr>
          <w:p w14:paraId="02D2756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Internists </w:t>
            </w:r>
          </w:p>
        </w:tc>
        <w:tc>
          <w:tcPr>
            <w:tcW w:w="709" w:type="dxa"/>
            <w:tcBorders>
              <w:top w:val="nil"/>
              <w:left w:val="nil"/>
              <w:bottom w:val="single" w:sz="4" w:space="0" w:color="auto"/>
              <w:right w:val="nil"/>
            </w:tcBorders>
            <w:shd w:val="clear" w:color="auto" w:fill="auto"/>
            <w:vAlign w:val="center"/>
            <w:hideMark/>
          </w:tcPr>
          <w:p w14:paraId="72AAE25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11ADC990" w14:textId="77777777" w:rsidTr="008819CF">
        <w:trPr>
          <w:trHeight w:val="595"/>
        </w:trPr>
        <w:tc>
          <w:tcPr>
            <w:tcW w:w="1524" w:type="dxa"/>
            <w:tcBorders>
              <w:top w:val="nil"/>
              <w:left w:val="nil"/>
              <w:bottom w:val="single" w:sz="4" w:space="0" w:color="auto"/>
              <w:right w:val="nil"/>
            </w:tcBorders>
            <w:shd w:val="clear" w:color="auto" w:fill="auto"/>
            <w:vAlign w:val="center"/>
            <w:hideMark/>
          </w:tcPr>
          <w:p w14:paraId="7E05353A" w14:textId="1F6F7384"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Hayes </w:t>
            </w:r>
            <w:r>
              <w:rPr>
                <w:rFonts w:ascii="Arial Narrow" w:hAnsi="Arial Narrow"/>
                <w:sz w:val="18"/>
                <w:szCs w:val="18"/>
                <w:lang w:val="en-GB"/>
              </w:rPr>
              <w:t>2</w:t>
            </w:r>
            <w:r w:rsidRPr="003E6B1E">
              <w:rPr>
                <w:rFonts w:ascii="Arial Narrow" w:hAnsi="Arial Narrow"/>
                <w:sz w:val="18"/>
                <w:szCs w:val="18"/>
                <w:lang w:val="en-GB"/>
              </w:rPr>
              <w:t xml:space="preserve">002 </w:t>
            </w:r>
          </w:p>
        </w:tc>
        <w:tc>
          <w:tcPr>
            <w:tcW w:w="802" w:type="dxa"/>
            <w:tcBorders>
              <w:top w:val="nil"/>
              <w:left w:val="nil"/>
              <w:bottom w:val="single" w:sz="4" w:space="0" w:color="auto"/>
              <w:right w:val="nil"/>
            </w:tcBorders>
            <w:shd w:val="clear" w:color="auto" w:fill="auto"/>
            <w:vAlign w:val="center"/>
            <w:hideMark/>
          </w:tcPr>
          <w:p w14:paraId="28D7FDE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133C53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3A2150A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Adhere to congestive heart failure guidelines (guidelines used) four indicators of increase in behaviour </w:t>
            </w:r>
          </w:p>
        </w:tc>
        <w:tc>
          <w:tcPr>
            <w:tcW w:w="4364" w:type="dxa"/>
            <w:tcBorders>
              <w:top w:val="nil"/>
              <w:left w:val="nil"/>
              <w:bottom w:val="single" w:sz="4" w:space="0" w:color="auto"/>
              <w:right w:val="nil"/>
            </w:tcBorders>
            <w:shd w:val="clear" w:color="auto" w:fill="auto"/>
            <w:vAlign w:val="center"/>
            <w:hideMark/>
          </w:tcPr>
          <w:p w14:paraId="2B1F0A2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Documentation of left ventricle function, Use of ACE inhibitors, </w:t>
            </w:r>
            <w:proofErr w:type="gramStart"/>
            <w:r w:rsidRPr="003E6B1E">
              <w:rPr>
                <w:rFonts w:ascii="Arial Narrow" w:hAnsi="Arial Narrow"/>
                <w:sz w:val="18"/>
                <w:szCs w:val="18"/>
                <w:lang w:val="en-GB"/>
              </w:rPr>
              <w:t>Use</w:t>
            </w:r>
            <w:proofErr w:type="gramEnd"/>
            <w:r w:rsidRPr="003E6B1E">
              <w:rPr>
                <w:rFonts w:ascii="Arial Narrow" w:hAnsi="Arial Narrow"/>
                <w:sz w:val="18"/>
                <w:szCs w:val="18"/>
                <w:lang w:val="en-GB"/>
              </w:rPr>
              <w:t xml:space="preserve"> of target dose of ACE inhibitors, Use of warfarin.</w:t>
            </w:r>
          </w:p>
        </w:tc>
        <w:tc>
          <w:tcPr>
            <w:tcW w:w="3209" w:type="dxa"/>
            <w:tcBorders>
              <w:top w:val="nil"/>
              <w:left w:val="nil"/>
              <w:bottom w:val="single" w:sz="4" w:space="0" w:color="auto"/>
              <w:right w:val="nil"/>
            </w:tcBorders>
            <w:shd w:val="clear" w:color="auto" w:fill="auto"/>
            <w:vAlign w:val="center"/>
            <w:hideMark/>
          </w:tcPr>
          <w:p w14:paraId="60D655E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Internists </w:t>
            </w:r>
          </w:p>
        </w:tc>
        <w:tc>
          <w:tcPr>
            <w:tcW w:w="709" w:type="dxa"/>
            <w:tcBorders>
              <w:top w:val="nil"/>
              <w:left w:val="nil"/>
              <w:bottom w:val="single" w:sz="4" w:space="0" w:color="auto"/>
              <w:right w:val="nil"/>
            </w:tcBorders>
            <w:shd w:val="clear" w:color="auto" w:fill="auto"/>
            <w:vAlign w:val="center"/>
            <w:hideMark/>
          </w:tcPr>
          <w:p w14:paraId="4292B81B"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6B47E79" w14:textId="77777777" w:rsidTr="008819CF">
        <w:trPr>
          <w:trHeight w:val="245"/>
        </w:trPr>
        <w:tc>
          <w:tcPr>
            <w:tcW w:w="1524" w:type="dxa"/>
            <w:tcBorders>
              <w:top w:val="nil"/>
              <w:left w:val="nil"/>
              <w:bottom w:val="single" w:sz="4" w:space="0" w:color="auto"/>
              <w:right w:val="nil"/>
            </w:tcBorders>
            <w:shd w:val="clear" w:color="auto" w:fill="auto"/>
            <w:vAlign w:val="center"/>
            <w:hideMark/>
          </w:tcPr>
          <w:p w14:paraId="531A666A" w14:textId="356166C2"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Herbert </w:t>
            </w:r>
            <w:r>
              <w:rPr>
                <w:rFonts w:ascii="Arial Narrow" w:hAnsi="Arial Narrow"/>
                <w:sz w:val="18"/>
                <w:szCs w:val="18"/>
                <w:lang w:val="en-GB"/>
              </w:rPr>
              <w:t>2</w:t>
            </w:r>
            <w:r w:rsidRPr="003E6B1E">
              <w:rPr>
                <w:rFonts w:ascii="Arial Narrow" w:hAnsi="Arial Narrow"/>
                <w:sz w:val="18"/>
                <w:szCs w:val="18"/>
                <w:lang w:val="en-GB"/>
              </w:rPr>
              <w:t>004</w:t>
            </w:r>
          </w:p>
        </w:tc>
        <w:tc>
          <w:tcPr>
            <w:tcW w:w="802" w:type="dxa"/>
            <w:tcBorders>
              <w:top w:val="nil"/>
              <w:left w:val="nil"/>
              <w:bottom w:val="single" w:sz="4" w:space="0" w:color="auto"/>
              <w:right w:val="nil"/>
            </w:tcBorders>
            <w:shd w:val="clear" w:color="auto" w:fill="auto"/>
            <w:vAlign w:val="center"/>
            <w:hideMark/>
          </w:tcPr>
          <w:p w14:paraId="36D7C6D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EF3701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2C1FB0E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prescribing for hypertension</w:t>
            </w:r>
          </w:p>
        </w:tc>
        <w:tc>
          <w:tcPr>
            <w:tcW w:w="4364" w:type="dxa"/>
            <w:tcBorders>
              <w:top w:val="nil"/>
              <w:left w:val="nil"/>
              <w:bottom w:val="single" w:sz="4" w:space="0" w:color="auto"/>
              <w:right w:val="nil"/>
            </w:tcBorders>
            <w:shd w:val="clear" w:color="auto" w:fill="auto"/>
            <w:vAlign w:val="center"/>
            <w:hideMark/>
          </w:tcPr>
          <w:p w14:paraId="56D1FDC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Increased prescriptions of thiazide</w:t>
            </w:r>
          </w:p>
        </w:tc>
        <w:tc>
          <w:tcPr>
            <w:tcW w:w="3209" w:type="dxa"/>
            <w:tcBorders>
              <w:top w:val="nil"/>
              <w:left w:val="nil"/>
              <w:bottom w:val="single" w:sz="4" w:space="0" w:color="auto"/>
              <w:right w:val="nil"/>
            </w:tcBorders>
            <w:shd w:val="clear" w:color="auto" w:fill="auto"/>
            <w:vAlign w:val="center"/>
            <w:hideMark/>
          </w:tcPr>
          <w:p w14:paraId="5102C60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4EBBD3AD"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E8497DD" w14:textId="77777777" w:rsidTr="008819CF">
        <w:trPr>
          <w:trHeight w:val="419"/>
        </w:trPr>
        <w:tc>
          <w:tcPr>
            <w:tcW w:w="1524" w:type="dxa"/>
            <w:tcBorders>
              <w:top w:val="nil"/>
              <w:left w:val="nil"/>
              <w:bottom w:val="single" w:sz="4" w:space="0" w:color="auto"/>
              <w:right w:val="nil"/>
            </w:tcBorders>
            <w:shd w:val="clear" w:color="auto" w:fill="auto"/>
            <w:vAlign w:val="center"/>
            <w:hideMark/>
          </w:tcPr>
          <w:p w14:paraId="2564ADA4" w14:textId="662A8A4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Hershey 1986</w:t>
            </w:r>
          </w:p>
        </w:tc>
        <w:tc>
          <w:tcPr>
            <w:tcW w:w="802" w:type="dxa"/>
            <w:tcBorders>
              <w:top w:val="nil"/>
              <w:left w:val="nil"/>
              <w:bottom w:val="single" w:sz="4" w:space="0" w:color="auto"/>
              <w:right w:val="nil"/>
            </w:tcBorders>
            <w:shd w:val="clear" w:color="auto" w:fill="auto"/>
            <w:vAlign w:val="center"/>
            <w:hideMark/>
          </w:tcPr>
          <w:p w14:paraId="2266439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483B0D7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C801E0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w:t>
            </w:r>
            <w:r>
              <w:rPr>
                <w:rFonts w:ascii="Arial Narrow" w:hAnsi="Arial Narrow"/>
                <w:sz w:val="18"/>
                <w:szCs w:val="18"/>
                <w:lang w:val="en-GB"/>
              </w:rPr>
              <w:t>e</w:t>
            </w:r>
            <w:r w:rsidRPr="003E6B1E">
              <w:rPr>
                <w:rFonts w:ascii="Arial Narrow" w:hAnsi="Arial Narrow"/>
                <w:sz w:val="18"/>
                <w:szCs w:val="18"/>
                <w:lang w:val="en-GB"/>
              </w:rPr>
              <w:t xml:space="preserve"> prescribing charges</w:t>
            </w:r>
          </w:p>
        </w:tc>
        <w:tc>
          <w:tcPr>
            <w:tcW w:w="4364" w:type="dxa"/>
            <w:tcBorders>
              <w:top w:val="nil"/>
              <w:left w:val="nil"/>
              <w:bottom w:val="single" w:sz="4" w:space="0" w:color="auto"/>
              <w:right w:val="nil"/>
            </w:tcBorders>
            <w:shd w:val="clear" w:color="auto" w:fill="auto"/>
            <w:vAlign w:val="center"/>
            <w:hideMark/>
          </w:tcPr>
          <w:p w14:paraId="7A0D4BFB" w14:textId="61E3A64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Mean number of prescription</w:t>
            </w:r>
            <w:r>
              <w:rPr>
                <w:rFonts w:ascii="Arial Narrow" w:hAnsi="Arial Narrow"/>
                <w:sz w:val="18"/>
                <w:szCs w:val="18"/>
                <w:lang w:val="en-GB"/>
              </w:rPr>
              <w:t>s</w:t>
            </w:r>
            <w:r w:rsidRPr="003E6B1E">
              <w:rPr>
                <w:rFonts w:ascii="Arial Narrow" w:hAnsi="Arial Narrow"/>
                <w:sz w:val="18"/>
                <w:szCs w:val="18"/>
                <w:lang w:val="en-GB"/>
              </w:rPr>
              <w:t xml:space="preserve"> per patient.</w:t>
            </w:r>
          </w:p>
        </w:tc>
        <w:tc>
          <w:tcPr>
            <w:tcW w:w="3209" w:type="dxa"/>
            <w:tcBorders>
              <w:top w:val="nil"/>
              <w:left w:val="nil"/>
              <w:bottom w:val="single" w:sz="4" w:space="0" w:color="auto"/>
              <w:right w:val="nil"/>
            </w:tcBorders>
            <w:shd w:val="clear" w:color="auto" w:fill="auto"/>
            <w:vAlign w:val="center"/>
            <w:hideMark/>
          </w:tcPr>
          <w:p w14:paraId="6B28E10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Residents in four firms in a US hospital</w:t>
            </w:r>
          </w:p>
        </w:tc>
        <w:tc>
          <w:tcPr>
            <w:tcW w:w="709" w:type="dxa"/>
            <w:tcBorders>
              <w:top w:val="nil"/>
              <w:left w:val="nil"/>
              <w:bottom w:val="single" w:sz="4" w:space="0" w:color="auto"/>
              <w:right w:val="nil"/>
            </w:tcBorders>
            <w:shd w:val="clear" w:color="auto" w:fill="auto"/>
            <w:vAlign w:val="center"/>
            <w:hideMark/>
          </w:tcPr>
          <w:p w14:paraId="358C32C6"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2C985436" w14:textId="77777777" w:rsidTr="008819CF">
        <w:trPr>
          <w:trHeight w:val="410"/>
        </w:trPr>
        <w:tc>
          <w:tcPr>
            <w:tcW w:w="1524" w:type="dxa"/>
            <w:tcBorders>
              <w:top w:val="nil"/>
              <w:left w:val="nil"/>
              <w:bottom w:val="single" w:sz="4" w:space="0" w:color="auto"/>
              <w:right w:val="nil"/>
            </w:tcBorders>
            <w:shd w:val="clear" w:color="auto" w:fill="auto"/>
            <w:vAlign w:val="center"/>
            <w:hideMark/>
          </w:tcPr>
          <w:p w14:paraId="1FC2F37F" w14:textId="2BA969CE"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Hershey 1988</w:t>
            </w:r>
          </w:p>
        </w:tc>
        <w:tc>
          <w:tcPr>
            <w:tcW w:w="802" w:type="dxa"/>
            <w:tcBorders>
              <w:top w:val="nil"/>
              <w:left w:val="nil"/>
              <w:bottom w:val="single" w:sz="4" w:space="0" w:color="auto"/>
              <w:right w:val="nil"/>
            </w:tcBorders>
            <w:shd w:val="clear" w:color="auto" w:fill="auto"/>
            <w:vAlign w:val="center"/>
            <w:hideMark/>
          </w:tcPr>
          <w:p w14:paraId="15040C6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575DA1C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E13B2D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w:t>
            </w:r>
            <w:r>
              <w:rPr>
                <w:rFonts w:ascii="Arial Narrow" w:hAnsi="Arial Narrow"/>
                <w:sz w:val="18"/>
                <w:szCs w:val="18"/>
                <w:lang w:val="en-GB"/>
              </w:rPr>
              <w:t>e</w:t>
            </w:r>
            <w:r w:rsidRPr="003E6B1E">
              <w:rPr>
                <w:rFonts w:ascii="Arial Narrow" w:hAnsi="Arial Narrow"/>
                <w:sz w:val="18"/>
                <w:szCs w:val="18"/>
                <w:lang w:val="en-GB"/>
              </w:rPr>
              <w:t xml:space="preserve"> total outpatient prescribing charges</w:t>
            </w:r>
          </w:p>
        </w:tc>
        <w:tc>
          <w:tcPr>
            <w:tcW w:w="4364" w:type="dxa"/>
            <w:tcBorders>
              <w:top w:val="nil"/>
              <w:left w:val="nil"/>
              <w:bottom w:val="single" w:sz="4" w:space="0" w:color="auto"/>
              <w:right w:val="nil"/>
            </w:tcBorders>
            <w:shd w:val="clear" w:color="auto" w:fill="auto"/>
            <w:vAlign w:val="center"/>
            <w:hideMark/>
          </w:tcPr>
          <w:p w14:paraId="14BFFB3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Outpatient pharmacy charges</w:t>
            </w:r>
          </w:p>
        </w:tc>
        <w:tc>
          <w:tcPr>
            <w:tcW w:w="3209" w:type="dxa"/>
            <w:tcBorders>
              <w:top w:val="nil"/>
              <w:left w:val="nil"/>
              <w:bottom w:val="single" w:sz="4" w:space="0" w:color="auto"/>
              <w:right w:val="nil"/>
            </w:tcBorders>
            <w:shd w:val="clear" w:color="auto" w:fill="auto"/>
            <w:vAlign w:val="center"/>
            <w:hideMark/>
          </w:tcPr>
          <w:p w14:paraId="2415D13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Residents in four units in a US hospital</w:t>
            </w:r>
          </w:p>
        </w:tc>
        <w:tc>
          <w:tcPr>
            <w:tcW w:w="709" w:type="dxa"/>
            <w:tcBorders>
              <w:top w:val="nil"/>
              <w:left w:val="nil"/>
              <w:bottom w:val="single" w:sz="4" w:space="0" w:color="auto"/>
              <w:right w:val="nil"/>
            </w:tcBorders>
            <w:shd w:val="clear" w:color="auto" w:fill="auto"/>
            <w:vAlign w:val="center"/>
            <w:hideMark/>
          </w:tcPr>
          <w:p w14:paraId="6E862DCF"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3C4CAA9F" w14:textId="77777777" w:rsidTr="008819CF">
        <w:trPr>
          <w:trHeight w:val="115"/>
        </w:trPr>
        <w:tc>
          <w:tcPr>
            <w:tcW w:w="1524" w:type="dxa"/>
            <w:tcBorders>
              <w:top w:val="nil"/>
              <w:left w:val="nil"/>
              <w:bottom w:val="single" w:sz="4" w:space="0" w:color="auto"/>
              <w:right w:val="nil"/>
            </w:tcBorders>
            <w:shd w:val="clear" w:color="auto" w:fill="auto"/>
            <w:vAlign w:val="center"/>
            <w:hideMark/>
          </w:tcPr>
          <w:p w14:paraId="6AE378C0" w14:textId="66BDA9E4"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Hess</w:t>
            </w:r>
            <w:r>
              <w:rPr>
                <w:rFonts w:ascii="Arial Narrow" w:hAnsi="Arial Narrow"/>
                <w:sz w:val="18"/>
                <w:szCs w:val="18"/>
                <w:lang w:val="en-GB"/>
              </w:rPr>
              <w:t xml:space="preserve"> </w:t>
            </w:r>
            <w:r w:rsidRPr="003E6B1E">
              <w:rPr>
                <w:rFonts w:ascii="Arial Narrow" w:hAnsi="Arial Narrow"/>
                <w:sz w:val="18"/>
                <w:szCs w:val="18"/>
                <w:lang w:val="en-GB"/>
              </w:rPr>
              <w:t>1990</w:t>
            </w:r>
          </w:p>
        </w:tc>
        <w:tc>
          <w:tcPr>
            <w:tcW w:w="802" w:type="dxa"/>
            <w:tcBorders>
              <w:top w:val="nil"/>
              <w:left w:val="nil"/>
              <w:bottom w:val="single" w:sz="4" w:space="0" w:color="auto"/>
              <w:right w:val="nil"/>
            </w:tcBorders>
            <w:shd w:val="clear" w:color="auto" w:fill="auto"/>
            <w:vAlign w:val="center"/>
            <w:hideMark/>
          </w:tcPr>
          <w:p w14:paraId="339C557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0F885A1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7CF4778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Reduce antimicrobial agents </w:t>
            </w:r>
          </w:p>
        </w:tc>
        <w:tc>
          <w:tcPr>
            <w:tcW w:w="4364" w:type="dxa"/>
            <w:tcBorders>
              <w:top w:val="nil"/>
              <w:left w:val="nil"/>
              <w:bottom w:val="single" w:sz="4" w:space="0" w:color="auto"/>
              <w:right w:val="nil"/>
            </w:tcBorders>
            <w:shd w:val="clear" w:color="auto" w:fill="auto"/>
            <w:vAlign w:val="center"/>
            <w:hideMark/>
          </w:tcPr>
          <w:p w14:paraId="499B1E3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Total expenditure for antimicrobial agents</w:t>
            </w:r>
          </w:p>
        </w:tc>
        <w:tc>
          <w:tcPr>
            <w:tcW w:w="3209" w:type="dxa"/>
            <w:tcBorders>
              <w:top w:val="nil"/>
              <w:left w:val="nil"/>
              <w:bottom w:val="single" w:sz="4" w:space="0" w:color="auto"/>
              <w:right w:val="nil"/>
            </w:tcBorders>
            <w:shd w:val="clear" w:color="auto" w:fill="auto"/>
            <w:vAlign w:val="center"/>
            <w:hideMark/>
          </w:tcPr>
          <w:p w14:paraId="5EE3BEA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Hospital staff in US</w:t>
            </w:r>
          </w:p>
        </w:tc>
        <w:tc>
          <w:tcPr>
            <w:tcW w:w="709" w:type="dxa"/>
            <w:tcBorders>
              <w:top w:val="nil"/>
              <w:left w:val="nil"/>
              <w:bottom w:val="single" w:sz="4" w:space="0" w:color="auto"/>
              <w:right w:val="nil"/>
            </w:tcBorders>
            <w:shd w:val="clear" w:color="auto" w:fill="auto"/>
            <w:vAlign w:val="center"/>
            <w:hideMark/>
          </w:tcPr>
          <w:p w14:paraId="2D1C935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2B62FC7E" w14:textId="77777777" w:rsidTr="008819CF">
        <w:trPr>
          <w:trHeight w:val="520"/>
        </w:trPr>
        <w:tc>
          <w:tcPr>
            <w:tcW w:w="1524" w:type="dxa"/>
            <w:tcBorders>
              <w:top w:val="nil"/>
              <w:left w:val="nil"/>
              <w:bottom w:val="single" w:sz="4" w:space="0" w:color="auto"/>
              <w:right w:val="nil"/>
            </w:tcBorders>
            <w:shd w:val="clear" w:color="auto" w:fill="auto"/>
            <w:vAlign w:val="center"/>
            <w:hideMark/>
          </w:tcPr>
          <w:p w14:paraId="643A7CF0" w14:textId="1F9E8755"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Hillman 1998</w:t>
            </w:r>
          </w:p>
        </w:tc>
        <w:tc>
          <w:tcPr>
            <w:tcW w:w="802" w:type="dxa"/>
            <w:tcBorders>
              <w:top w:val="nil"/>
              <w:left w:val="nil"/>
              <w:bottom w:val="single" w:sz="4" w:space="0" w:color="auto"/>
              <w:right w:val="nil"/>
            </w:tcBorders>
            <w:shd w:val="clear" w:color="auto" w:fill="auto"/>
            <w:vAlign w:val="center"/>
            <w:hideMark/>
          </w:tcPr>
          <w:p w14:paraId="32D7E19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1EF67F5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717F7DB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compliance to cancer screening</w:t>
            </w:r>
          </w:p>
        </w:tc>
        <w:tc>
          <w:tcPr>
            <w:tcW w:w="4364" w:type="dxa"/>
            <w:tcBorders>
              <w:top w:val="nil"/>
              <w:left w:val="nil"/>
              <w:bottom w:val="single" w:sz="4" w:space="0" w:color="auto"/>
              <w:right w:val="nil"/>
            </w:tcBorders>
            <w:shd w:val="clear" w:color="auto" w:fill="auto"/>
            <w:vAlign w:val="center"/>
            <w:hideMark/>
          </w:tcPr>
          <w:p w14:paraId="4306211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Mammography, breast exam, colorectal screening, and Pap testing compliance rates were evaluated</w:t>
            </w:r>
          </w:p>
        </w:tc>
        <w:tc>
          <w:tcPr>
            <w:tcW w:w="3209" w:type="dxa"/>
            <w:tcBorders>
              <w:top w:val="nil"/>
              <w:left w:val="nil"/>
              <w:bottom w:val="single" w:sz="4" w:space="0" w:color="auto"/>
              <w:right w:val="nil"/>
            </w:tcBorders>
            <w:shd w:val="clear" w:color="auto" w:fill="auto"/>
            <w:vAlign w:val="center"/>
            <w:hideMark/>
          </w:tcPr>
          <w:p w14:paraId="5D30E3F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3158813E"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5354C55" w14:textId="77777777" w:rsidTr="008819CF">
        <w:trPr>
          <w:trHeight w:val="457"/>
        </w:trPr>
        <w:tc>
          <w:tcPr>
            <w:tcW w:w="1524" w:type="dxa"/>
            <w:tcBorders>
              <w:top w:val="nil"/>
              <w:left w:val="nil"/>
              <w:bottom w:val="single" w:sz="4" w:space="0" w:color="auto"/>
              <w:right w:val="nil"/>
            </w:tcBorders>
            <w:shd w:val="clear" w:color="auto" w:fill="auto"/>
            <w:vAlign w:val="center"/>
            <w:hideMark/>
          </w:tcPr>
          <w:p w14:paraId="0F7D46DE" w14:textId="06D0F4AA"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Hillman 1999</w:t>
            </w:r>
          </w:p>
        </w:tc>
        <w:tc>
          <w:tcPr>
            <w:tcW w:w="802" w:type="dxa"/>
            <w:tcBorders>
              <w:top w:val="nil"/>
              <w:left w:val="nil"/>
              <w:bottom w:val="single" w:sz="4" w:space="0" w:color="auto"/>
              <w:right w:val="nil"/>
            </w:tcBorders>
            <w:shd w:val="clear" w:color="auto" w:fill="auto"/>
            <w:vAlign w:val="center"/>
            <w:hideMark/>
          </w:tcPr>
          <w:p w14:paraId="5414650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D738D3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44FE27A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Compl</w:t>
            </w:r>
            <w:r>
              <w:rPr>
                <w:rFonts w:ascii="Arial Narrow" w:hAnsi="Arial Narrow"/>
                <w:sz w:val="18"/>
                <w:szCs w:val="18"/>
                <w:lang w:val="en-GB"/>
              </w:rPr>
              <w:t>y</w:t>
            </w:r>
            <w:r w:rsidRPr="003E6B1E">
              <w:rPr>
                <w:rFonts w:ascii="Arial Narrow" w:hAnsi="Arial Narrow"/>
                <w:sz w:val="18"/>
                <w:szCs w:val="18"/>
                <w:lang w:val="en-GB"/>
              </w:rPr>
              <w:t xml:space="preserve"> with paediatric care guidelines (immunization + other)</w:t>
            </w:r>
          </w:p>
        </w:tc>
        <w:tc>
          <w:tcPr>
            <w:tcW w:w="4364" w:type="dxa"/>
            <w:tcBorders>
              <w:top w:val="nil"/>
              <w:left w:val="nil"/>
              <w:bottom w:val="single" w:sz="4" w:space="0" w:color="auto"/>
              <w:right w:val="nil"/>
            </w:tcBorders>
            <w:shd w:val="clear" w:color="auto" w:fill="auto"/>
            <w:vAlign w:val="center"/>
            <w:hideMark/>
          </w:tcPr>
          <w:p w14:paraId="6543872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a number of behaviours</w:t>
            </w:r>
          </w:p>
        </w:tc>
        <w:tc>
          <w:tcPr>
            <w:tcW w:w="3209" w:type="dxa"/>
            <w:tcBorders>
              <w:top w:val="nil"/>
              <w:left w:val="nil"/>
              <w:bottom w:val="single" w:sz="4" w:space="0" w:color="auto"/>
              <w:right w:val="nil"/>
            </w:tcBorders>
            <w:shd w:val="clear" w:color="auto" w:fill="auto"/>
            <w:vAlign w:val="center"/>
            <w:hideMark/>
          </w:tcPr>
          <w:p w14:paraId="6AA5F04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 paediatricians</w:t>
            </w:r>
          </w:p>
        </w:tc>
        <w:tc>
          <w:tcPr>
            <w:tcW w:w="709" w:type="dxa"/>
            <w:tcBorders>
              <w:top w:val="nil"/>
              <w:left w:val="nil"/>
              <w:bottom w:val="single" w:sz="4" w:space="0" w:color="auto"/>
              <w:right w:val="nil"/>
            </w:tcBorders>
            <w:shd w:val="clear" w:color="auto" w:fill="auto"/>
            <w:vAlign w:val="center"/>
            <w:hideMark/>
          </w:tcPr>
          <w:p w14:paraId="4D33BF0E"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94B84B3" w14:textId="77777777" w:rsidTr="008819CF">
        <w:trPr>
          <w:trHeight w:val="383"/>
        </w:trPr>
        <w:tc>
          <w:tcPr>
            <w:tcW w:w="1524" w:type="dxa"/>
            <w:tcBorders>
              <w:top w:val="nil"/>
              <w:left w:val="nil"/>
              <w:bottom w:val="single" w:sz="4" w:space="0" w:color="auto"/>
              <w:right w:val="nil"/>
            </w:tcBorders>
            <w:shd w:val="clear" w:color="auto" w:fill="auto"/>
            <w:vAlign w:val="center"/>
            <w:hideMark/>
          </w:tcPr>
          <w:p w14:paraId="78BE4752" w14:textId="4A0BF7CB"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Himmelberg 1991</w:t>
            </w:r>
          </w:p>
        </w:tc>
        <w:tc>
          <w:tcPr>
            <w:tcW w:w="802" w:type="dxa"/>
            <w:tcBorders>
              <w:top w:val="nil"/>
              <w:left w:val="nil"/>
              <w:bottom w:val="single" w:sz="4" w:space="0" w:color="auto"/>
              <w:right w:val="nil"/>
            </w:tcBorders>
            <w:shd w:val="clear" w:color="auto" w:fill="auto"/>
            <w:vAlign w:val="center"/>
            <w:hideMark/>
          </w:tcPr>
          <w:p w14:paraId="36C30AF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7387F75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422900D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Increase antibiotic usage </w:t>
            </w:r>
          </w:p>
        </w:tc>
        <w:tc>
          <w:tcPr>
            <w:tcW w:w="4364" w:type="dxa"/>
            <w:tcBorders>
              <w:top w:val="nil"/>
              <w:left w:val="nil"/>
              <w:bottom w:val="single" w:sz="4" w:space="0" w:color="auto"/>
              <w:right w:val="nil"/>
            </w:tcBorders>
            <w:shd w:val="clear" w:color="auto" w:fill="auto"/>
            <w:vAlign w:val="center"/>
            <w:hideMark/>
          </w:tcPr>
          <w:p w14:paraId="3A11834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Quantity of Antimicrobial Use </w:t>
            </w:r>
          </w:p>
        </w:tc>
        <w:tc>
          <w:tcPr>
            <w:tcW w:w="3209" w:type="dxa"/>
            <w:tcBorders>
              <w:top w:val="nil"/>
              <w:left w:val="nil"/>
              <w:bottom w:val="single" w:sz="4" w:space="0" w:color="auto"/>
              <w:right w:val="nil"/>
            </w:tcBorders>
            <w:shd w:val="clear" w:color="auto" w:fill="auto"/>
            <w:vAlign w:val="center"/>
            <w:hideMark/>
          </w:tcPr>
          <w:p w14:paraId="4CE638D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Hospital physicians excluding paediatric department</w:t>
            </w:r>
          </w:p>
        </w:tc>
        <w:tc>
          <w:tcPr>
            <w:tcW w:w="709" w:type="dxa"/>
            <w:tcBorders>
              <w:top w:val="nil"/>
              <w:left w:val="nil"/>
              <w:bottom w:val="single" w:sz="4" w:space="0" w:color="auto"/>
              <w:right w:val="nil"/>
            </w:tcBorders>
            <w:shd w:val="clear" w:color="auto" w:fill="auto"/>
            <w:vAlign w:val="center"/>
            <w:hideMark/>
          </w:tcPr>
          <w:p w14:paraId="316E234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4212CB84" w14:textId="77777777" w:rsidTr="008819CF">
        <w:trPr>
          <w:trHeight w:val="534"/>
        </w:trPr>
        <w:tc>
          <w:tcPr>
            <w:tcW w:w="1524" w:type="dxa"/>
            <w:tcBorders>
              <w:top w:val="nil"/>
              <w:left w:val="nil"/>
              <w:bottom w:val="single" w:sz="4" w:space="0" w:color="auto"/>
              <w:right w:val="nil"/>
            </w:tcBorders>
            <w:shd w:val="clear" w:color="auto" w:fill="auto"/>
            <w:vAlign w:val="center"/>
            <w:hideMark/>
          </w:tcPr>
          <w:p w14:paraId="112EAC2F" w14:textId="5869BF1C"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Hollingworth 2006</w:t>
            </w:r>
          </w:p>
        </w:tc>
        <w:tc>
          <w:tcPr>
            <w:tcW w:w="802" w:type="dxa"/>
            <w:tcBorders>
              <w:top w:val="nil"/>
              <w:left w:val="nil"/>
              <w:bottom w:val="single" w:sz="4" w:space="0" w:color="auto"/>
              <w:right w:val="nil"/>
            </w:tcBorders>
            <w:shd w:val="clear" w:color="auto" w:fill="auto"/>
            <w:vAlign w:val="center"/>
            <w:hideMark/>
          </w:tcPr>
          <w:p w14:paraId="469042C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275F36A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AC11E8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unnecessary radiographs by limiting referrals to patients based on guidelines</w:t>
            </w:r>
          </w:p>
        </w:tc>
        <w:tc>
          <w:tcPr>
            <w:tcW w:w="4364" w:type="dxa"/>
            <w:tcBorders>
              <w:top w:val="nil"/>
              <w:left w:val="nil"/>
              <w:bottom w:val="single" w:sz="4" w:space="0" w:color="auto"/>
              <w:right w:val="nil"/>
            </w:tcBorders>
            <w:shd w:val="clear" w:color="auto" w:fill="auto"/>
            <w:vAlign w:val="center"/>
            <w:hideMark/>
          </w:tcPr>
          <w:p w14:paraId="2DBDFEA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requests for lumbar</w:t>
            </w:r>
            <w:r w:rsidRPr="003E6B1E">
              <w:rPr>
                <w:rFonts w:ascii="Arial Narrow" w:hAnsi="Arial Narrow"/>
                <w:sz w:val="18"/>
                <w:szCs w:val="18"/>
                <w:lang w:val="en-GB"/>
              </w:rPr>
              <w:br/>
              <w:t>spine radiography from computerised records</w:t>
            </w:r>
          </w:p>
        </w:tc>
        <w:tc>
          <w:tcPr>
            <w:tcW w:w="3209" w:type="dxa"/>
            <w:tcBorders>
              <w:top w:val="nil"/>
              <w:left w:val="nil"/>
              <w:bottom w:val="single" w:sz="4" w:space="0" w:color="auto"/>
              <w:right w:val="nil"/>
            </w:tcBorders>
            <w:shd w:val="clear" w:color="auto" w:fill="auto"/>
            <w:vAlign w:val="center"/>
            <w:hideMark/>
          </w:tcPr>
          <w:p w14:paraId="6CDF616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Professionals</w:t>
            </w:r>
          </w:p>
        </w:tc>
        <w:tc>
          <w:tcPr>
            <w:tcW w:w="709" w:type="dxa"/>
            <w:tcBorders>
              <w:top w:val="nil"/>
              <w:left w:val="nil"/>
              <w:bottom w:val="single" w:sz="4" w:space="0" w:color="auto"/>
              <w:right w:val="nil"/>
            </w:tcBorders>
            <w:shd w:val="clear" w:color="auto" w:fill="auto"/>
            <w:vAlign w:val="center"/>
            <w:hideMark/>
          </w:tcPr>
          <w:p w14:paraId="69A6E10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684A98D1" w14:textId="77777777" w:rsidTr="008819CF">
        <w:trPr>
          <w:trHeight w:val="413"/>
        </w:trPr>
        <w:tc>
          <w:tcPr>
            <w:tcW w:w="1524" w:type="dxa"/>
            <w:tcBorders>
              <w:top w:val="nil"/>
              <w:left w:val="nil"/>
              <w:bottom w:val="single" w:sz="4" w:space="0" w:color="auto"/>
              <w:right w:val="nil"/>
            </w:tcBorders>
            <w:shd w:val="clear" w:color="auto" w:fill="auto"/>
            <w:vAlign w:val="center"/>
            <w:hideMark/>
          </w:tcPr>
          <w:p w14:paraId="66164CDC" w14:textId="138FC372"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Holm 1990</w:t>
            </w:r>
          </w:p>
        </w:tc>
        <w:tc>
          <w:tcPr>
            <w:tcW w:w="802" w:type="dxa"/>
            <w:tcBorders>
              <w:top w:val="nil"/>
              <w:left w:val="nil"/>
              <w:bottom w:val="single" w:sz="4" w:space="0" w:color="auto"/>
              <w:right w:val="nil"/>
            </w:tcBorders>
            <w:shd w:val="clear" w:color="auto" w:fill="auto"/>
            <w:vAlign w:val="center"/>
            <w:hideMark/>
          </w:tcPr>
          <w:p w14:paraId="008F7FD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1C27645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E4161A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w:t>
            </w:r>
            <w:r>
              <w:rPr>
                <w:rFonts w:ascii="Arial Narrow" w:hAnsi="Arial Narrow"/>
                <w:sz w:val="18"/>
                <w:szCs w:val="18"/>
                <w:lang w:val="en-GB"/>
              </w:rPr>
              <w:t>e</w:t>
            </w:r>
            <w:r w:rsidRPr="003E6B1E">
              <w:rPr>
                <w:rFonts w:ascii="Arial Narrow" w:hAnsi="Arial Narrow"/>
                <w:sz w:val="18"/>
                <w:szCs w:val="18"/>
                <w:lang w:val="en-GB"/>
              </w:rPr>
              <w:t xml:space="preserve"> prescription rate of hypnotics/sedatives</w:t>
            </w:r>
          </w:p>
        </w:tc>
        <w:tc>
          <w:tcPr>
            <w:tcW w:w="4364" w:type="dxa"/>
            <w:tcBorders>
              <w:top w:val="nil"/>
              <w:left w:val="nil"/>
              <w:bottom w:val="single" w:sz="4" w:space="0" w:color="auto"/>
              <w:right w:val="nil"/>
            </w:tcBorders>
            <w:shd w:val="clear" w:color="auto" w:fill="auto"/>
            <w:vAlign w:val="center"/>
            <w:hideMark/>
          </w:tcPr>
          <w:p w14:paraId="1D4B44C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The prescription rate was recorded before and after the intervention.</w:t>
            </w:r>
          </w:p>
        </w:tc>
        <w:tc>
          <w:tcPr>
            <w:tcW w:w="3209" w:type="dxa"/>
            <w:tcBorders>
              <w:top w:val="nil"/>
              <w:left w:val="nil"/>
              <w:bottom w:val="single" w:sz="4" w:space="0" w:color="auto"/>
              <w:right w:val="nil"/>
            </w:tcBorders>
            <w:shd w:val="clear" w:color="auto" w:fill="auto"/>
            <w:vAlign w:val="center"/>
            <w:hideMark/>
          </w:tcPr>
          <w:p w14:paraId="6B9A5BF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General Practitioners</w:t>
            </w:r>
          </w:p>
        </w:tc>
        <w:tc>
          <w:tcPr>
            <w:tcW w:w="709" w:type="dxa"/>
            <w:tcBorders>
              <w:top w:val="nil"/>
              <w:left w:val="nil"/>
              <w:bottom w:val="single" w:sz="4" w:space="0" w:color="auto"/>
              <w:right w:val="nil"/>
            </w:tcBorders>
            <w:shd w:val="clear" w:color="auto" w:fill="auto"/>
            <w:vAlign w:val="center"/>
            <w:hideMark/>
          </w:tcPr>
          <w:p w14:paraId="461D2CC0"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308256D7" w14:textId="77777777" w:rsidTr="008819CF">
        <w:trPr>
          <w:trHeight w:val="416"/>
        </w:trPr>
        <w:tc>
          <w:tcPr>
            <w:tcW w:w="1524" w:type="dxa"/>
            <w:tcBorders>
              <w:top w:val="nil"/>
              <w:left w:val="nil"/>
              <w:bottom w:val="single" w:sz="4" w:space="0" w:color="auto"/>
              <w:right w:val="nil"/>
            </w:tcBorders>
            <w:shd w:val="clear" w:color="auto" w:fill="auto"/>
            <w:vAlign w:val="center"/>
            <w:hideMark/>
          </w:tcPr>
          <w:p w14:paraId="10D56651" w14:textId="5D734A60"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Huber 1982</w:t>
            </w:r>
          </w:p>
        </w:tc>
        <w:tc>
          <w:tcPr>
            <w:tcW w:w="802" w:type="dxa"/>
            <w:tcBorders>
              <w:top w:val="nil"/>
              <w:left w:val="nil"/>
              <w:bottom w:val="single" w:sz="4" w:space="0" w:color="auto"/>
              <w:right w:val="nil"/>
            </w:tcBorders>
            <w:shd w:val="clear" w:color="auto" w:fill="auto"/>
            <w:vAlign w:val="center"/>
            <w:hideMark/>
          </w:tcPr>
          <w:p w14:paraId="65C2E37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009DA60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AF7F55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Decrease </w:t>
            </w:r>
            <w:r>
              <w:rPr>
                <w:rFonts w:ascii="Arial Narrow" w:hAnsi="Arial Narrow"/>
                <w:sz w:val="18"/>
                <w:szCs w:val="18"/>
                <w:lang w:val="en-GB"/>
              </w:rPr>
              <w:t>benzo</w:t>
            </w:r>
            <w:r w:rsidRPr="003E6B1E">
              <w:rPr>
                <w:rFonts w:ascii="Arial Narrow" w:hAnsi="Arial Narrow"/>
                <w:sz w:val="18"/>
                <w:szCs w:val="18"/>
                <w:lang w:val="en-GB"/>
              </w:rPr>
              <w:t>diazepines and cephalosporins</w:t>
            </w:r>
          </w:p>
        </w:tc>
        <w:tc>
          <w:tcPr>
            <w:tcW w:w="4364" w:type="dxa"/>
            <w:tcBorders>
              <w:top w:val="nil"/>
              <w:left w:val="nil"/>
              <w:bottom w:val="single" w:sz="4" w:space="0" w:color="auto"/>
              <w:right w:val="nil"/>
            </w:tcBorders>
            <w:shd w:val="clear" w:color="auto" w:fill="auto"/>
            <w:vAlign w:val="center"/>
            <w:hideMark/>
          </w:tcPr>
          <w:p w14:paraId="558B384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Dosage units dispensed</w:t>
            </w:r>
          </w:p>
        </w:tc>
        <w:tc>
          <w:tcPr>
            <w:tcW w:w="3209" w:type="dxa"/>
            <w:tcBorders>
              <w:top w:val="nil"/>
              <w:left w:val="nil"/>
              <w:bottom w:val="single" w:sz="4" w:space="0" w:color="auto"/>
              <w:right w:val="nil"/>
            </w:tcBorders>
            <w:shd w:val="clear" w:color="auto" w:fill="auto"/>
            <w:vAlign w:val="center"/>
            <w:hideMark/>
          </w:tcPr>
          <w:p w14:paraId="58FA2FB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large US hospital</w:t>
            </w:r>
          </w:p>
        </w:tc>
        <w:tc>
          <w:tcPr>
            <w:tcW w:w="709" w:type="dxa"/>
            <w:tcBorders>
              <w:top w:val="nil"/>
              <w:left w:val="nil"/>
              <w:bottom w:val="single" w:sz="4" w:space="0" w:color="auto"/>
              <w:right w:val="nil"/>
            </w:tcBorders>
            <w:shd w:val="clear" w:color="auto" w:fill="auto"/>
            <w:vAlign w:val="center"/>
            <w:hideMark/>
          </w:tcPr>
          <w:p w14:paraId="3B65192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1469FCF7" w14:textId="77777777" w:rsidTr="008819CF">
        <w:trPr>
          <w:trHeight w:val="170"/>
        </w:trPr>
        <w:tc>
          <w:tcPr>
            <w:tcW w:w="1524" w:type="dxa"/>
            <w:tcBorders>
              <w:top w:val="nil"/>
              <w:left w:val="nil"/>
              <w:bottom w:val="single" w:sz="4" w:space="0" w:color="auto"/>
              <w:right w:val="nil"/>
            </w:tcBorders>
            <w:shd w:val="clear" w:color="auto" w:fill="auto"/>
            <w:vAlign w:val="center"/>
            <w:hideMark/>
          </w:tcPr>
          <w:p w14:paraId="134A4B01" w14:textId="315C4C5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Hulgan 2004</w:t>
            </w:r>
          </w:p>
        </w:tc>
        <w:tc>
          <w:tcPr>
            <w:tcW w:w="802" w:type="dxa"/>
            <w:tcBorders>
              <w:top w:val="nil"/>
              <w:left w:val="nil"/>
              <w:bottom w:val="single" w:sz="4" w:space="0" w:color="auto"/>
              <w:right w:val="nil"/>
            </w:tcBorders>
            <w:shd w:val="clear" w:color="auto" w:fill="auto"/>
            <w:vAlign w:val="center"/>
            <w:hideMark/>
          </w:tcPr>
          <w:p w14:paraId="242C112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4999AF1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27DF2DF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the proportion of oral quinolone antibiotic orders</w:t>
            </w:r>
          </w:p>
        </w:tc>
        <w:tc>
          <w:tcPr>
            <w:tcW w:w="4364" w:type="dxa"/>
            <w:tcBorders>
              <w:top w:val="nil"/>
              <w:left w:val="nil"/>
              <w:bottom w:val="single" w:sz="4" w:space="0" w:color="auto"/>
              <w:right w:val="nil"/>
            </w:tcBorders>
            <w:shd w:val="clear" w:color="auto" w:fill="auto"/>
            <w:vAlign w:val="center"/>
            <w:hideMark/>
          </w:tcPr>
          <w:p w14:paraId="37F26AE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Proportion of oral quinolone antibiotic orders placed for hospitalized patients.</w:t>
            </w:r>
          </w:p>
        </w:tc>
        <w:tc>
          <w:tcPr>
            <w:tcW w:w="3209" w:type="dxa"/>
            <w:tcBorders>
              <w:top w:val="nil"/>
              <w:left w:val="nil"/>
              <w:bottom w:val="single" w:sz="4" w:space="0" w:color="auto"/>
              <w:right w:val="nil"/>
            </w:tcBorders>
            <w:shd w:val="clear" w:color="auto" w:fill="auto"/>
            <w:vAlign w:val="center"/>
            <w:hideMark/>
          </w:tcPr>
          <w:p w14:paraId="69FC7037" w14:textId="6BF068C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Health care professionals at university hospital in the </w:t>
            </w:r>
            <w:r>
              <w:rPr>
                <w:rFonts w:ascii="Arial Narrow" w:hAnsi="Arial Narrow"/>
                <w:sz w:val="18"/>
                <w:szCs w:val="18"/>
                <w:lang w:val="en-GB"/>
              </w:rPr>
              <w:t>so</w:t>
            </w:r>
            <w:r w:rsidRPr="003E6B1E">
              <w:rPr>
                <w:rFonts w:ascii="Arial Narrow" w:hAnsi="Arial Narrow"/>
                <w:sz w:val="18"/>
                <w:szCs w:val="18"/>
                <w:lang w:val="en-GB"/>
              </w:rPr>
              <w:t>uth-eastern US</w:t>
            </w:r>
          </w:p>
        </w:tc>
        <w:tc>
          <w:tcPr>
            <w:tcW w:w="709" w:type="dxa"/>
            <w:tcBorders>
              <w:top w:val="nil"/>
              <w:left w:val="nil"/>
              <w:bottom w:val="single" w:sz="4" w:space="0" w:color="auto"/>
              <w:right w:val="nil"/>
            </w:tcBorders>
            <w:shd w:val="clear" w:color="auto" w:fill="auto"/>
            <w:vAlign w:val="center"/>
            <w:hideMark/>
          </w:tcPr>
          <w:p w14:paraId="3EA9D55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3439DCB1" w14:textId="77777777" w:rsidTr="008819CF">
        <w:trPr>
          <w:trHeight w:val="142"/>
        </w:trPr>
        <w:tc>
          <w:tcPr>
            <w:tcW w:w="1524" w:type="dxa"/>
            <w:tcBorders>
              <w:top w:val="nil"/>
              <w:left w:val="nil"/>
              <w:bottom w:val="single" w:sz="4" w:space="0" w:color="auto"/>
              <w:right w:val="nil"/>
            </w:tcBorders>
            <w:shd w:val="clear" w:color="auto" w:fill="auto"/>
            <w:vAlign w:val="center"/>
            <w:hideMark/>
          </w:tcPr>
          <w:p w14:paraId="411A5677" w14:textId="44F62463"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Hux 1999</w:t>
            </w:r>
          </w:p>
        </w:tc>
        <w:tc>
          <w:tcPr>
            <w:tcW w:w="802" w:type="dxa"/>
            <w:tcBorders>
              <w:top w:val="nil"/>
              <w:left w:val="nil"/>
              <w:bottom w:val="single" w:sz="4" w:space="0" w:color="auto"/>
              <w:right w:val="nil"/>
            </w:tcBorders>
            <w:shd w:val="clear" w:color="auto" w:fill="auto"/>
            <w:vAlign w:val="center"/>
            <w:hideMark/>
          </w:tcPr>
          <w:p w14:paraId="2A73D8B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394CC06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07D77B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antibiotic use</w:t>
            </w:r>
          </w:p>
        </w:tc>
        <w:tc>
          <w:tcPr>
            <w:tcW w:w="4364" w:type="dxa"/>
            <w:tcBorders>
              <w:top w:val="nil"/>
              <w:left w:val="nil"/>
              <w:bottom w:val="single" w:sz="4" w:space="0" w:color="auto"/>
              <w:right w:val="nil"/>
            </w:tcBorders>
            <w:shd w:val="clear" w:color="auto" w:fill="auto"/>
            <w:vAlign w:val="center"/>
            <w:hideMark/>
          </w:tcPr>
          <w:p w14:paraId="7867B5C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prescription cost.</w:t>
            </w:r>
          </w:p>
        </w:tc>
        <w:tc>
          <w:tcPr>
            <w:tcW w:w="3209" w:type="dxa"/>
            <w:tcBorders>
              <w:top w:val="nil"/>
              <w:left w:val="nil"/>
              <w:bottom w:val="single" w:sz="4" w:space="0" w:color="auto"/>
              <w:right w:val="nil"/>
            </w:tcBorders>
            <w:shd w:val="clear" w:color="auto" w:fill="auto"/>
            <w:vAlign w:val="center"/>
            <w:hideMark/>
          </w:tcPr>
          <w:p w14:paraId="3DB6440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3E1484DD"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520D61C" w14:textId="77777777" w:rsidTr="008819CF">
        <w:trPr>
          <w:trHeight w:val="216"/>
        </w:trPr>
        <w:tc>
          <w:tcPr>
            <w:tcW w:w="1524" w:type="dxa"/>
            <w:tcBorders>
              <w:top w:val="nil"/>
              <w:left w:val="nil"/>
              <w:bottom w:val="single" w:sz="4" w:space="0" w:color="auto"/>
              <w:right w:val="nil"/>
            </w:tcBorders>
            <w:shd w:val="clear" w:color="auto" w:fill="auto"/>
            <w:vAlign w:val="center"/>
            <w:hideMark/>
          </w:tcPr>
          <w:p w14:paraId="2AD433F1" w14:textId="3506AE33"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lastRenderedPageBreak/>
              <w:t>Inaraja 1986</w:t>
            </w:r>
          </w:p>
        </w:tc>
        <w:tc>
          <w:tcPr>
            <w:tcW w:w="802" w:type="dxa"/>
            <w:tcBorders>
              <w:top w:val="nil"/>
              <w:left w:val="nil"/>
              <w:bottom w:val="single" w:sz="4" w:space="0" w:color="auto"/>
              <w:right w:val="nil"/>
            </w:tcBorders>
            <w:shd w:val="clear" w:color="auto" w:fill="auto"/>
            <w:vAlign w:val="center"/>
            <w:hideMark/>
          </w:tcPr>
          <w:p w14:paraId="29D95C8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12BF4E7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031A6C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cephalosporins</w:t>
            </w:r>
          </w:p>
        </w:tc>
        <w:tc>
          <w:tcPr>
            <w:tcW w:w="4364" w:type="dxa"/>
            <w:tcBorders>
              <w:top w:val="nil"/>
              <w:left w:val="nil"/>
              <w:bottom w:val="single" w:sz="4" w:space="0" w:color="auto"/>
              <w:right w:val="nil"/>
            </w:tcBorders>
            <w:shd w:val="clear" w:color="auto" w:fill="auto"/>
            <w:vAlign w:val="center"/>
            <w:hideMark/>
          </w:tcPr>
          <w:p w14:paraId="1BD937E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Frequency of use of each group of antimicrobial agents</w:t>
            </w:r>
          </w:p>
        </w:tc>
        <w:tc>
          <w:tcPr>
            <w:tcW w:w="3209" w:type="dxa"/>
            <w:tcBorders>
              <w:top w:val="nil"/>
              <w:left w:val="nil"/>
              <w:bottom w:val="single" w:sz="4" w:space="0" w:color="auto"/>
              <w:right w:val="nil"/>
            </w:tcBorders>
            <w:shd w:val="clear" w:color="auto" w:fill="auto"/>
            <w:vAlign w:val="center"/>
            <w:hideMark/>
          </w:tcPr>
          <w:p w14:paraId="7742778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 in university hospital in Spain</w:t>
            </w:r>
          </w:p>
        </w:tc>
        <w:tc>
          <w:tcPr>
            <w:tcW w:w="709" w:type="dxa"/>
            <w:tcBorders>
              <w:top w:val="nil"/>
              <w:left w:val="nil"/>
              <w:bottom w:val="single" w:sz="4" w:space="0" w:color="auto"/>
              <w:right w:val="nil"/>
            </w:tcBorders>
            <w:shd w:val="clear" w:color="auto" w:fill="auto"/>
            <w:vAlign w:val="center"/>
            <w:hideMark/>
          </w:tcPr>
          <w:p w14:paraId="02125A5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31B830D4" w14:textId="77777777" w:rsidTr="008819CF">
        <w:trPr>
          <w:trHeight w:val="491"/>
        </w:trPr>
        <w:tc>
          <w:tcPr>
            <w:tcW w:w="1524" w:type="dxa"/>
            <w:tcBorders>
              <w:top w:val="nil"/>
              <w:left w:val="nil"/>
              <w:bottom w:val="single" w:sz="4" w:space="0" w:color="auto"/>
              <w:right w:val="nil"/>
            </w:tcBorders>
            <w:shd w:val="clear" w:color="auto" w:fill="auto"/>
            <w:vAlign w:val="center"/>
            <w:hideMark/>
          </w:tcPr>
          <w:p w14:paraId="27C2B87B" w14:textId="55AFB8F9"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Jackson 2005</w:t>
            </w:r>
          </w:p>
        </w:tc>
        <w:tc>
          <w:tcPr>
            <w:tcW w:w="802" w:type="dxa"/>
            <w:tcBorders>
              <w:top w:val="nil"/>
              <w:left w:val="nil"/>
              <w:bottom w:val="single" w:sz="4" w:space="0" w:color="auto"/>
              <w:right w:val="nil"/>
            </w:tcBorders>
            <w:shd w:val="clear" w:color="auto" w:fill="auto"/>
            <w:vAlign w:val="center"/>
            <w:hideMark/>
          </w:tcPr>
          <w:p w14:paraId="742C1C0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5B3C0E1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9F632C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management of Acute low back pain</w:t>
            </w:r>
          </w:p>
        </w:tc>
        <w:tc>
          <w:tcPr>
            <w:tcW w:w="4364" w:type="dxa"/>
            <w:tcBorders>
              <w:top w:val="nil"/>
              <w:left w:val="nil"/>
              <w:bottom w:val="single" w:sz="4" w:space="0" w:color="auto"/>
              <w:right w:val="nil"/>
            </w:tcBorders>
            <w:shd w:val="clear" w:color="auto" w:fill="auto"/>
            <w:vAlign w:val="center"/>
            <w:hideMark/>
          </w:tcPr>
          <w:p w14:paraId="650781C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Number of radiographs ordered for LBP; medication recommendations (acetaminophen, NSAIDs, muscle relaxants, narcotics); physiotherapy referrals</w:t>
            </w:r>
          </w:p>
        </w:tc>
        <w:tc>
          <w:tcPr>
            <w:tcW w:w="3209" w:type="dxa"/>
            <w:tcBorders>
              <w:top w:val="nil"/>
              <w:left w:val="nil"/>
              <w:bottom w:val="single" w:sz="4" w:space="0" w:color="auto"/>
              <w:right w:val="nil"/>
            </w:tcBorders>
            <w:shd w:val="clear" w:color="auto" w:fill="auto"/>
            <w:vAlign w:val="center"/>
            <w:hideMark/>
          </w:tcPr>
          <w:p w14:paraId="6C0B1FB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4091BAC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1CDA0640" w14:textId="77777777" w:rsidTr="008819CF">
        <w:trPr>
          <w:trHeight w:val="484"/>
        </w:trPr>
        <w:tc>
          <w:tcPr>
            <w:tcW w:w="1524" w:type="dxa"/>
            <w:tcBorders>
              <w:top w:val="nil"/>
              <w:left w:val="nil"/>
              <w:bottom w:val="single" w:sz="4" w:space="0" w:color="auto"/>
              <w:right w:val="nil"/>
            </w:tcBorders>
            <w:shd w:val="clear" w:color="auto" w:fill="auto"/>
            <w:vAlign w:val="center"/>
            <w:hideMark/>
          </w:tcPr>
          <w:p w14:paraId="02360425" w14:textId="22FEEFC3"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Kahan 2009</w:t>
            </w:r>
          </w:p>
        </w:tc>
        <w:tc>
          <w:tcPr>
            <w:tcW w:w="802" w:type="dxa"/>
            <w:tcBorders>
              <w:top w:val="nil"/>
              <w:left w:val="nil"/>
              <w:bottom w:val="single" w:sz="4" w:space="0" w:color="auto"/>
              <w:right w:val="nil"/>
            </w:tcBorders>
            <w:shd w:val="clear" w:color="auto" w:fill="auto"/>
            <w:vAlign w:val="center"/>
            <w:hideMark/>
          </w:tcPr>
          <w:p w14:paraId="6D49ABB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3E4DBF7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47B6E7F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Adhere to a guideline for the treatment of acute uncomplicated cystitis in women </w:t>
            </w:r>
          </w:p>
        </w:tc>
        <w:tc>
          <w:tcPr>
            <w:tcW w:w="4364" w:type="dxa"/>
            <w:tcBorders>
              <w:top w:val="nil"/>
              <w:left w:val="nil"/>
              <w:bottom w:val="single" w:sz="4" w:space="0" w:color="auto"/>
              <w:right w:val="nil"/>
            </w:tcBorders>
            <w:shd w:val="clear" w:color="auto" w:fill="auto"/>
            <w:vAlign w:val="center"/>
            <w:hideMark/>
          </w:tcPr>
          <w:p w14:paraId="4EED96E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Increase prescribing of nitrofurantoin </w:t>
            </w:r>
          </w:p>
        </w:tc>
        <w:tc>
          <w:tcPr>
            <w:tcW w:w="3209" w:type="dxa"/>
            <w:tcBorders>
              <w:top w:val="nil"/>
              <w:left w:val="nil"/>
              <w:bottom w:val="single" w:sz="4" w:space="0" w:color="auto"/>
              <w:right w:val="nil"/>
            </w:tcBorders>
            <w:shd w:val="clear" w:color="auto" w:fill="auto"/>
            <w:vAlign w:val="center"/>
            <w:hideMark/>
          </w:tcPr>
          <w:p w14:paraId="0BC2907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 internists</w:t>
            </w:r>
          </w:p>
        </w:tc>
        <w:tc>
          <w:tcPr>
            <w:tcW w:w="709" w:type="dxa"/>
            <w:tcBorders>
              <w:top w:val="nil"/>
              <w:left w:val="nil"/>
              <w:bottom w:val="single" w:sz="4" w:space="0" w:color="auto"/>
              <w:right w:val="nil"/>
            </w:tcBorders>
            <w:shd w:val="clear" w:color="auto" w:fill="auto"/>
            <w:vAlign w:val="center"/>
            <w:hideMark/>
          </w:tcPr>
          <w:p w14:paraId="43368005"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75A233D" w14:textId="77777777" w:rsidTr="008819CF">
        <w:trPr>
          <w:trHeight w:val="162"/>
        </w:trPr>
        <w:tc>
          <w:tcPr>
            <w:tcW w:w="1524" w:type="dxa"/>
            <w:tcBorders>
              <w:top w:val="nil"/>
              <w:left w:val="nil"/>
              <w:bottom w:val="single" w:sz="4" w:space="0" w:color="auto"/>
              <w:right w:val="nil"/>
            </w:tcBorders>
            <w:shd w:val="clear" w:color="auto" w:fill="auto"/>
            <w:vAlign w:val="center"/>
            <w:hideMark/>
          </w:tcPr>
          <w:p w14:paraId="3508C720" w14:textId="77777777" w:rsidR="0098086A" w:rsidRPr="003E6B1E" w:rsidRDefault="0098086A" w:rsidP="00661976">
            <w:pPr>
              <w:spacing w:line="240" w:lineRule="auto"/>
              <w:rPr>
                <w:rFonts w:ascii="Arial Narrow" w:hAnsi="Arial Narrow"/>
                <w:sz w:val="18"/>
                <w:szCs w:val="18"/>
                <w:lang w:val="en-GB"/>
              </w:rPr>
            </w:pPr>
            <w:r w:rsidRPr="003E6B1E">
              <w:rPr>
                <w:rFonts w:ascii="Arial Narrow" w:hAnsi="Arial Narrow"/>
                <w:sz w:val="18"/>
                <w:szCs w:val="18"/>
                <w:lang w:val="en-GB"/>
              </w:rPr>
              <w:t>Kerry 2000</w:t>
            </w:r>
          </w:p>
        </w:tc>
        <w:tc>
          <w:tcPr>
            <w:tcW w:w="802" w:type="dxa"/>
            <w:tcBorders>
              <w:top w:val="nil"/>
              <w:left w:val="nil"/>
              <w:bottom w:val="single" w:sz="4" w:space="0" w:color="auto"/>
              <w:right w:val="nil"/>
            </w:tcBorders>
            <w:shd w:val="clear" w:color="auto" w:fill="auto"/>
            <w:vAlign w:val="center"/>
            <w:hideMark/>
          </w:tcPr>
          <w:p w14:paraId="2CCBE6A6" w14:textId="6EF32A2B" w:rsidR="0098086A" w:rsidRPr="003E6B1E" w:rsidRDefault="0098086A" w:rsidP="00661976">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55C47D9" w14:textId="77777777" w:rsidR="0098086A" w:rsidRPr="003E6B1E" w:rsidRDefault="0098086A" w:rsidP="00661976">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603D05A1" w14:textId="4EA54BE6" w:rsidR="0098086A" w:rsidRPr="003E6B1E" w:rsidRDefault="0098086A" w:rsidP="00661976">
            <w:pPr>
              <w:spacing w:line="240" w:lineRule="auto"/>
              <w:rPr>
                <w:rFonts w:ascii="Arial Narrow" w:hAnsi="Arial Narrow"/>
                <w:sz w:val="18"/>
                <w:szCs w:val="18"/>
                <w:lang w:val="en-GB"/>
              </w:rPr>
            </w:pPr>
            <w:r w:rsidRPr="003E6B1E">
              <w:rPr>
                <w:rFonts w:ascii="Arial Narrow" w:hAnsi="Arial Narrow"/>
                <w:sz w:val="18"/>
                <w:szCs w:val="18"/>
                <w:lang w:val="en-GB"/>
              </w:rPr>
              <w:t xml:space="preserve">decreasing </w:t>
            </w:r>
            <w:r>
              <w:rPr>
                <w:rFonts w:ascii="Arial Narrow" w:hAnsi="Arial Narrow"/>
                <w:sz w:val="18"/>
                <w:szCs w:val="18"/>
                <w:lang w:val="en-GB"/>
              </w:rPr>
              <w:t>X-ray</w:t>
            </w:r>
            <w:r w:rsidRPr="003E6B1E">
              <w:rPr>
                <w:rFonts w:ascii="Arial Narrow" w:hAnsi="Arial Narrow"/>
                <w:sz w:val="18"/>
                <w:szCs w:val="18"/>
                <w:lang w:val="en-GB"/>
              </w:rPr>
              <w:t xml:space="preserve"> referral in GP's</w:t>
            </w:r>
          </w:p>
        </w:tc>
        <w:tc>
          <w:tcPr>
            <w:tcW w:w="4364" w:type="dxa"/>
            <w:tcBorders>
              <w:top w:val="nil"/>
              <w:left w:val="nil"/>
              <w:bottom w:val="single" w:sz="4" w:space="0" w:color="auto"/>
              <w:right w:val="nil"/>
            </w:tcBorders>
            <w:shd w:val="clear" w:color="auto" w:fill="auto"/>
            <w:vAlign w:val="center"/>
            <w:hideMark/>
          </w:tcPr>
          <w:p w14:paraId="200DDB5D" w14:textId="77777777" w:rsidR="0098086A" w:rsidRPr="003E6B1E" w:rsidRDefault="0098086A" w:rsidP="00661976">
            <w:pPr>
              <w:spacing w:line="240" w:lineRule="auto"/>
              <w:rPr>
                <w:rFonts w:ascii="Arial Narrow" w:hAnsi="Arial Narrow"/>
                <w:sz w:val="18"/>
                <w:szCs w:val="18"/>
                <w:lang w:val="en-GB"/>
              </w:rPr>
            </w:pPr>
            <w:r w:rsidRPr="003E6B1E">
              <w:rPr>
                <w:rFonts w:ascii="Arial Narrow" w:hAnsi="Arial Narrow"/>
                <w:sz w:val="18"/>
                <w:szCs w:val="18"/>
                <w:lang w:val="en-GB"/>
              </w:rPr>
              <w:t xml:space="preserve">Requests for spinal examinations </w:t>
            </w:r>
          </w:p>
        </w:tc>
        <w:tc>
          <w:tcPr>
            <w:tcW w:w="3209" w:type="dxa"/>
            <w:tcBorders>
              <w:top w:val="nil"/>
              <w:left w:val="nil"/>
              <w:bottom w:val="single" w:sz="4" w:space="0" w:color="auto"/>
              <w:right w:val="nil"/>
            </w:tcBorders>
            <w:shd w:val="clear" w:color="auto" w:fill="auto"/>
            <w:vAlign w:val="center"/>
            <w:hideMark/>
          </w:tcPr>
          <w:p w14:paraId="4EA54B83" w14:textId="77777777" w:rsidR="0098086A" w:rsidRPr="003E6B1E" w:rsidRDefault="0098086A" w:rsidP="00661976">
            <w:pPr>
              <w:spacing w:line="240" w:lineRule="auto"/>
              <w:rPr>
                <w:rFonts w:ascii="Arial Narrow" w:hAnsi="Arial Narrow"/>
                <w:sz w:val="18"/>
                <w:szCs w:val="18"/>
                <w:lang w:val="en-GB"/>
              </w:rPr>
            </w:pPr>
            <w:r w:rsidRPr="003E6B1E">
              <w:rPr>
                <w:rFonts w:ascii="Arial Narrow" w:hAnsi="Arial Narrow"/>
                <w:sz w:val="18"/>
                <w:szCs w:val="18"/>
                <w:lang w:val="en-GB"/>
              </w:rPr>
              <w:t>General Practitioners</w:t>
            </w:r>
          </w:p>
        </w:tc>
        <w:tc>
          <w:tcPr>
            <w:tcW w:w="709" w:type="dxa"/>
            <w:tcBorders>
              <w:top w:val="nil"/>
              <w:left w:val="nil"/>
              <w:bottom w:val="single" w:sz="4" w:space="0" w:color="auto"/>
              <w:right w:val="nil"/>
            </w:tcBorders>
            <w:shd w:val="clear" w:color="auto" w:fill="auto"/>
            <w:vAlign w:val="center"/>
            <w:hideMark/>
          </w:tcPr>
          <w:p w14:paraId="0552DFA3" w14:textId="77777777" w:rsidR="0098086A" w:rsidRPr="003E6B1E" w:rsidRDefault="0098086A" w:rsidP="00661976">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CD351F2" w14:textId="77777777" w:rsidTr="008819CF">
        <w:trPr>
          <w:trHeight w:val="365"/>
        </w:trPr>
        <w:tc>
          <w:tcPr>
            <w:tcW w:w="1524" w:type="dxa"/>
            <w:tcBorders>
              <w:top w:val="nil"/>
              <w:left w:val="nil"/>
              <w:bottom w:val="single" w:sz="4" w:space="0" w:color="auto"/>
              <w:right w:val="nil"/>
            </w:tcBorders>
            <w:shd w:val="clear" w:color="auto" w:fill="auto"/>
            <w:vAlign w:val="center"/>
            <w:hideMark/>
          </w:tcPr>
          <w:p w14:paraId="732E9532" w14:textId="3EDDDFD6"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Kerry 2000</w:t>
            </w:r>
            <w:r>
              <w:rPr>
                <w:rFonts w:ascii="Arial Narrow" w:hAnsi="Arial Narrow"/>
                <w:sz w:val="18"/>
                <w:szCs w:val="18"/>
                <w:lang w:val="en-GB"/>
              </w:rPr>
              <w:t>a</w:t>
            </w:r>
          </w:p>
        </w:tc>
        <w:tc>
          <w:tcPr>
            <w:tcW w:w="802" w:type="dxa"/>
            <w:tcBorders>
              <w:top w:val="nil"/>
              <w:left w:val="nil"/>
              <w:bottom w:val="single" w:sz="4" w:space="0" w:color="auto"/>
              <w:right w:val="nil"/>
            </w:tcBorders>
            <w:shd w:val="clear" w:color="auto" w:fill="auto"/>
            <w:vAlign w:val="center"/>
            <w:hideMark/>
          </w:tcPr>
          <w:p w14:paraId="5D1E9819" w14:textId="6D6FA754"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79BDD78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301B408" w14:textId="365D9304"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Reduce the number of GP radiological requests </w:t>
            </w:r>
          </w:p>
        </w:tc>
        <w:tc>
          <w:tcPr>
            <w:tcW w:w="4364" w:type="dxa"/>
            <w:tcBorders>
              <w:top w:val="nil"/>
              <w:left w:val="nil"/>
              <w:bottom w:val="single" w:sz="4" w:space="0" w:color="auto"/>
              <w:right w:val="nil"/>
            </w:tcBorders>
            <w:shd w:val="clear" w:color="auto" w:fill="auto"/>
            <w:vAlign w:val="center"/>
            <w:hideMark/>
          </w:tcPr>
          <w:p w14:paraId="736438B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Requests for spinal examinations </w:t>
            </w:r>
          </w:p>
        </w:tc>
        <w:tc>
          <w:tcPr>
            <w:tcW w:w="3209" w:type="dxa"/>
            <w:tcBorders>
              <w:top w:val="nil"/>
              <w:left w:val="nil"/>
              <w:bottom w:val="single" w:sz="4" w:space="0" w:color="auto"/>
              <w:right w:val="nil"/>
            </w:tcBorders>
            <w:shd w:val="clear" w:color="auto" w:fill="auto"/>
            <w:vAlign w:val="center"/>
            <w:hideMark/>
          </w:tcPr>
          <w:p w14:paraId="66E001C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General Practitioners</w:t>
            </w:r>
          </w:p>
        </w:tc>
        <w:tc>
          <w:tcPr>
            <w:tcW w:w="709" w:type="dxa"/>
            <w:tcBorders>
              <w:top w:val="nil"/>
              <w:left w:val="nil"/>
              <w:bottom w:val="single" w:sz="4" w:space="0" w:color="auto"/>
              <w:right w:val="nil"/>
            </w:tcBorders>
            <w:shd w:val="clear" w:color="auto" w:fill="auto"/>
            <w:vAlign w:val="center"/>
            <w:hideMark/>
          </w:tcPr>
          <w:p w14:paraId="5120A7D4"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22484614" w14:textId="77777777" w:rsidTr="008819CF">
        <w:trPr>
          <w:trHeight w:val="438"/>
        </w:trPr>
        <w:tc>
          <w:tcPr>
            <w:tcW w:w="1524" w:type="dxa"/>
            <w:tcBorders>
              <w:top w:val="nil"/>
              <w:left w:val="nil"/>
              <w:bottom w:val="single" w:sz="4" w:space="0" w:color="auto"/>
              <w:right w:val="nil"/>
            </w:tcBorders>
            <w:shd w:val="clear" w:color="auto" w:fill="auto"/>
            <w:vAlign w:val="center"/>
            <w:hideMark/>
          </w:tcPr>
          <w:p w14:paraId="01FB9A44" w14:textId="2711A008"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Khan 2003</w:t>
            </w:r>
          </w:p>
        </w:tc>
        <w:tc>
          <w:tcPr>
            <w:tcW w:w="802" w:type="dxa"/>
            <w:tcBorders>
              <w:top w:val="nil"/>
              <w:left w:val="nil"/>
              <w:bottom w:val="single" w:sz="4" w:space="0" w:color="auto"/>
              <w:right w:val="nil"/>
            </w:tcBorders>
            <w:shd w:val="clear" w:color="auto" w:fill="auto"/>
            <w:vAlign w:val="center"/>
            <w:hideMark/>
          </w:tcPr>
          <w:p w14:paraId="2C59E52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0FB95A8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4D27E2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use of cephalosporins</w:t>
            </w:r>
          </w:p>
        </w:tc>
        <w:tc>
          <w:tcPr>
            <w:tcW w:w="4364" w:type="dxa"/>
            <w:tcBorders>
              <w:top w:val="nil"/>
              <w:left w:val="nil"/>
              <w:bottom w:val="single" w:sz="4" w:space="0" w:color="auto"/>
              <w:right w:val="nil"/>
            </w:tcBorders>
            <w:shd w:val="clear" w:color="auto" w:fill="auto"/>
            <w:vAlign w:val="center"/>
            <w:hideMark/>
          </w:tcPr>
          <w:p w14:paraId="2A3D7B5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Incidence of</w:t>
            </w:r>
            <w:r w:rsidRPr="003E6B1E">
              <w:rPr>
                <w:rFonts w:ascii="Arial Narrow" w:hAnsi="Arial Narrow"/>
                <w:i/>
                <w:iCs/>
                <w:sz w:val="18"/>
                <w:szCs w:val="18"/>
                <w:lang w:val="en-GB"/>
              </w:rPr>
              <w:t xml:space="preserve"> </w:t>
            </w:r>
            <w:proofErr w:type="spellStart"/>
            <w:r w:rsidRPr="003E6B1E">
              <w:rPr>
                <w:rFonts w:ascii="Arial Narrow" w:hAnsi="Arial Narrow"/>
                <w:i/>
                <w:iCs/>
                <w:sz w:val="18"/>
                <w:szCs w:val="18"/>
                <w:lang w:val="en-GB"/>
              </w:rPr>
              <w:t>C.Diff</w:t>
            </w:r>
            <w:proofErr w:type="spellEnd"/>
            <w:r w:rsidRPr="003E6B1E">
              <w:rPr>
                <w:rFonts w:ascii="Arial Narrow" w:hAnsi="Arial Narrow"/>
                <w:i/>
                <w:iCs/>
                <w:sz w:val="18"/>
                <w:szCs w:val="18"/>
                <w:lang w:val="en-GB"/>
              </w:rPr>
              <w:t>.</w:t>
            </w:r>
          </w:p>
        </w:tc>
        <w:tc>
          <w:tcPr>
            <w:tcW w:w="3209" w:type="dxa"/>
            <w:tcBorders>
              <w:top w:val="nil"/>
              <w:left w:val="nil"/>
              <w:bottom w:val="single" w:sz="4" w:space="0" w:color="auto"/>
              <w:right w:val="nil"/>
            </w:tcBorders>
            <w:shd w:val="clear" w:color="auto" w:fill="auto"/>
            <w:vAlign w:val="center"/>
            <w:hideMark/>
          </w:tcPr>
          <w:p w14:paraId="13B1EA7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Anyone who prescribes cephalosporins in hospital </w:t>
            </w:r>
          </w:p>
        </w:tc>
        <w:tc>
          <w:tcPr>
            <w:tcW w:w="709" w:type="dxa"/>
            <w:tcBorders>
              <w:top w:val="nil"/>
              <w:left w:val="nil"/>
              <w:bottom w:val="single" w:sz="4" w:space="0" w:color="auto"/>
              <w:right w:val="nil"/>
            </w:tcBorders>
            <w:shd w:val="clear" w:color="auto" w:fill="auto"/>
            <w:vAlign w:val="center"/>
            <w:hideMark/>
          </w:tcPr>
          <w:p w14:paraId="079CB7E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17F93E10" w14:textId="77777777" w:rsidTr="008819CF">
        <w:trPr>
          <w:trHeight w:val="300"/>
        </w:trPr>
        <w:tc>
          <w:tcPr>
            <w:tcW w:w="1524" w:type="dxa"/>
            <w:tcBorders>
              <w:top w:val="nil"/>
              <w:left w:val="nil"/>
              <w:bottom w:val="single" w:sz="4" w:space="0" w:color="auto"/>
              <w:right w:val="nil"/>
            </w:tcBorders>
            <w:shd w:val="clear" w:color="auto" w:fill="auto"/>
            <w:vAlign w:val="center"/>
            <w:hideMark/>
          </w:tcPr>
          <w:p w14:paraId="49B53E56" w14:textId="6137473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Kiefe 2001</w:t>
            </w:r>
          </w:p>
        </w:tc>
        <w:tc>
          <w:tcPr>
            <w:tcW w:w="802" w:type="dxa"/>
            <w:tcBorders>
              <w:top w:val="nil"/>
              <w:left w:val="nil"/>
              <w:bottom w:val="single" w:sz="4" w:space="0" w:color="auto"/>
              <w:right w:val="nil"/>
            </w:tcBorders>
            <w:shd w:val="clear" w:color="auto" w:fill="auto"/>
            <w:vAlign w:val="center"/>
            <w:hideMark/>
          </w:tcPr>
          <w:p w14:paraId="4925579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389EEAD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43A50F6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diabetes care</w:t>
            </w:r>
          </w:p>
        </w:tc>
        <w:tc>
          <w:tcPr>
            <w:tcW w:w="4364" w:type="dxa"/>
            <w:tcBorders>
              <w:top w:val="nil"/>
              <w:left w:val="nil"/>
              <w:bottom w:val="single" w:sz="4" w:space="0" w:color="auto"/>
              <w:right w:val="nil"/>
            </w:tcBorders>
            <w:shd w:val="clear" w:color="auto" w:fill="auto"/>
            <w:vAlign w:val="center"/>
            <w:hideMark/>
          </w:tcPr>
          <w:p w14:paraId="2E4CCA9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Number of behaviours</w:t>
            </w:r>
          </w:p>
        </w:tc>
        <w:tc>
          <w:tcPr>
            <w:tcW w:w="3209" w:type="dxa"/>
            <w:tcBorders>
              <w:top w:val="nil"/>
              <w:left w:val="nil"/>
              <w:bottom w:val="single" w:sz="4" w:space="0" w:color="auto"/>
              <w:right w:val="nil"/>
            </w:tcBorders>
            <w:shd w:val="clear" w:color="auto" w:fill="auto"/>
            <w:vAlign w:val="center"/>
            <w:hideMark/>
          </w:tcPr>
          <w:p w14:paraId="530408F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 GP / internists</w:t>
            </w:r>
          </w:p>
        </w:tc>
        <w:tc>
          <w:tcPr>
            <w:tcW w:w="709" w:type="dxa"/>
            <w:tcBorders>
              <w:top w:val="nil"/>
              <w:left w:val="nil"/>
              <w:bottom w:val="single" w:sz="4" w:space="0" w:color="auto"/>
              <w:right w:val="nil"/>
            </w:tcBorders>
            <w:shd w:val="clear" w:color="auto" w:fill="auto"/>
            <w:vAlign w:val="center"/>
            <w:hideMark/>
          </w:tcPr>
          <w:p w14:paraId="69164F9E"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58CB8B5" w14:textId="77777777" w:rsidTr="008819CF">
        <w:trPr>
          <w:trHeight w:val="722"/>
        </w:trPr>
        <w:tc>
          <w:tcPr>
            <w:tcW w:w="1524" w:type="dxa"/>
            <w:tcBorders>
              <w:top w:val="nil"/>
              <w:left w:val="nil"/>
              <w:bottom w:val="single" w:sz="4" w:space="0" w:color="auto"/>
              <w:right w:val="nil"/>
            </w:tcBorders>
            <w:shd w:val="clear" w:color="auto" w:fill="auto"/>
            <w:vAlign w:val="center"/>
            <w:hideMark/>
          </w:tcPr>
          <w:p w14:paraId="4FCEA13C" w14:textId="0001A55B"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Kim 1999</w:t>
            </w:r>
          </w:p>
        </w:tc>
        <w:tc>
          <w:tcPr>
            <w:tcW w:w="802" w:type="dxa"/>
            <w:tcBorders>
              <w:top w:val="nil"/>
              <w:left w:val="nil"/>
              <w:bottom w:val="single" w:sz="4" w:space="0" w:color="auto"/>
              <w:right w:val="nil"/>
            </w:tcBorders>
            <w:shd w:val="clear" w:color="auto" w:fill="auto"/>
            <w:vAlign w:val="center"/>
            <w:hideMark/>
          </w:tcPr>
          <w:p w14:paraId="450C683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806012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69664D5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w:t>
            </w:r>
            <w:r>
              <w:rPr>
                <w:rFonts w:ascii="Arial Narrow" w:hAnsi="Arial Narrow"/>
                <w:sz w:val="18"/>
                <w:szCs w:val="18"/>
                <w:lang w:val="en-GB"/>
              </w:rPr>
              <w:t>e</w:t>
            </w:r>
            <w:r w:rsidRPr="003E6B1E">
              <w:rPr>
                <w:rFonts w:ascii="Arial Narrow" w:hAnsi="Arial Narrow"/>
                <w:sz w:val="18"/>
                <w:szCs w:val="18"/>
                <w:lang w:val="en-GB"/>
              </w:rPr>
              <w:t xml:space="preserve"> quality of care by GP's for those 65-75 years old</w:t>
            </w:r>
          </w:p>
        </w:tc>
        <w:tc>
          <w:tcPr>
            <w:tcW w:w="4364" w:type="dxa"/>
            <w:tcBorders>
              <w:top w:val="nil"/>
              <w:left w:val="nil"/>
              <w:bottom w:val="single" w:sz="4" w:space="0" w:color="auto"/>
              <w:right w:val="nil"/>
            </w:tcBorders>
            <w:shd w:val="clear" w:color="auto" w:fill="auto"/>
            <w:vAlign w:val="center"/>
            <w:hideMark/>
          </w:tcPr>
          <w:p w14:paraId="14B0FFB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Provide advice about Influenza vaccine Pneumococcal vaccine; Tetanus vaccine Mammography Breast examination Exercise counselling Smoking cessation</w:t>
            </w:r>
          </w:p>
        </w:tc>
        <w:tc>
          <w:tcPr>
            <w:tcW w:w="3209" w:type="dxa"/>
            <w:tcBorders>
              <w:top w:val="nil"/>
              <w:left w:val="nil"/>
              <w:bottom w:val="single" w:sz="4" w:space="0" w:color="auto"/>
              <w:right w:val="nil"/>
            </w:tcBorders>
            <w:shd w:val="clear" w:color="auto" w:fill="auto"/>
            <w:vAlign w:val="center"/>
            <w:hideMark/>
          </w:tcPr>
          <w:p w14:paraId="654E901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 internists</w:t>
            </w:r>
          </w:p>
        </w:tc>
        <w:tc>
          <w:tcPr>
            <w:tcW w:w="709" w:type="dxa"/>
            <w:tcBorders>
              <w:top w:val="nil"/>
              <w:left w:val="nil"/>
              <w:bottom w:val="single" w:sz="4" w:space="0" w:color="auto"/>
              <w:right w:val="nil"/>
            </w:tcBorders>
            <w:shd w:val="clear" w:color="auto" w:fill="auto"/>
            <w:vAlign w:val="center"/>
            <w:hideMark/>
          </w:tcPr>
          <w:p w14:paraId="47A2A47A"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74F9109E" w14:textId="77777777" w:rsidTr="008819CF">
        <w:trPr>
          <w:trHeight w:val="448"/>
        </w:trPr>
        <w:tc>
          <w:tcPr>
            <w:tcW w:w="1524" w:type="dxa"/>
            <w:tcBorders>
              <w:top w:val="nil"/>
              <w:left w:val="nil"/>
              <w:bottom w:val="single" w:sz="4" w:space="0" w:color="auto"/>
              <w:right w:val="nil"/>
            </w:tcBorders>
            <w:shd w:val="clear" w:color="auto" w:fill="auto"/>
            <w:vAlign w:val="center"/>
            <w:hideMark/>
          </w:tcPr>
          <w:p w14:paraId="4296D02B" w14:textId="72F76055"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Kinsinger 1998</w:t>
            </w:r>
          </w:p>
        </w:tc>
        <w:tc>
          <w:tcPr>
            <w:tcW w:w="802" w:type="dxa"/>
            <w:tcBorders>
              <w:top w:val="nil"/>
              <w:left w:val="nil"/>
              <w:bottom w:val="single" w:sz="4" w:space="0" w:color="auto"/>
              <w:right w:val="nil"/>
            </w:tcBorders>
            <w:shd w:val="clear" w:color="auto" w:fill="auto"/>
            <w:vAlign w:val="center"/>
            <w:hideMark/>
          </w:tcPr>
          <w:p w14:paraId="2EBCE85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02A794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87C1FB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breast cancer screening rates</w:t>
            </w:r>
          </w:p>
        </w:tc>
        <w:tc>
          <w:tcPr>
            <w:tcW w:w="4364" w:type="dxa"/>
            <w:tcBorders>
              <w:top w:val="nil"/>
              <w:left w:val="nil"/>
              <w:bottom w:val="single" w:sz="4" w:space="0" w:color="auto"/>
              <w:right w:val="nil"/>
            </w:tcBorders>
            <w:shd w:val="clear" w:color="auto" w:fill="auto"/>
            <w:vAlign w:val="center"/>
            <w:hideMark/>
          </w:tcPr>
          <w:p w14:paraId="6CD997C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Mammography were recorded in two ways mention of the test in the visit note and actual report of the test in the medical record</w:t>
            </w:r>
          </w:p>
        </w:tc>
        <w:tc>
          <w:tcPr>
            <w:tcW w:w="3209" w:type="dxa"/>
            <w:tcBorders>
              <w:top w:val="nil"/>
              <w:left w:val="nil"/>
              <w:bottom w:val="single" w:sz="4" w:space="0" w:color="auto"/>
              <w:right w:val="nil"/>
            </w:tcBorders>
            <w:shd w:val="clear" w:color="auto" w:fill="auto"/>
            <w:vAlign w:val="center"/>
            <w:hideMark/>
          </w:tcPr>
          <w:p w14:paraId="72A0A78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and staff of 62 randomly selected family medicine and general internal medicine practices</w:t>
            </w:r>
          </w:p>
        </w:tc>
        <w:tc>
          <w:tcPr>
            <w:tcW w:w="709" w:type="dxa"/>
            <w:tcBorders>
              <w:top w:val="nil"/>
              <w:left w:val="nil"/>
              <w:bottom w:val="single" w:sz="4" w:space="0" w:color="auto"/>
              <w:right w:val="nil"/>
            </w:tcBorders>
            <w:shd w:val="clear" w:color="auto" w:fill="auto"/>
            <w:vAlign w:val="center"/>
            <w:hideMark/>
          </w:tcPr>
          <w:p w14:paraId="6CD65147"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199D2FF" w14:textId="77777777" w:rsidTr="008819CF">
        <w:trPr>
          <w:trHeight w:val="844"/>
        </w:trPr>
        <w:tc>
          <w:tcPr>
            <w:tcW w:w="1524" w:type="dxa"/>
            <w:tcBorders>
              <w:top w:val="nil"/>
              <w:left w:val="nil"/>
              <w:bottom w:val="single" w:sz="4" w:space="0" w:color="auto"/>
              <w:right w:val="nil"/>
            </w:tcBorders>
            <w:shd w:val="clear" w:color="auto" w:fill="auto"/>
            <w:vAlign w:val="center"/>
            <w:hideMark/>
          </w:tcPr>
          <w:p w14:paraId="11FF791C" w14:textId="4351D50E"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Kogan </w:t>
            </w:r>
            <w:r>
              <w:rPr>
                <w:rFonts w:ascii="Arial Narrow" w:hAnsi="Arial Narrow"/>
                <w:sz w:val="18"/>
                <w:szCs w:val="18"/>
                <w:lang w:val="en-GB"/>
              </w:rPr>
              <w:t>2</w:t>
            </w:r>
            <w:r w:rsidRPr="003E6B1E">
              <w:rPr>
                <w:rFonts w:ascii="Arial Narrow" w:hAnsi="Arial Narrow"/>
                <w:sz w:val="18"/>
                <w:szCs w:val="18"/>
                <w:lang w:val="en-GB"/>
              </w:rPr>
              <w:t>003</w:t>
            </w:r>
          </w:p>
        </w:tc>
        <w:tc>
          <w:tcPr>
            <w:tcW w:w="802" w:type="dxa"/>
            <w:tcBorders>
              <w:top w:val="nil"/>
              <w:left w:val="nil"/>
              <w:bottom w:val="single" w:sz="4" w:space="0" w:color="auto"/>
              <w:right w:val="nil"/>
            </w:tcBorders>
            <w:shd w:val="clear" w:color="auto" w:fill="auto"/>
            <w:vAlign w:val="center"/>
            <w:hideMark/>
          </w:tcPr>
          <w:p w14:paraId="10D5D67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7690EB3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309C9D5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compliance with preventive health and disease management recommendations</w:t>
            </w:r>
          </w:p>
        </w:tc>
        <w:tc>
          <w:tcPr>
            <w:tcW w:w="4364" w:type="dxa"/>
            <w:tcBorders>
              <w:top w:val="nil"/>
              <w:left w:val="nil"/>
              <w:bottom w:val="single" w:sz="4" w:space="0" w:color="auto"/>
              <w:right w:val="nil"/>
            </w:tcBorders>
            <w:shd w:val="clear" w:color="auto" w:fill="auto"/>
            <w:vAlign w:val="center"/>
            <w:hideMark/>
          </w:tcPr>
          <w:p w14:paraId="034CA59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Screening (10) Immunizations (3) Counselling (5) Total preventive health (18) Diabetes management (12) Hypertension management (5) Coronary artery disease management (5) Asthma management (5)</w:t>
            </w:r>
          </w:p>
        </w:tc>
        <w:tc>
          <w:tcPr>
            <w:tcW w:w="3209" w:type="dxa"/>
            <w:tcBorders>
              <w:top w:val="nil"/>
              <w:left w:val="nil"/>
              <w:bottom w:val="single" w:sz="4" w:space="0" w:color="auto"/>
              <w:right w:val="nil"/>
            </w:tcBorders>
            <w:shd w:val="clear" w:color="auto" w:fill="auto"/>
            <w:vAlign w:val="center"/>
            <w:hideMark/>
          </w:tcPr>
          <w:p w14:paraId="2E785D6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Internists</w:t>
            </w:r>
          </w:p>
        </w:tc>
        <w:tc>
          <w:tcPr>
            <w:tcW w:w="709" w:type="dxa"/>
            <w:tcBorders>
              <w:top w:val="nil"/>
              <w:left w:val="nil"/>
              <w:bottom w:val="single" w:sz="4" w:space="0" w:color="auto"/>
              <w:right w:val="nil"/>
            </w:tcBorders>
            <w:shd w:val="clear" w:color="auto" w:fill="auto"/>
            <w:vAlign w:val="center"/>
            <w:hideMark/>
          </w:tcPr>
          <w:p w14:paraId="095CA104"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7345B731" w14:textId="77777777" w:rsidTr="008819CF">
        <w:trPr>
          <w:trHeight w:val="780"/>
        </w:trPr>
        <w:tc>
          <w:tcPr>
            <w:tcW w:w="1524" w:type="dxa"/>
            <w:tcBorders>
              <w:top w:val="nil"/>
              <w:left w:val="nil"/>
              <w:bottom w:val="single" w:sz="4" w:space="0" w:color="auto"/>
              <w:right w:val="nil"/>
            </w:tcBorders>
            <w:shd w:val="clear" w:color="auto" w:fill="auto"/>
            <w:vAlign w:val="center"/>
            <w:hideMark/>
          </w:tcPr>
          <w:p w14:paraId="4540517C" w14:textId="3EB3B60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Kritchevsky</w:t>
            </w:r>
            <w:r>
              <w:rPr>
                <w:rFonts w:ascii="Arial Narrow" w:hAnsi="Arial Narrow"/>
                <w:sz w:val="18"/>
                <w:szCs w:val="18"/>
                <w:lang w:val="en-GB"/>
              </w:rPr>
              <w:t xml:space="preserve"> </w:t>
            </w:r>
            <w:r w:rsidRPr="003E6B1E">
              <w:rPr>
                <w:rFonts w:ascii="Arial Narrow" w:hAnsi="Arial Narrow"/>
                <w:sz w:val="18"/>
                <w:szCs w:val="18"/>
                <w:lang w:val="en-GB"/>
              </w:rPr>
              <w:t>2008</w:t>
            </w:r>
          </w:p>
        </w:tc>
        <w:tc>
          <w:tcPr>
            <w:tcW w:w="802" w:type="dxa"/>
            <w:tcBorders>
              <w:top w:val="nil"/>
              <w:left w:val="nil"/>
              <w:bottom w:val="single" w:sz="4" w:space="0" w:color="auto"/>
              <w:right w:val="nil"/>
            </w:tcBorders>
            <w:shd w:val="clear" w:color="auto" w:fill="auto"/>
            <w:vAlign w:val="center"/>
            <w:hideMark/>
          </w:tcPr>
          <w:p w14:paraId="4F82DB8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A2C05C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35E6B7A7" w14:textId="77777777"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Prescribe a</w:t>
            </w:r>
            <w:r w:rsidRPr="003E6B1E">
              <w:rPr>
                <w:rFonts w:ascii="Arial Narrow" w:hAnsi="Arial Narrow"/>
                <w:sz w:val="18"/>
                <w:szCs w:val="18"/>
                <w:lang w:val="en-GB"/>
              </w:rPr>
              <w:t>ppropriate pre-surgical antimicrobial prophylaxis</w:t>
            </w:r>
          </w:p>
        </w:tc>
        <w:tc>
          <w:tcPr>
            <w:tcW w:w="4364" w:type="dxa"/>
            <w:tcBorders>
              <w:top w:val="nil"/>
              <w:left w:val="nil"/>
              <w:bottom w:val="single" w:sz="4" w:space="0" w:color="auto"/>
              <w:right w:val="nil"/>
            </w:tcBorders>
            <w:shd w:val="clear" w:color="auto" w:fill="auto"/>
            <w:vAlign w:val="center"/>
            <w:hideMark/>
          </w:tcPr>
          <w:p w14:paraId="6F204E0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The change in the hospital’s proportion of patients receiving appropriately timed prophylaxis, defined as the proportion of patients who received at least 1 prophylaxis dose administered within 60 minutes before incision </w:t>
            </w:r>
          </w:p>
        </w:tc>
        <w:tc>
          <w:tcPr>
            <w:tcW w:w="3209" w:type="dxa"/>
            <w:tcBorders>
              <w:top w:val="nil"/>
              <w:left w:val="nil"/>
              <w:bottom w:val="single" w:sz="4" w:space="0" w:color="auto"/>
              <w:right w:val="nil"/>
            </w:tcBorders>
            <w:shd w:val="clear" w:color="auto" w:fill="auto"/>
            <w:vAlign w:val="center"/>
            <w:hideMark/>
          </w:tcPr>
          <w:p w14:paraId="455DF32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Surgeons</w:t>
            </w:r>
          </w:p>
        </w:tc>
        <w:tc>
          <w:tcPr>
            <w:tcW w:w="709" w:type="dxa"/>
            <w:tcBorders>
              <w:top w:val="nil"/>
              <w:left w:val="nil"/>
              <w:bottom w:val="single" w:sz="4" w:space="0" w:color="auto"/>
              <w:right w:val="nil"/>
            </w:tcBorders>
            <w:shd w:val="clear" w:color="auto" w:fill="auto"/>
            <w:vAlign w:val="center"/>
            <w:hideMark/>
          </w:tcPr>
          <w:p w14:paraId="7BCFF06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66D09002" w14:textId="77777777" w:rsidTr="008819CF">
        <w:trPr>
          <w:trHeight w:val="854"/>
        </w:trPr>
        <w:tc>
          <w:tcPr>
            <w:tcW w:w="1524" w:type="dxa"/>
            <w:tcBorders>
              <w:top w:val="nil"/>
              <w:left w:val="nil"/>
              <w:bottom w:val="single" w:sz="4" w:space="0" w:color="auto"/>
              <w:right w:val="nil"/>
            </w:tcBorders>
            <w:shd w:val="clear" w:color="auto" w:fill="auto"/>
            <w:vAlign w:val="center"/>
            <w:hideMark/>
          </w:tcPr>
          <w:p w14:paraId="758D0AD2" w14:textId="342C1B9D"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Kumana</w:t>
            </w:r>
            <w:proofErr w:type="spellEnd"/>
            <w:r w:rsidRPr="003E6B1E">
              <w:rPr>
                <w:rFonts w:ascii="Arial Narrow" w:hAnsi="Arial Narrow"/>
                <w:sz w:val="18"/>
                <w:szCs w:val="18"/>
                <w:lang w:val="en-GB"/>
              </w:rPr>
              <w:t xml:space="preserve"> 2001</w:t>
            </w:r>
          </w:p>
        </w:tc>
        <w:tc>
          <w:tcPr>
            <w:tcW w:w="802" w:type="dxa"/>
            <w:tcBorders>
              <w:top w:val="nil"/>
              <w:left w:val="nil"/>
              <w:bottom w:val="single" w:sz="4" w:space="0" w:color="auto"/>
              <w:right w:val="nil"/>
            </w:tcBorders>
            <w:shd w:val="clear" w:color="auto" w:fill="auto"/>
            <w:vAlign w:val="center"/>
            <w:hideMark/>
          </w:tcPr>
          <w:p w14:paraId="3EE5067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7336A7F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2D6EF0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unnecessary use of vancomycin and teicoplanin based on CDC Guidelines</w:t>
            </w:r>
          </w:p>
        </w:tc>
        <w:tc>
          <w:tcPr>
            <w:tcW w:w="4364" w:type="dxa"/>
            <w:tcBorders>
              <w:top w:val="nil"/>
              <w:left w:val="nil"/>
              <w:bottom w:val="single" w:sz="4" w:space="0" w:color="auto"/>
              <w:right w:val="nil"/>
            </w:tcBorders>
            <w:shd w:val="clear" w:color="auto" w:fill="auto"/>
            <w:vAlign w:val="center"/>
            <w:hideMark/>
          </w:tcPr>
          <w:p w14:paraId="5A9B8A1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Glycopeptides usage data for our hospital and others in Hong Kong were retrieved and analysed as well as samples of records of our inpatients with staphylococcal septicaemia (pre and during ICF).</w:t>
            </w:r>
          </w:p>
        </w:tc>
        <w:tc>
          <w:tcPr>
            <w:tcW w:w="3209" w:type="dxa"/>
            <w:tcBorders>
              <w:top w:val="nil"/>
              <w:left w:val="nil"/>
              <w:bottom w:val="single" w:sz="4" w:space="0" w:color="auto"/>
              <w:right w:val="nil"/>
            </w:tcBorders>
            <w:shd w:val="clear" w:color="auto" w:fill="auto"/>
            <w:vAlign w:val="center"/>
            <w:hideMark/>
          </w:tcPr>
          <w:p w14:paraId="1C0CC1C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 in hospital in Hong Kong</w:t>
            </w:r>
          </w:p>
        </w:tc>
        <w:tc>
          <w:tcPr>
            <w:tcW w:w="709" w:type="dxa"/>
            <w:tcBorders>
              <w:top w:val="nil"/>
              <w:left w:val="nil"/>
              <w:bottom w:val="single" w:sz="4" w:space="0" w:color="auto"/>
              <w:right w:val="nil"/>
            </w:tcBorders>
            <w:shd w:val="clear" w:color="auto" w:fill="auto"/>
            <w:vAlign w:val="center"/>
            <w:hideMark/>
          </w:tcPr>
          <w:p w14:paraId="492335B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01E7BEF1" w14:textId="77777777" w:rsidTr="008819CF">
        <w:trPr>
          <w:trHeight w:val="132"/>
        </w:trPr>
        <w:tc>
          <w:tcPr>
            <w:tcW w:w="1524" w:type="dxa"/>
            <w:tcBorders>
              <w:top w:val="nil"/>
              <w:left w:val="nil"/>
              <w:bottom w:val="single" w:sz="4" w:space="0" w:color="auto"/>
              <w:right w:val="nil"/>
            </w:tcBorders>
            <w:shd w:val="clear" w:color="auto" w:fill="auto"/>
            <w:vAlign w:val="center"/>
            <w:hideMark/>
          </w:tcPr>
          <w:p w14:paraId="6A319775" w14:textId="342E10F6"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Lafata 2007</w:t>
            </w:r>
          </w:p>
        </w:tc>
        <w:tc>
          <w:tcPr>
            <w:tcW w:w="802" w:type="dxa"/>
            <w:tcBorders>
              <w:top w:val="nil"/>
              <w:left w:val="nil"/>
              <w:bottom w:val="single" w:sz="4" w:space="0" w:color="auto"/>
              <w:right w:val="nil"/>
            </w:tcBorders>
            <w:shd w:val="clear" w:color="auto" w:fill="auto"/>
            <w:vAlign w:val="center"/>
            <w:hideMark/>
          </w:tcPr>
          <w:p w14:paraId="0B8C519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212247B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3B265D7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osteoporosis screening with BMD test</w:t>
            </w:r>
          </w:p>
        </w:tc>
        <w:tc>
          <w:tcPr>
            <w:tcW w:w="4364" w:type="dxa"/>
            <w:tcBorders>
              <w:top w:val="nil"/>
              <w:left w:val="nil"/>
              <w:bottom w:val="single" w:sz="4" w:space="0" w:color="auto"/>
              <w:right w:val="nil"/>
            </w:tcBorders>
            <w:shd w:val="clear" w:color="auto" w:fill="auto"/>
            <w:vAlign w:val="center"/>
            <w:hideMark/>
          </w:tcPr>
          <w:p w14:paraId="49DBC51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Screening rates</w:t>
            </w:r>
          </w:p>
        </w:tc>
        <w:tc>
          <w:tcPr>
            <w:tcW w:w="3209" w:type="dxa"/>
            <w:tcBorders>
              <w:top w:val="nil"/>
              <w:left w:val="nil"/>
              <w:bottom w:val="single" w:sz="4" w:space="0" w:color="auto"/>
              <w:right w:val="nil"/>
            </w:tcBorders>
            <w:shd w:val="clear" w:color="auto" w:fill="auto"/>
            <w:vAlign w:val="center"/>
            <w:hideMark/>
          </w:tcPr>
          <w:p w14:paraId="0F23F12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 in 15 clinics</w:t>
            </w:r>
          </w:p>
        </w:tc>
        <w:tc>
          <w:tcPr>
            <w:tcW w:w="709" w:type="dxa"/>
            <w:tcBorders>
              <w:top w:val="nil"/>
              <w:left w:val="nil"/>
              <w:bottom w:val="single" w:sz="4" w:space="0" w:color="auto"/>
              <w:right w:val="nil"/>
            </w:tcBorders>
            <w:shd w:val="clear" w:color="auto" w:fill="auto"/>
            <w:vAlign w:val="center"/>
            <w:hideMark/>
          </w:tcPr>
          <w:p w14:paraId="0CF72F8C"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091EA84F" w14:textId="77777777" w:rsidTr="008819CF">
        <w:trPr>
          <w:trHeight w:val="566"/>
        </w:trPr>
        <w:tc>
          <w:tcPr>
            <w:tcW w:w="1524" w:type="dxa"/>
            <w:tcBorders>
              <w:top w:val="nil"/>
              <w:left w:val="nil"/>
              <w:bottom w:val="single" w:sz="4" w:space="0" w:color="auto"/>
              <w:right w:val="nil"/>
            </w:tcBorders>
            <w:shd w:val="clear" w:color="auto" w:fill="auto"/>
            <w:vAlign w:val="center"/>
            <w:hideMark/>
          </w:tcPr>
          <w:p w14:paraId="3294D60E" w14:textId="372C088D"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Lakshminarayan 2010</w:t>
            </w:r>
          </w:p>
        </w:tc>
        <w:tc>
          <w:tcPr>
            <w:tcW w:w="802" w:type="dxa"/>
            <w:tcBorders>
              <w:top w:val="nil"/>
              <w:left w:val="nil"/>
              <w:bottom w:val="single" w:sz="4" w:space="0" w:color="auto"/>
              <w:right w:val="nil"/>
            </w:tcBorders>
            <w:shd w:val="clear" w:color="auto" w:fill="auto"/>
            <w:vAlign w:val="center"/>
            <w:hideMark/>
          </w:tcPr>
          <w:p w14:paraId="12E49AE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71742C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26A4C6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stroke care for 10 performance measures</w:t>
            </w:r>
          </w:p>
        </w:tc>
        <w:tc>
          <w:tcPr>
            <w:tcW w:w="4364" w:type="dxa"/>
            <w:tcBorders>
              <w:top w:val="nil"/>
              <w:left w:val="nil"/>
              <w:bottom w:val="single" w:sz="4" w:space="0" w:color="auto"/>
              <w:right w:val="nil"/>
            </w:tcBorders>
            <w:shd w:val="clear" w:color="auto" w:fill="auto"/>
            <w:vAlign w:val="center"/>
            <w:hideMark/>
          </w:tcPr>
          <w:p w14:paraId="4301B90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bCs/>
                <w:sz w:val="18"/>
                <w:szCs w:val="18"/>
                <w:lang w:val="en-GB"/>
              </w:rPr>
              <w:t>Acute care bundle (3 PERFORMANCE MEASURES)</w:t>
            </w:r>
            <w:r w:rsidRPr="003E6B1E">
              <w:rPr>
                <w:rFonts w:ascii="Arial Narrow" w:hAnsi="Arial Narrow"/>
                <w:sz w:val="18"/>
                <w:szCs w:val="18"/>
                <w:lang w:val="en-GB"/>
              </w:rPr>
              <w:t xml:space="preserve">; </w:t>
            </w:r>
            <w:r w:rsidRPr="003E6B1E">
              <w:rPr>
                <w:rFonts w:ascii="Arial Narrow" w:hAnsi="Arial Narrow"/>
                <w:bCs/>
                <w:sz w:val="18"/>
                <w:szCs w:val="18"/>
                <w:lang w:val="en-GB"/>
              </w:rPr>
              <w:t>Inpatient care bundle (4 PERFORMANCE MEASURES) Discharge care bundle (3 PERFORMANCE MEASURES)</w:t>
            </w:r>
            <w:r w:rsidRPr="003E6B1E">
              <w:rPr>
                <w:rFonts w:ascii="Arial Narrow" w:hAnsi="Arial Narrow"/>
                <w:sz w:val="18"/>
                <w:szCs w:val="18"/>
                <w:lang w:val="en-GB"/>
              </w:rPr>
              <w:t>;</w:t>
            </w:r>
          </w:p>
        </w:tc>
        <w:tc>
          <w:tcPr>
            <w:tcW w:w="3209" w:type="dxa"/>
            <w:tcBorders>
              <w:top w:val="nil"/>
              <w:left w:val="nil"/>
              <w:bottom w:val="single" w:sz="4" w:space="0" w:color="auto"/>
              <w:right w:val="nil"/>
            </w:tcBorders>
            <w:shd w:val="clear" w:color="auto" w:fill="auto"/>
            <w:vAlign w:val="center"/>
            <w:hideMark/>
          </w:tcPr>
          <w:p w14:paraId="3424F2F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 internists</w:t>
            </w:r>
          </w:p>
        </w:tc>
        <w:tc>
          <w:tcPr>
            <w:tcW w:w="709" w:type="dxa"/>
            <w:tcBorders>
              <w:top w:val="nil"/>
              <w:left w:val="nil"/>
              <w:bottom w:val="single" w:sz="4" w:space="0" w:color="auto"/>
              <w:right w:val="nil"/>
            </w:tcBorders>
            <w:shd w:val="clear" w:color="auto" w:fill="auto"/>
            <w:vAlign w:val="center"/>
            <w:hideMark/>
          </w:tcPr>
          <w:p w14:paraId="1749E68F"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F8C02C7" w14:textId="77777777" w:rsidTr="008819CF">
        <w:trPr>
          <w:trHeight w:val="362"/>
        </w:trPr>
        <w:tc>
          <w:tcPr>
            <w:tcW w:w="1524" w:type="dxa"/>
            <w:tcBorders>
              <w:top w:val="nil"/>
              <w:left w:val="nil"/>
              <w:bottom w:val="single" w:sz="4" w:space="0" w:color="auto"/>
              <w:right w:val="nil"/>
            </w:tcBorders>
            <w:shd w:val="clear" w:color="auto" w:fill="auto"/>
            <w:vAlign w:val="center"/>
            <w:hideMark/>
          </w:tcPr>
          <w:p w14:paraId="782BA68D" w14:textId="7C4AF940"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Landman 1999</w:t>
            </w:r>
          </w:p>
        </w:tc>
        <w:tc>
          <w:tcPr>
            <w:tcW w:w="802" w:type="dxa"/>
            <w:tcBorders>
              <w:top w:val="nil"/>
              <w:left w:val="nil"/>
              <w:bottom w:val="single" w:sz="4" w:space="0" w:color="auto"/>
              <w:right w:val="nil"/>
            </w:tcBorders>
            <w:shd w:val="clear" w:color="auto" w:fill="auto"/>
            <w:vAlign w:val="center"/>
            <w:hideMark/>
          </w:tcPr>
          <w:p w14:paraId="3DA176D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76590D9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16C355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Replace one antibiotic for another </w:t>
            </w:r>
          </w:p>
        </w:tc>
        <w:tc>
          <w:tcPr>
            <w:tcW w:w="4364" w:type="dxa"/>
            <w:tcBorders>
              <w:top w:val="nil"/>
              <w:left w:val="nil"/>
              <w:bottom w:val="single" w:sz="4" w:space="0" w:color="auto"/>
              <w:right w:val="nil"/>
            </w:tcBorders>
            <w:shd w:val="clear" w:color="auto" w:fill="auto"/>
            <w:vAlign w:val="center"/>
            <w:hideMark/>
          </w:tcPr>
          <w:p w14:paraId="3F4868B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Presence of </w:t>
            </w:r>
            <w:proofErr w:type="spellStart"/>
            <w:r w:rsidRPr="003E6B1E">
              <w:rPr>
                <w:rFonts w:ascii="Arial Narrow" w:hAnsi="Arial Narrow"/>
                <w:sz w:val="18"/>
                <w:szCs w:val="18"/>
                <w:lang w:val="en-GB"/>
              </w:rPr>
              <w:t>bacteria</w:t>
            </w:r>
            <w:proofErr w:type="spellEnd"/>
            <w:r w:rsidRPr="003E6B1E">
              <w:rPr>
                <w:rFonts w:ascii="Arial Narrow" w:hAnsi="Arial Narrow"/>
                <w:sz w:val="18"/>
                <w:szCs w:val="18"/>
                <w:lang w:val="en-GB"/>
              </w:rPr>
              <w:t xml:space="preserve"> infection</w:t>
            </w:r>
          </w:p>
        </w:tc>
        <w:tc>
          <w:tcPr>
            <w:tcW w:w="3209" w:type="dxa"/>
            <w:tcBorders>
              <w:top w:val="nil"/>
              <w:left w:val="nil"/>
              <w:bottom w:val="single" w:sz="4" w:space="0" w:color="auto"/>
              <w:right w:val="nil"/>
            </w:tcBorders>
            <w:shd w:val="clear" w:color="auto" w:fill="auto"/>
            <w:vAlign w:val="center"/>
            <w:hideMark/>
          </w:tcPr>
          <w:p w14:paraId="57E6CB5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Hospital Physicians</w:t>
            </w:r>
          </w:p>
        </w:tc>
        <w:tc>
          <w:tcPr>
            <w:tcW w:w="709" w:type="dxa"/>
            <w:tcBorders>
              <w:top w:val="nil"/>
              <w:left w:val="nil"/>
              <w:bottom w:val="single" w:sz="4" w:space="0" w:color="auto"/>
              <w:right w:val="nil"/>
            </w:tcBorders>
            <w:shd w:val="clear" w:color="auto" w:fill="auto"/>
            <w:vAlign w:val="center"/>
            <w:hideMark/>
          </w:tcPr>
          <w:p w14:paraId="4B2BEF6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70C640AE" w14:textId="77777777" w:rsidTr="008819CF">
        <w:trPr>
          <w:trHeight w:val="780"/>
        </w:trPr>
        <w:tc>
          <w:tcPr>
            <w:tcW w:w="1524" w:type="dxa"/>
            <w:tcBorders>
              <w:top w:val="nil"/>
              <w:left w:val="nil"/>
              <w:bottom w:val="single" w:sz="4" w:space="0" w:color="auto"/>
              <w:right w:val="nil"/>
            </w:tcBorders>
            <w:shd w:val="clear" w:color="auto" w:fill="auto"/>
            <w:vAlign w:val="center"/>
            <w:hideMark/>
          </w:tcPr>
          <w:p w14:paraId="69538D9E" w14:textId="5A2161B6"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Lautenbach 2003</w:t>
            </w:r>
          </w:p>
        </w:tc>
        <w:tc>
          <w:tcPr>
            <w:tcW w:w="802" w:type="dxa"/>
            <w:tcBorders>
              <w:top w:val="nil"/>
              <w:left w:val="nil"/>
              <w:bottom w:val="single" w:sz="4" w:space="0" w:color="auto"/>
              <w:right w:val="nil"/>
            </w:tcBorders>
            <w:shd w:val="clear" w:color="auto" w:fill="auto"/>
            <w:vAlign w:val="center"/>
            <w:hideMark/>
          </w:tcPr>
          <w:p w14:paraId="456CD40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7B0E93B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7944B8E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vancomycin, and third generation cephalosporins</w:t>
            </w:r>
          </w:p>
        </w:tc>
        <w:tc>
          <w:tcPr>
            <w:tcW w:w="4364" w:type="dxa"/>
            <w:tcBorders>
              <w:top w:val="nil"/>
              <w:left w:val="nil"/>
              <w:bottom w:val="single" w:sz="4" w:space="0" w:color="auto"/>
              <w:right w:val="nil"/>
            </w:tcBorders>
            <w:shd w:val="clear" w:color="auto" w:fill="auto"/>
            <w:vAlign w:val="center"/>
            <w:hideMark/>
          </w:tcPr>
          <w:p w14:paraId="5C765A6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of vancomycin</w:t>
            </w:r>
          </w:p>
        </w:tc>
        <w:tc>
          <w:tcPr>
            <w:tcW w:w="3209" w:type="dxa"/>
            <w:tcBorders>
              <w:top w:val="nil"/>
              <w:left w:val="nil"/>
              <w:bottom w:val="single" w:sz="4" w:space="0" w:color="auto"/>
              <w:right w:val="nil"/>
            </w:tcBorders>
            <w:shd w:val="clear" w:color="auto" w:fill="auto"/>
            <w:vAlign w:val="center"/>
            <w:hideMark/>
          </w:tcPr>
          <w:p w14:paraId="4376C4D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 at hospital in US hospital</w:t>
            </w:r>
          </w:p>
        </w:tc>
        <w:tc>
          <w:tcPr>
            <w:tcW w:w="709" w:type="dxa"/>
            <w:tcBorders>
              <w:top w:val="nil"/>
              <w:left w:val="nil"/>
              <w:bottom w:val="single" w:sz="4" w:space="0" w:color="auto"/>
              <w:right w:val="nil"/>
            </w:tcBorders>
            <w:shd w:val="clear" w:color="auto" w:fill="auto"/>
            <w:vAlign w:val="center"/>
            <w:hideMark/>
          </w:tcPr>
          <w:p w14:paraId="2A4D411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651460D3" w14:textId="77777777" w:rsidTr="008819CF">
        <w:trPr>
          <w:trHeight w:val="520"/>
        </w:trPr>
        <w:tc>
          <w:tcPr>
            <w:tcW w:w="1524" w:type="dxa"/>
            <w:tcBorders>
              <w:top w:val="nil"/>
              <w:left w:val="nil"/>
              <w:bottom w:val="single" w:sz="4" w:space="0" w:color="auto"/>
              <w:right w:val="nil"/>
            </w:tcBorders>
            <w:shd w:val="clear" w:color="auto" w:fill="auto"/>
            <w:vAlign w:val="center"/>
            <w:hideMark/>
          </w:tcPr>
          <w:p w14:paraId="00AC37B2" w14:textId="2BD3E3C1"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Lee 1995</w:t>
            </w:r>
          </w:p>
        </w:tc>
        <w:tc>
          <w:tcPr>
            <w:tcW w:w="802" w:type="dxa"/>
            <w:tcBorders>
              <w:top w:val="nil"/>
              <w:left w:val="nil"/>
              <w:bottom w:val="single" w:sz="4" w:space="0" w:color="auto"/>
              <w:right w:val="nil"/>
            </w:tcBorders>
            <w:shd w:val="clear" w:color="auto" w:fill="auto"/>
            <w:vAlign w:val="center"/>
            <w:hideMark/>
          </w:tcPr>
          <w:p w14:paraId="69E14B1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030B216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D0E370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Change from one antibiotic to another</w:t>
            </w:r>
          </w:p>
        </w:tc>
        <w:tc>
          <w:tcPr>
            <w:tcW w:w="4364" w:type="dxa"/>
            <w:tcBorders>
              <w:top w:val="nil"/>
              <w:left w:val="nil"/>
              <w:bottom w:val="single" w:sz="4" w:space="0" w:color="auto"/>
              <w:right w:val="nil"/>
            </w:tcBorders>
            <w:shd w:val="clear" w:color="auto" w:fill="auto"/>
            <w:vAlign w:val="center"/>
            <w:hideMark/>
          </w:tcPr>
          <w:p w14:paraId="0560E42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Antimicrobial cost savings (1993-1994) and number of recommendations made and accepted JAN-DEC 1994</w:t>
            </w:r>
          </w:p>
        </w:tc>
        <w:tc>
          <w:tcPr>
            <w:tcW w:w="3209" w:type="dxa"/>
            <w:tcBorders>
              <w:top w:val="nil"/>
              <w:left w:val="nil"/>
              <w:bottom w:val="single" w:sz="4" w:space="0" w:color="auto"/>
              <w:right w:val="nil"/>
            </w:tcBorders>
            <w:shd w:val="clear" w:color="auto" w:fill="auto"/>
            <w:vAlign w:val="center"/>
            <w:hideMark/>
          </w:tcPr>
          <w:p w14:paraId="711C8A6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hospital</w:t>
            </w:r>
          </w:p>
        </w:tc>
        <w:tc>
          <w:tcPr>
            <w:tcW w:w="709" w:type="dxa"/>
            <w:tcBorders>
              <w:top w:val="nil"/>
              <w:left w:val="nil"/>
              <w:bottom w:val="single" w:sz="4" w:space="0" w:color="auto"/>
              <w:right w:val="nil"/>
            </w:tcBorders>
            <w:shd w:val="clear" w:color="auto" w:fill="auto"/>
            <w:vAlign w:val="center"/>
            <w:hideMark/>
          </w:tcPr>
          <w:p w14:paraId="77CF419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62263B98" w14:textId="77777777" w:rsidTr="008819CF">
        <w:trPr>
          <w:trHeight w:val="315"/>
        </w:trPr>
        <w:tc>
          <w:tcPr>
            <w:tcW w:w="1524" w:type="dxa"/>
            <w:tcBorders>
              <w:top w:val="nil"/>
              <w:left w:val="nil"/>
              <w:bottom w:val="single" w:sz="4" w:space="0" w:color="auto"/>
              <w:right w:val="nil"/>
            </w:tcBorders>
            <w:shd w:val="clear" w:color="auto" w:fill="auto"/>
            <w:vAlign w:val="center"/>
            <w:hideMark/>
          </w:tcPr>
          <w:p w14:paraId="59D35B30" w14:textId="22D8A6F4"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Leverstein-van Hall 2001</w:t>
            </w:r>
          </w:p>
        </w:tc>
        <w:tc>
          <w:tcPr>
            <w:tcW w:w="802" w:type="dxa"/>
            <w:tcBorders>
              <w:top w:val="nil"/>
              <w:left w:val="nil"/>
              <w:bottom w:val="single" w:sz="4" w:space="0" w:color="auto"/>
              <w:right w:val="nil"/>
            </w:tcBorders>
            <w:shd w:val="clear" w:color="auto" w:fill="auto"/>
            <w:vAlign w:val="center"/>
            <w:hideMark/>
          </w:tcPr>
          <w:p w14:paraId="1C5E26C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6302F1D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305AD5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antibiotic prescribing for Gram negative infection</w:t>
            </w:r>
          </w:p>
        </w:tc>
        <w:tc>
          <w:tcPr>
            <w:tcW w:w="4364" w:type="dxa"/>
            <w:tcBorders>
              <w:top w:val="nil"/>
              <w:left w:val="nil"/>
              <w:bottom w:val="single" w:sz="4" w:space="0" w:color="auto"/>
              <w:right w:val="nil"/>
            </w:tcBorders>
            <w:shd w:val="clear" w:color="auto" w:fill="auto"/>
            <w:vAlign w:val="center"/>
            <w:hideMark/>
          </w:tcPr>
          <w:p w14:paraId="0BD888D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Prevalence of gentamicin resistant Enterobacteriaceae; use of antibiotics in DDD/100 bed </w:t>
            </w:r>
          </w:p>
        </w:tc>
        <w:tc>
          <w:tcPr>
            <w:tcW w:w="3209" w:type="dxa"/>
            <w:tcBorders>
              <w:top w:val="nil"/>
              <w:left w:val="nil"/>
              <w:bottom w:val="single" w:sz="4" w:space="0" w:color="auto"/>
              <w:right w:val="nil"/>
            </w:tcBorders>
            <w:shd w:val="clear" w:color="auto" w:fill="auto"/>
            <w:vAlign w:val="center"/>
            <w:hideMark/>
          </w:tcPr>
          <w:p w14:paraId="0D06D24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neurology and neurosurgery divisions</w:t>
            </w:r>
          </w:p>
        </w:tc>
        <w:tc>
          <w:tcPr>
            <w:tcW w:w="709" w:type="dxa"/>
            <w:tcBorders>
              <w:top w:val="nil"/>
              <w:left w:val="nil"/>
              <w:bottom w:val="single" w:sz="4" w:space="0" w:color="auto"/>
              <w:right w:val="nil"/>
            </w:tcBorders>
            <w:shd w:val="clear" w:color="auto" w:fill="auto"/>
            <w:vAlign w:val="center"/>
            <w:hideMark/>
          </w:tcPr>
          <w:p w14:paraId="6F3BBF4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6F23C2B9" w14:textId="77777777" w:rsidTr="008819CF">
        <w:trPr>
          <w:trHeight w:val="746"/>
        </w:trPr>
        <w:tc>
          <w:tcPr>
            <w:tcW w:w="1524" w:type="dxa"/>
            <w:tcBorders>
              <w:top w:val="nil"/>
              <w:left w:val="nil"/>
              <w:bottom w:val="single" w:sz="4" w:space="0" w:color="auto"/>
              <w:right w:val="nil"/>
            </w:tcBorders>
            <w:shd w:val="clear" w:color="auto" w:fill="auto"/>
            <w:vAlign w:val="center"/>
            <w:hideMark/>
          </w:tcPr>
          <w:p w14:paraId="6FC91B98" w14:textId="69D0CC43"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lastRenderedPageBreak/>
              <w:t>Lobach 1996</w:t>
            </w:r>
          </w:p>
        </w:tc>
        <w:tc>
          <w:tcPr>
            <w:tcW w:w="802" w:type="dxa"/>
            <w:tcBorders>
              <w:top w:val="nil"/>
              <w:left w:val="nil"/>
              <w:bottom w:val="single" w:sz="4" w:space="0" w:color="auto"/>
              <w:right w:val="nil"/>
            </w:tcBorders>
            <w:shd w:val="clear" w:color="auto" w:fill="auto"/>
            <w:vAlign w:val="center"/>
            <w:hideMark/>
          </w:tcPr>
          <w:p w14:paraId="11348D3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819EED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5EB831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Adhere to diabetes guidelines Measure of HBA1c, Flu vaccine, cholesterol</w:t>
            </w:r>
          </w:p>
        </w:tc>
        <w:tc>
          <w:tcPr>
            <w:tcW w:w="4364" w:type="dxa"/>
            <w:tcBorders>
              <w:top w:val="nil"/>
              <w:left w:val="nil"/>
              <w:bottom w:val="single" w:sz="4" w:space="0" w:color="auto"/>
              <w:right w:val="nil"/>
            </w:tcBorders>
            <w:shd w:val="clear" w:color="auto" w:fill="auto"/>
            <w:vAlign w:val="center"/>
            <w:hideMark/>
          </w:tcPr>
          <w:p w14:paraId="371202C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Hba1c or cholesterol influenza </w:t>
            </w:r>
          </w:p>
        </w:tc>
        <w:tc>
          <w:tcPr>
            <w:tcW w:w="3209" w:type="dxa"/>
            <w:tcBorders>
              <w:top w:val="nil"/>
              <w:left w:val="nil"/>
              <w:bottom w:val="single" w:sz="4" w:space="0" w:color="auto"/>
              <w:right w:val="nil"/>
            </w:tcBorders>
            <w:shd w:val="clear" w:color="auto" w:fill="auto"/>
            <w:vAlign w:val="center"/>
            <w:hideMark/>
          </w:tcPr>
          <w:p w14:paraId="4901167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275125CC"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75475AD2" w14:textId="77777777" w:rsidTr="008819CF">
        <w:trPr>
          <w:trHeight w:val="474"/>
        </w:trPr>
        <w:tc>
          <w:tcPr>
            <w:tcW w:w="1524" w:type="dxa"/>
            <w:tcBorders>
              <w:top w:val="nil"/>
              <w:left w:val="nil"/>
              <w:bottom w:val="single" w:sz="4" w:space="0" w:color="auto"/>
              <w:right w:val="nil"/>
            </w:tcBorders>
            <w:shd w:val="clear" w:color="auto" w:fill="auto"/>
            <w:vAlign w:val="center"/>
            <w:hideMark/>
          </w:tcPr>
          <w:p w14:paraId="49F21537" w14:textId="69A63226"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Lomas 1991</w:t>
            </w:r>
          </w:p>
        </w:tc>
        <w:tc>
          <w:tcPr>
            <w:tcW w:w="802" w:type="dxa"/>
            <w:tcBorders>
              <w:top w:val="nil"/>
              <w:left w:val="nil"/>
              <w:bottom w:val="single" w:sz="4" w:space="0" w:color="auto"/>
              <w:right w:val="nil"/>
            </w:tcBorders>
            <w:shd w:val="clear" w:color="auto" w:fill="auto"/>
            <w:vAlign w:val="center"/>
            <w:hideMark/>
          </w:tcPr>
          <w:p w14:paraId="6724A8E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471BD6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A7B02F0" w14:textId="1EF6B85B"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management of woman with previous caesarean</w:t>
            </w:r>
          </w:p>
        </w:tc>
        <w:tc>
          <w:tcPr>
            <w:tcW w:w="4364" w:type="dxa"/>
            <w:tcBorders>
              <w:top w:val="nil"/>
              <w:left w:val="nil"/>
              <w:bottom w:val="single" w:sz="4" w:space="0" w:color="auto"/>
              <w:right w:val="nil"/>
            </w:tcBorders>
            <w:shd w:val="clear" w:color="auto" w:fill="auto"/>
            <w:vAlign w:val="center"/>
            <w:hideMark/>
          </w:tcPr>
          <w:p w14:paraId="7C2C7CB6" w14:textId="2520577D"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trial of labour and vaginal birth rates decrease caesarean</w:t>
            </w:r>
          </w:p>
        </w:tc>
        <w:tc>
          <w:tcPr>
            <w:tcW w:w="3209" w:type="dxa"/>
            <w:tcBorders>
              <w:top w:val="nil"/>
              <w:left w:val="nil"/>
              <w:bottom w:val="single" w:sz="4" w:space="0" w:color="auto"/>
              <w:right w:val="nil"/>
            </w:tcBorders>
            <w:shd w:val="clear" w:color="auto" w:fill="auto"/>
            <w:vAlign w:val="center"/>
            <w:hideMark/>
          </w:tcPr>
          <w:p w14:paraId="51B955E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Obstetricians</w:t>
            </w:r>
          </w:p>
        </w:tc>
        <w:tc>
          <w:tcPr>
            <w:tcW w:w="709" w:type="dxa"/>
            <w:tcBorders>
              <w:top w:val="nil"/>
              <w:left w:val="nil"/>
              <w:bottom w:val="single" w:sz="4" w:space="0" w:color="auto"/>
              <w:right w:val="nil"/>
            </w:tcBorders>
            <w:shd w:val="clear" w:color="auto" w:fill="auto"/>
            <w:vAlign w:val="center"/>
            <w:hideMark/>
          </w:tcPr>
          <w:p w14:paraId="048173E2"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476F104" w14:textId="77777777" w:rsidTr="008819CF">
        <w:trPr>
          <w:trHeight w:val="554"/>
        </w:trPr>
        <w:tc>
          <w:tcPr>
            <w:tcW w:w="1524" w:type="dxa"/>
            <w:tcBorders>
              <w:top w:val="nil"/>
              <w:left w:val="nil"/>
              <w:bottom w:val="single" w:sz="4" w:space="0" w:color="auto"/>
              <w:right w:val="nil"/>
            </w:tcBorders>
            <w:shd w:val="clear" w:color="auto" w:fill="auto"/>
            <w:vAlign w:val="center"/>
            <w:hideMark/>
          </w:tcPr>
          <w:p w14:paraId="4D74338F" w14:textId="7AC5AE43"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Madaras-Kelly 2006</w:t>
            </w:r>
          </w:p>
        </w:tc>
        <w:tc>
          <w:tcPr>
            <w:tcW w:w="802" w:type="dxa"/>
            <w:tcBorders>
              <w:top w:val="nil"/>
              <w:left w:val="nil"/>
              <w:bottom w:val="single" w:sz="4" w:space="0" w:color="auto"/>
              <w:right w:val="nil"/>
            </w:tcBorders>
            <w:shd w:val="clear" w:color="auto" w:fill="auto"/>
            <w:vAlign w:val="center"/>
            <w:hideMark/>
          </w:tcPr>
          <w:p w14:paraId="7DEAC5C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32B2FC9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79068C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the use of fluoroquinolone antibiotics</w:t>
            </w:r>
          </w:p>
        </w:tc>
        <w:tc>
          <w:tcPr>
            <w:tcW w:w="4364" w:type="dxa"/>
            <w:tcBorders>
              <w:top w:val="nil"/>
              <w:left w:val="nil"/>
              <w:bottom w:val="single" w:sz="4" w:space="0" w:color="auto"/>
              <w:right w:val="nil"/>
            </w:tcBorders>
            <w:shd w:val="clear" w:color="auto" w:fill="auto"/>
            <w:vAlign w:val="center"/>
            <w:hideMark/>
          </w:tcPr>
          <w:p w14:paraId="1A0F3CF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in infection (secondary fluoroquinolone usage)</w:t>
            </w:r>
          </w:p>
        </w:tc>
        <w:tc>
          <w:tcPr>
            <w:tcW w:w="3209" w:type="dxa"/>
            <w:tcBorders>
              <w:top w:val="nil"/>
              <w:left w:val="nil"/>
              <w:bottom w:val="single" w:sz="4" w:space="0" w:color="auto"/>
              <w:right w:val="nil"/>
            </w:tcBorders>
            <w:shd w:val="clear" w:color="auto" w:fill="auto"/>
            <w:vAlign w:val="center"/>
            <w:hideMark/>
          </w:tcPr>
          <w:p w14:paraId="55A2471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 in a Veterans Affairs (USA) hospital with an extended care facility</w:t>
            </w:r>
          </w:p>
        </w:tc>
        <w:tc>
          <w:tcPr>
            <w:tcW w:w="709" w:type="dxa"/>
            <w:tcBorders>
              <w:top w:val="nil"/>
              <w:left w:val="nil"/>
              <w:bottom w:val="single" w:sz="4" w:space="0" w:color="auto"/>
              <w:right w:val="nil"/>
            </w:tcBorders>
            <w:shd w:val="clear" w:color="auto" w:fill="auto"/>
            <w:vAlign w:val="center"/>
            <w:hideMark/>
          </w:tcPr>
          <w:p w14:paraId="023EF62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00050C73" w14:textId="77777777" w:rsidTr="008819CF">
        <w:trPr>
          <w:trHeight w:val="209"/>
        </w:trPr>
        <w:tc>
          <w:tcPr>
            <w:tcW w:w="1524" w:type="dxa"/>
            <w:tcBorders>
              <w:top w:val="nil"/>
              <w:left w:val="nil"/>
              <w:bottom w:val="single" w:sz="4" w:space="0" w:color="auto"/>
              <w:right w:val="nil"/>
            </w:tcBorders>
            <w:shd w:val="clear" w:color="auto" w:fill="auto"/>
            <w:vAlign w:val="center"/>
            <w:hideMark/>
          </w:tcPr>
          <w:p w14:paraId="22090A0A" w14:textId="4A38A135"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Mainous 2000</w:t>
            </w:r>
          </w:p>
        </w:tc>
        <w:tc>
          <w:tcPr>
            <w:tcW w:w="802" w:type="dxa"/>
            <w:tcBorders>
              <w:top w:val="nil"/>
              <w:left w:val="nil"/>
              <w:bottom w:val="single" w:sz="4" w:space="0" w:color="auto"/>
              <w:right w:val="nil"/>
            </w:tcBorders>
            <w:shd w:val="clear" w:color="auto" w:fill="auto"/>
            <w:vAlign w:val="center"/>
            <w:hideMark/>
          </w:tcPr>
          <w:p w14:paraId="4FD2D51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64664D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5978BD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antibiotic prescription</w:t>
            </w:r>
          </w:p>
        </w:tc>
        <w:tc>
          <w:tcPr>
            <w:tcW w:w="4364" w:type="dxa"/>
            <w:tcBorders>
              <w:top w:val="nil"/>
              <w:left w:val="nil"/>
              <w:bottom w:val="single" w:sz="4" w:space="0" w:color="auto"/>
              <w:right w:val="nil"/>
            </w:tcBorders>
            <w:shd w:val="clear" w:color="auto" w:fill="auto"/>
            <w:vAlign w:val="center"/>
            <w:hideMark/>
          </w:tcPr>
          <w:p w14:paraId="11DD452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antibiotic overuse</w:t>
            </w:r>
          </w:p>
        </w:tc>
        <w:tc>
          <w:tcPr>
            <w:tcW w:w="3209" w:type="dxa"/>
            <w:tcBorders>
              <w:top w:val="nil"/>
              <w:left w:val="nil"/>
              <w:bottom w:val="single" w:sz="4" w:space="0" w:color="auto"/>
              <w:right w:val="nil"/>
            </w:tcBorders>
            <w:shd w:val="clear" w:color="auto" w:fill="auto"/>
            <w:vAlign w:val="center"/>
            <w:hideMark/>
          </w:tcPr>
          <w:p w14:paraId="70B28E8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4C1C9821"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75AECA6F" w14:textId="77777777" w:rsidTr="008819CF">
        <w:trPr>
          <w:trHeight w:val="411"/>
        </w:trPr>
        <w:tc>
          <w:tcPr>
            <w:tcW w:w="1524" w:type="dxa"/>
            <w:tcBorders>
              <w:top w:val="nil"/>
              <w:left w:val="nil"/>
              <w:bottom w:val="single" w:sz="4" w:space="0" w:color="auto"/>
              <w:right w:val="nil"/>
            </w:tcBorders>
            <w:shd w:val="clear" w:color="auto" w:fill="auto"/>
            <w:vAlign w:val="center"/>
            <w:hideMark/>
          </w:tcPr>
          <w:p w14:paraId="5CBB3ED0" w14:textId="7C465582"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Majumdar 2004</w:t>
            </w:r>
          </w:p>
        </w:tc>
        <w:tc>
          <w:tcPr>
            <w:tcW w:w="802" w:type="dxa"/>
            <w:tcBorders>
              <w:top w:val="nil"/>
              <w:left w:val="nil"/>
              <w:bottom w:val="single" w:sz="4" w:space="0" w:color="auto"/>
              <w:right w:val="nil"/>
            </w:tcBorders>
            <w:shd w:val="clear" w:color="auto" w:fill="auto"/>
            <w:vAlign w:val="center"/>
            <w:hideMark/>
          </w:tcPr>
          <w:p w14:paraId="1665A3C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544803E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69CB424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detection / improve rates of BMD testing</w:t>
            </w:r>
          </w:p>
        </w:tc>
        <w:tc>
          <w:tcPr>
            <w:tcW w:w="4364" w:type="dxa"/>
            <w:tcBorders>
              <w:top w:val="nil"/>
              <w:left w:val="nil"/>
              <w:bottom w:val="single" w:sz="4" w:space="0" w:color="auto"/>
              <w:right w:val="nil"/>
            </w:tcBorders>
            <w:shd w:val="clear" w:color="auto" w:fill="auto"/>
            <w:vAlign w:val="center"/>
            <w:hideMark/>
          </w:tcPr>
          <w:p w14:paraId="35BAC44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The primary end point was the prescription of osteoporosis treatment 6 months after fracture. Secondary end points included rates of testing for bone mineral density</w:t>
            </w:r>
          </w:p>
        </w:tc>
        <w:tc>
          <w:tcPr>
            <w:tcW w:w="3209" w:type="dxa"/>
            <w:tcBorders>
              <w:top w:val="nil"/>
              <w:left w:val="nil"/>
              <w:bottom w:val="single" w:sz="4" w:space="0" w:color="auto"/>
              <w:right w:val="nil"/>
            </w:tcBorders>
            <w:shd w:val="clear" w:color="auto" w:fill="auto"/>
            <w:vAlign w:val="center"/>
            <w:hideMark/>
          </w:tcPr>
          <w:p w14:paraId="5908EF3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Emergency department physicians in two hospitals in Canada</w:t>
            </w:r>
          </w:p>
        </w:tc>
        <w:tc>
          <w:tcPr>
            <w:tcW w:w="709" w:type="dxa"/>
            <w:tcBorders>
              <w:top w:val="nil"/>
              <w:left w:val="nil"/>
              <w:bottom w:val="single" w:sz="4" w:space="0" w:color="auto"/>
              <w:right w:val="nil"/>
            </w:tcBorders>
            <w:shd w:val="clear" w:color="auto" w:fill="auto"/>
            <w:vAlign w:val="center"/>
            <w:hideMark/>
          </w:tcPr>
          <w:p w14:paraId="70C2A13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CCT</w:t>
            </w:r>
          </w:p>
        </w:tc>
      </w:tr>
      <w:tr w:rsidR="0098086A" w:rsidRPr="003E6B1E" w14:paraId="3DC31169" w14:textId="77777777" w:rsidTr="008819CF">
        <w:trPr>
          <w:trHeight w:val="349"/>
        </w:trPr>
        <w:tc>
          <w:tcPr>
            <w:tcW w:w="1524" w:type="dxa"/>
            <w:tcBorders>
              <w:top w:val="nil"/>
              <w:left w:val="nil"/>
              <w:bottom w:val="single" w:sz="4" w:space="0" w:color="auto"/>
              <w:right w:val="nil"/>
            </w:tcBorders>
            <w:shd w:val="clear" w:color="auto" w:fill="auto"/>
            <w:vAlign w:val="center"/>
            <w:hideMark/>
          </w:tcPr>
          <w:p w14:paraId="4D990B6B" w14:textId="4C5F2F49"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Majumdar 2007</w:t>
            </w:r>
          </w:p>
        </w:tc>
        <w:tc>
          <w:tcPr>
            <w:tcW w:w="802" w:type="dxa"/>
            <w:tcBorders>
              <w:top w:val="nil"/>
              <w:left w:val="nil"/>
              <w:bottom w:val="single" w:sz="4" w:space="0" w:color="auto"/>
              <w:right w:val="nil"/>
            </w:tcBorders>
            <w:shd w:val="clear" w:color="auto" w:fill="auto"/>
            <w:vAlign w:val="center"/>
            <w:hideMark/>
          </w:tcPr>
          <w:p w14:paraId="0357F4E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605AB3A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2AC06C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Osteoporosis Treatment After Hip Fracture</w:t>
            </w:r>
          </w:p>
        </w:tc>
        <w:tc>
          <w:tcPr>
            <w:tcW w:w="4364" w:type="dxa"/>
            <w:tcBorders>
              <w:top w:val="nil"/>
              <w:left w:val="nil"/>
              <w:bottom w:val="single" w:sz="4" w:space="0" w:color="auto"/>
              <w:right w:val="nil"/>
            </w:tcBorders>
            <w:shd w:val="clear" w:color="auto" w:fill="auto"/>
            <w:vAlign w:val="center"/>
            <w:hideMark/>
          </w:tcPr>
          <w:p w14:paraId="6C8D081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Proportion of patients who had BMD testing within 6 mos.; bisphosphonate therapy.</w:t>
            </w:r>
          </w:p>
        </w:tc>
        <w:tc>
          <w:tcPr>
            <w:tcW w:w="3209" w:type="dxa"/>
            <w:tcBorders>
              <w:top w:val="nil"/>
              <w:left w:val="nil"/>
              <w:bottom w:val="single" w:sz="4" w:space="0" w:color="auto"/>
              <w:right w:val="nil"/>
            </w:tcBorders>
            <w:shd w:val="clear" w:color="auto" w:fill="auto"/>
            <w:vAlign w:val="center"/>
            <w:hideMark/>
          </w:tcPr>
          <w:p w14:paraId="797B2CBE" w14:textId="52D72910" w:rsidR="0098086A" w:rsidRPr="003E6B1E" w:rsidRDefault="00ED614F" w:rsidP="00EF107A">
            <w:pPr>
              <w:spacing w:line="240" w:lineRule="auto"/>
              <w:rPr>
                <w:rFonts w:ascii="Arial Narrow" w:hAnsi="Arial Narrow"/>
                <w:sz w:val="18"/>
                <w:szCs w:val="18"/>
                <w:lang w:val="en-GB"/>
              </w:rPr>
            </w:pPr>
            <w:r>
              <w:rPr>
                <w:rFonts w:ascii="Arial Narrow" w:hAnsi="Arial Narrow"/>
                <w:sz w:val="18"/>
                <w:szCs w:val="18"/>
                <w:lang w:val="en-GB"/>
              </w:rPr>
              <w:t>H</w:t>
            </w:r>
            <w:r w:rsidR="0098086A" w:rsidRPr="003E6B1E">
              <w:rPr>
                <w:rFonts w:ascii="Arial Narrow" w:hAnsi="Arial Narrow"/>
                <w:sz w:val="18"/>
                <w:szCs w:val="18"/>
                <w:lang w:val="en-GB"/>
              </w:rPr>
              <w:t>ealth professional in a hospital</w:t>
            </w:r>
          </w:p>
        </w:tc>
        <w:tc>
          <w:tcPr>
            <w:tcW w:w="709" w:type="dxa"/>
            <w:tcBorders>
              <w:top w:val="nil"/>
              <w:left w:val="nil"/>
              <w:bottom w:val="single" w:sz="4" w:space="0" w:color="auto"/>
              <w:right w:val="nil"/>
            </w:tcBorders>
            <w:shd w:val="clear" w:color="auto" w:fill="auto"/>
            <w:vAlign w:val="center"/>
            <w:hideMark/>
          </w:tcPr>
          <w:p w14:paraId="471CFA8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7DF3AA94" w14:textId="77777777" w:rsidTr="008819CF">
        <w:trPr>
          <w:trHeight w:val="213"/>
        </w:trPr>
        <w:tc>
          <w:tcPr>
            <w:tcW w:w="1524" w:type="dxa"/>
            <w:tcBorders>
              <w:top w:val="nil"/>
              <w:left w:val="nil"/>
              <w:bottom w:val="single" w:sz="4" w:space="0" w:color="auto"/>
              <w:right w:val="nil"/>
            </w:tcBorders>
            <w:shd w:val="clear" w:color="auto" w:fill="auto"/>
            <w:vAlign w:val="center"/>
            <w:hideMark/>
          </w:tcPr>
          <w:p w14:paraId="7F7FCE38" w14:textId="5E587586"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Majumdar 2008</w:t>
            </w:r>
          </w:p>
        </w:tc>
        <w:tc>
          <w:tcPr>
            <w:tcW w:w="802" w:type="dxa"/>
            <w:tcBorders>
              <w:top w:val="nil"/>
              <w:left w:val="nil"/>
              <w:bottom w:val="single" w:sz="4" w:space="0" w:color="auto"/>
              <w:right w:val="nil"/>
            </w:tcBorders>
            <w:shd w:val="clear" w:color="auto" w:fill="auto"/>
            <w:vAlign w:val="center"/>
            <w:hideMark/>
          </w:tcPr>
          <w:p w14:paraId="65173BD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475EBC5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86BE8F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Improve the quality of osteoporosis care. </w:t>
            </w:r>
          </w:p>
        </w:tc>
        <w:tc>
          <w:tcPr>
            <w:tcW w:w="4364" w:type="dxa"/>
            <w:tcBorders>
              <w:top w:val="nil"/>
              <w:left w:val="nil"/>
              <w:bottom w:val="single" w:sz="4" w:space="0" w:color="auto"/>
              <w:right w:val="nil"/>
            </w:tcBorders>
            <w:shd w:val="clear" w:color="auto" w:fill="auto"/>
            <w:vAlign w:val="center"/>
            <w:hideMark/>
          </w:tcPr>
          <w:p w14:paraId="7ED413C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Occurrence of a bone mineral density test; (secondary measure increase BMD testing)</w:t>
            </w:r>
          </w:p>
        </w:tc>
        <w:tc>
          <w:tcPr>
            <w:tcW w:w="3209" w:type="dxa"/>
            <w:tcBorders>
              <w:top w:val="nil"/>
              <w:left w:val="nil"/>
              <w:bottom w:val="single" w:sz="4" w:space="0" w:color="auto"/>
              <w:right w:val="nil"/>
            </w:tcBorders>
            <w:shd w:val="clear" w:color="auto" w:fill="auto"/>
            <w:vAlign w:val="center"/>
            <w:hideMark/>
          </w:tcPr>
          <w:p w14:paraId="2907BC4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11C6428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2FFE8CEE" w14:textId="77777777" w:rsidTr="008819CF">
        <w:trPr>
          <w:trHeight w:val="64"/>
        </w:trPr>
        <w:tc>
          <w:tcPr>
            <w:tcW w:w="1524" w:type="dxa"/>
            <w:tcBorders>
              <w:top w:val="nil"/>
              <w:left w:val="nil"/>
              <w:bottom w:val="single" w:sz="4" w:space="0" w:color="auto"/>
              <w:right w:val="nil"/>
            </w:tcBorders>
            <w:shd w:val="clear" w:color="auto" w:fill="auto"/>
            <w:vAlign w:val="center"/>
            <w:hideMark/>
          </w:tcPr>
          <w:p w14:paraId="07E3F90A" w14:textId="4D572D1E"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Martin 1980</w:t>
            </w:r>
          </w:p>
        </w:tc>
        <w:tc>
          <w:tcPr>
            <w:tcW w:w="802" w:type="dxa"/>
            <w:tcBorders>
              <w:top w:val="nil"/>
              <w:left w:val="nil"/>
              <w:bottom w:val="single" w:sz="4" w:space="0" w:color="auto"/>
              <w:right w:val="nil"/>
            </w:tcBorders>
            <w:shd w:val="clear" w:color="auto" w:fill="auto"/>
            <w:vAlign w:val="center"/>
            <w:hideMark/>
          </w:tcPr>
          <w:p w14:paraId="4FD59F1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51461B5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99493F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ordering of lab and radiology tests</w:t>
            </w:r>
          </w:p>
        </w:tc>
        <w:tc>
          <w:tcPr>
            <w:tcW w:w="4364" w:type="dxa"/>
            <w:tcBorders>
              <w:top w:val="nil"/>
              <w:left w:val="nil"/>
              <w:bottom w:val="single" w:sz="4" w:space="0" w:color="auto"/>
              <w:right w:val="nil"/>
            </w:tcBorders>
            <w:shd w:val="clear" w:color="auto" w:fill="auto"/>
            <w:vAlign w:val="center"/>
            <w:hideMark/>
          </w:tcPr>
          <w:p w14:paraId="23FDCBD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Number of laboratory and radiology tests</w:t>
            </w:r>
          </w:p>
        </w:tc>
        <w:tc>
          <w:tcPr>
            <w:tcW w:w="3209" w:type="dxa"/>
            <w:tcBorders>
              <w:top w:val="nil"/>
              <w:left w:val="nil"/>
              <w:bottom w:val="single" w:sz="4" w:space="0" w:color="auto"/>
              <w:right w:val="nil"/>
            </w:tcBorders>
            <w:shd w:val="clear" w:color="auto" w:fill="auto"/>
            <w:vAlign w:val="center"/>
            <w:hideMark/>
          </w:tcPr>
          <w:p w14:paraId="5A80DD47" w14:textId="6F421169"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Medical residence in first year post</w:t>
            </w:r>
            <w:r>
              <w:rPr>
                <w:rFonts w:ascii="Arial Narrow" w:hAnsi="Arial Narrow"/>
                <w:sz w:val="18"/>
                <w:szCs w:val="18"/>
                <w:lang w:val="en-GB"/>
              </w:rPr>
              <w:t>-gra</w:t>
            </w:r>
            <w:r w:rsidRPr="003E6B1E">
              <w:rPr>
                <w:rFonts w:ascii="Arial Narrow" w:hAnsi="Arial Narrow"/>
                <w:sz w:val="18"/>
                <w:szCs w:val="18"/>
                <w:lang w:val="en-GB"/>
              </w:rPr>
              <w:t>duate</w:t>
            </w:r>
          </w:p>
        </w:tc>
        <w:tc>
          <w:tcPr>
            <w:tcW w:w="709" w:type="dxa"/>
            <w:tcBorders>
              <w:top w:val="nil"/>
              <w:left w:val="nil"/>
              <w:bottom w:val="single" w:sz="4" w:space="0" w:color="auto"/>
              <w:right w:val="nil"/>
            </w:tcBorders>
            <w:shd w:val="clear" w:color="auto" w:fill="auto"/>
            <w:vAlign w:val="center"/>
            <w:hideMark/>
          </w:tcPr>
          <w:p w14:paraId="05192073"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7C662823" w14:textId="77777777" w:rsidTr="008819CF">
        <w:trPr>
          <w:trHeight w:val="225"/>
        </w:trPr>
        <w:tc>
          <w:tcPr>
            <w:tcW w:w="1524" w:type="dxa"/>
            <w:tcBorders>
              <w:top w:val="nil"/>
              <w:left w:val="nil"/>
              <w:bottom w:val="single" w:sz="4" w:space="0" w:color="auto"/>
              <w:right w:val="nil"/>
            </w:tcBorders>
            <w:shd w:val="clear" w:color="auto" w:fill="auto"/>
            <w:vAlign w:val="center"/>
            <w:hideMark/>
          </w:tcPr>
          <w:p w14:paraId="5371664B" w14:textId="7063B7AC"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Matow</w:t>
            </w:r>
            <w:r>
              <w:rPr>
                <w:rFonts w:ascii="Arial Narrow" w:hAnsi="Arial Narrow"/>
                <w:sz w:val="18"/>
                <w:szCs w:val="18"/>
                <w:lang w:val="en-GB"/>
              </w:rPr>
              <w:t xml:space="preserve">e </w:t>
            </w:r>
            <w:r w:rsidRPr="003E6B1E">
              <w:rPr>
                <w:rFonts w:ascii="Arial Narrow" w:hAnsi="Arial Narrow"/>
                <w:sz w:val="18"/>
                <w:szCs w:val="18"/>
                <w:lang w:val="en-GB"/>
              </w:rPr>
              <w:t>2002</w:t>
            </w:r>
          </w:p>
        </w:tc>
        <w:tc>
          <w:tcPr>
            <w:tcW w:w="802" w:type="dxa"/>
            <w:tcBorders>
              <w:top w:val="nil"/>
              <w:left w:val="nil"/>
              <w:bottom w:val="single" w:sz="4" w:space="0" w:color="auto"/>
              <w:right w:val="nil"/>
            </w:tcBorders>
            <w:shd w:val="clear" w:color="auto" w:fill="auto"/>
            <w:vAlign w:val="center"/>
            <w:hideMark/>
          </w:tcPr>
          <w:p w14:paraId="406E314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5E66199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 xml:space="preserve">Decrease </w:t>
            </w:r>
          </w:p>
        </w:tc>
        <w:tc>
          <w:tcPr>
            <w:tcW w:w="2524" w:type="dxa"/>
            <w:tcBorders>
              <w:top w:val="nil"/>
              <w:left w:val="nil"/>
              <w:bottom w:val="single" w:sz="4" w:space="0" w:color="auto"/>
              <w:right w:val="nil"/>
            </w:tcBorders>
            <w:shd w:val="clear" w:color="auto" w:fill="auto"/>
            <w:vAlign w:val="center"/>
            <w:hideMark/>
          </w:tcPr>
          <w:p w14:paraId="0DF0555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referral for radiography</w:t>
            </w:r>
          </w:p>
        </w:tc>
        <w:tc>
          <w:tcPr>
            <w:tcW w:w="4364" w:type="dxa"/>
            <w:tcBorders>
              <w:top w:val="nil"/>
              <w:left w:val="nil"/>
              <w:bottom w:val="single" w:sz="4" w:space="0" w:color="auto"/>
              <w:right w:val="nil"/>
            </w:tcBorders>
            <w:shd w:val="clear" w:color="auto" w:fill="auto"/>
            <w:vAlign w:val="center"/>
            <w:hideMark/>
          </w:tcPr>
          <w:p w14:paraId="5806361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Number of </w:t>
            </w:r>
            <w:r>
              <w:rPr>
                <w:rFonts w:ascii="Arial Narrow" w:hAnsi="Arial Narrow"/>
                <w:sz w:val="18"/>
                <w:szCs w:val="18"/>
                <w:lang w:val="en-GB"/>
              </w:rPr>
              <w:t>X-ray</w:t>
            </w:r>
            <w:r w:rsidRPr="003E6B1E">
              <w:rPr>
                <w:rFonts w:ascii="Arial Narrow" w:hAnsi="Arial Narrow"/>
                <w:sz w:val="18"/>
                <w:szCs w:val="18"/>
                <w:lang w:val="en-GB"/>
              </w:rPr>
              <w:t xml:space="preserve"> referrals</w:t>
            </w:r>
          </w:p>
        </w:tc>
        <w:tc>
          <w:tcPr>
            <w:tcW w:w="3209" w:type="dxa"/>
            <w:tcBorders>
              <w:top w:val="nil"/>
              <w:left w:val="nil"/>
              <w:bottom w:val="single" w:sz="4" w:space="0" w:color="auto"/>
              <w:right w:val="nil"/>
            </w:tcBorders>
            <w:shd w:val="clear" w:color="auto" w:fill="auto"/>
            <w:vAlign w:val="center"/>
            <w:hideMark/>
          </w:tcPr>
          <w:p w14:paraId="015590C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1F5AE09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0676D9C5" w14:textId="77777777" w:rsidTr="008819CF">
        <w:trPr>
          <w:trHeight w:val="416"/>
        </w:trPr>
        <w:tc>
          <w:tcPr>
            <w:tcW w:w="1524" w:type="dxa"/>
            <w:tcBorders>
              <w:top w:val="nil"/>
              <w:left w:val="nil"/>
              <w:bottom w:val="single" w:sz="4" w:space="0" w:color="auto"/>
              <w:right w:val="nil"/>
            </w:tcBorders>
            <w:shd w:val="clear" w:color="auto" w:fill="auto"/>
            <w:vAlign w:val="center"/>
            <w:hideMark/>
          </w:tcPr>
          <w:p w14:paraId="761EC484" w14:textId="666FA289"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May 2000</w:t>
            </w:r>
          </w:p>
        </w:tc>
        <w:tc>
          <w:tcPr>
            <w:tcW w:w="802" w:type="dxa"/>
            <w:tcBorders>
              <w:top w:val="nil"/>
              <w:left w:val="nil"/>
              <w:bottom w:val="single" w:sz="4" w:space="0" w:color="auto"/>
              <w:right w:val="nil"/>
            </w:tcBorders>
            <w:shd w:val="clear" w:color="auto" w:fill="auto"/>
            <w:vAlign w:val="center"/>
            <w:hideMark/>
          </w:tcPr>
          <w:p w14:paraId="1565FB4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0464DDD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C9EF97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use of cephalosporins</w:t>
            </w:r>
          </w:p>
        </w:tc>
        <w:tc>
          <w:tcPr>
            <w:tcW w:w="4364" w:type="dxa"/>
            <w:tcBorders>
              <w:top w:val="nil"/>
              <w:left w:val="nil"/>
              <w:bottom w:val="single" w:sz="4" w:space="0" w:color="auto"/>
              <w:right w:val="nil"/>
            </w:tcBorders>
            <w:shd w:val="clear" w:color="auto" w:fill="auto"/>
            <w:vAlign w:val="center"/>
            <w:hideMark/>
          </w:tcPr>
          <w:p w14:paraId="69D50FD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of antibiotics</w:t>
            </w:r>
          </w:p>
        </w:tc>
        <w:tc>
          <w:tcPr>
            <w:tcW w:w="3209" w:type="dxa"/>
            <w:tcBorders>
              <w:top w:val="nil"/>
              <w:left w:val="nil"/>
              <w:bottom w:val="single" w:sz="4" w:space="0" w:color="auto"/>
              <w:right w:val="nil"/>
            </w:tcBorders>
            <w:shd w:val="clear" w:color="auto" w:fill="auto"/>
            <w:vAlign w:val="center"/>
            <w:hideMark/>
          </w:tcPr>
          <w:p w14:paraId="2DCD7B2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 in a burn and Trauma ICU who prescribe antibiotics</w:t>
            </w:r>
          </w:p>
        </w:tc>
        <w:tc>
          <w:tcPr>
            <w:tcW w:w="709" w:type="dxa"/>
            <w:tcBorders>
              <w:top w:val="nil"/>
              <w:left w:val="nil"/>
              <w:bottom w:val="single" w:sz="4" w:space="0" w:color="auto"/>
              <w:right w:val="nil"/>
            </w:tcBorders>
            <w:shd w:val="clear" w:color="auto" w:fill="auto"/>
            <w:vAlign w:val="center"/>
            <w:hideMark/>
          </w:tcPr>
          <w:p w14:paraId="03DE6935" w14:textId="21685C05"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02B8508A" w14:textId="77777777" w:rsidTr="008819CF">
        <w:trPr>
          <w:trHeight w:val="416"/>
        </w:trPr>
        <w:tc>
          <w:tcPr>
            <w:tcW w:w="1524" w:type="dxa"/>
            <w:tcBorders>
              <w:top w:val="nil"/>
              <w:left w:val="nil"/>
              <w:bottom w:val="single" w:sz="4" w:space="0" w:color="auto"/>
              <w:right w:val="nil"/>
            </w:tcBorders>
            <w:shd w:val="clear" w:color="auto" w:fill="auto"/>
            <w:vAlign w:val="center"/>
            <w:hideMark/>
          </w:tcPr>
          <w:p w14:paraId="188D00EF" w14:textId="15FE47F0"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Mayer 1998</w:t>
            </w:r>
          </w:p>
        </w:tc>
        <w:tc>
          <w:tcPr>
            <w:tcW w:w="802" w:type="dxa"/>
            <w:tcBorders>
              <w:top w:val="nil"/>
              <w:left w:val="nil"/>
              <w:bottom w:val="single" w:sz="4" w:space="0" w:color="auto"/>
              <w:right w:val="nil"/>
            </w:tcBorders>
            <w:shd w:val="clear" w:color="auto" w:fill="auto"/>
            <w:vAlign w:val="center"/>
            <w:hideMark/>
          </w:tcPr>
          <w:p w14:paraId="7469844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F054FA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59CD467B" w14:textId="77777777"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Provide s</w:t>
            </w:r>
            <w:r w:rsidRPr="003E6B1E">
              <w:rPr>
                <w:rFonts w:ascii="Arial Narrow" w:hAnsi="Arial Narrow"/>
                <w:sz w:val="18"/>
                <w:szCs w:val="18"/>
                <w:lang w:val="en-GB"/>
              </w:rPr>
              <w:t xml:space="preserve">kin cancer prevention counselling </w:t>
            </w:r>
          </w:p>
        </w:tc>
        <w:tc>
          <w:tcPr>
            <w:tcW w:w="4364" w:type="dxa"/>
            <w:tcBorders>
              <w:top w:val="nil"/>
              <w:left w:val="nil"/>
              <w:bottom w:val="single" w:sz="4" w:space="0" w:color="auto"/>
              <w:right w:val="nil"/>
            </w:tcBorders>
            <w:shd w:val="clear" w:color="auto" w:fill="auto"/>
            <w:vAlign w:val="center"/>
            <w:hideMark/>
          </w:tcPr>
          <w:p w14:paraId="3315B8D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Rate of cancer preventative counselling</w:t>
            </w:r>
          </w:p>
        </w:tc>
        <w:tc>
          <w:tcPr>
            <w:tcW w:w="3209" w:type="dxa"/>
            <w:tcBorders>
              <w:top w:val="nil"/>
              <w:left w:val="nil"/>
              <w:bottom w:val="single" w:sz="4" w:space="0" w:color="auto"/>
              <w:right w:val="nil"/>
            </w:tcBorders>
            <w:shd w:val="clear" w:color="auto" w:fill="auto"/>
            <w:vAlign w:val="center"/>
            <w:hideMark/>
          </w:tcPr>
          <w:p w14:paraId="6361205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Pharmacists</w:t>
            </w:r>
          </w:p>
        </w:tc>
        <w:tc>
          <w:tcPr>
            <w:tcW w:w="709" w:type="dxa"/>
            <w:tcBorders>
              <w:top w:val="nil"/>
              <w:left w:val="nil"/>
              <w:bottom w:val="single" w:sz="4" w:space="0" w:color="auto"/>
              <w:right w:val="nil"/>
            </w:tcBorders>
            <w:shd w:val="clear" w:color="auto" w:fill="auto"/>
            <w:vAlign w:val="center"/>
            <w:hideMark/>
          </w:tcPr>
          <w:p w14:paraId="6AE23280"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2A36FEA" w14:textId="77777777" w:rsidTr="008819CF">
        <w:trPr>
          <w:trHeight w:val="280"/>
        </w:trPr>
        <w:tc>
          <w:tcPr>
            <w:tcW w:w="1524" w:type="dxa"/>
            <w:tcBorders>
              <w:top w:val="nil"/>
              <w:left w:val="nil"/>
              <w:bottom w:val="single" w:sz="4" w:space="0" w:color="auto"/>
              <w:right w:val="nil"/>
            </w:tcBorders>
            <w:shd w:val="clear" w:color="auto" w:fill="auto"/>
            <w:vAlign w:val="center"/>
            <w:hideMark/>
          </w:tcPr>
          <w:p w14:paraId="73F6714E" w14:textId="56B0C5AD"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McCartney 1997</w:t>
            </w:r>
          </w:p>
        </w:tc>
        <w:tc>
          <w:tcPr>
            <w:tcW w:w="802" w:type="dxa"/>
            <w:tcBorders>
              <w:top w:val="nil"/>
              <w:left w:val="nil"/>
              <w:bottom w:val="single" w:sz="4" w:space="0" w:color="auto"/>
              <w:right w:val="nil"/>
            </w:tcBorders>
            <w:shd w:val="clear" w:color="auto" w:fill="auto"/>
            <w:vAlign w:val="center"/>
            <w:hideMark/>
          </w:tcPr>
          <w:p w14:paraId="5065BFD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A7E5BD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C976B0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prophylactic aspirin prescription</w:t>
            </w:r>
          </w:p>
        </w:tc>
        <w:tc>
          <w:tcPr>
            <w:tcW w:w="4364" w:type="dxa"/>
            <w:tcBorders>
              <w:top w:val="nil"/>
              <w:left w:val="nil"/>
              <w:bottom w:val="single" w:sz="4" w:space="0" w:color="auto"/>
              <w:right w:val="nil"/>
            </w:tcBorders>
            <w:shd w:val="clear" w:color="auto" w:fill="auto"/>
            <w:vAlign w:val="center"/>
            <w:hideMark/>
          </w:tcPr>
          <w:p w14:paraId="27F0DBE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aspirin in patients with heart disease</w:t>
            </w:r>
          </w:p>
        </w:tc>
        <w:tc>
          <w:tcPr>
            <w:tcW w:w="3209" w:type="dxa"/>
            <w:tcBorders>
              <w:top w:val="nil"/>
              <w:left w:val="nil"/>
              <w:bottom w:val="single" w:sz="4" w:space="0" w:color="auto"/>
              <w:right w:val="nil"/>
            </w:tcBorders>
            <w:shd w:val="clear" w:color="auto" w:fill="auto"/>
            <w:vAlign w:val="center"/>
            <w:hideMark/>
          </w:tcPr>
          <w:p w14:paraId="5E31254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23006EB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5ED8AF71" w14:textId="77777777" w:rsidTr="008819CF">
        <w:trPr>
          <w:trHeight w:val="569"/>
        </w:trPr>
        <w:tc>
          <w:tcPr>
            <w:tcW w:w="1524" w:type="dxa"/>
            <w:tcBorders>
              <w:top w:val="nil"/>
              <w:left w:val="nil"/>
              <w:bottom w:val="single" w:sz="4" w:space="0" w:color="auto"/>
              <w:right w:val="nil"/>
            </w:tcBorders>
            <w:shd w:val="clear" w:color="auto" w:fill="auto"/>
            <w:vAlign w:val="center"/>
            <w:hideMark/>
          </w:tcPr>
          <w:p w14:paraId="33094843" w14:textId="26547CDC"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McClellan 2003</w:t>
            </w:r>
          </w:p>
        </w:tc>
        <w:tc>
          <w:tcPr>
            <w:tcW w:w="802" w:type="dxa"/>
            <w:tcBorders>
              <w:top w:val="nil"/>
              <w:left w:val="nil"/>
              <w:bottom w:val="single" w:sz="4" w:space="0" w:color="auto"/>
              <w:right w:val="nil"/>
            </w:tcBorders>
            <w:shd w:val="clear" w:color="auto" w:fill="auto"/>
            <w:vAlign w:val="center"/>
            <w:hideMark/>
          </w:tcPr>
          <w:p w14:paraId="06260D8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7CE1D00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7DF7850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Monitor glycosylated haemoglobin in Diabetes Mellitus</w:t>
            </w:r>
          </w:p>
        </w:tc>
        <w:tc>
          <w:tcPr>
            <w:tcW w:w="4364" w:type="dxa"/>
            <w:tcBorders>
              <w:top w:val="nil"/>
              <w:left w:val="nil"/>
              <w:bottom w:val="single" w:sz="4" w:space="0" w:color="auto"/>
              <w:right w:val="nil"/>
            </w:tcBorders>
            <w:shd w:val="clear" w:color="auto" w:fill="auto"/>
            <w:vAlign w:val="center"/>
            <w:hideMark/>
          </w:tcPr>
          <w:p w14:paraId="1BB70C3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The measures of the effect of our intervention included changes in frequency of measurement of HbA1C, quantitative urine protein, and dilated eye examinations. </w:t>
            </w:r>
          </w:p>
        </w:tc>
        <w:tc>
          <w:tcPr>
            <w:tcW w:w="3209" w:type="dxa"/>
            <w:tcBorders>
              <w:top w:val="nil"/>
              <w:left w:val="nil"/>
              <w:bottom w:val="single" w:sz="4" w:space="0" w:color="auto"/>
              <w:right w:val="nil"/>
            </w:tcBorders>
            <w:shd w:val="clear" w:color="auto" w:fill="auto"/>
            <w:vAlign w:val="center"/>
            <w:hideMark/>
          </w:tcPr>
          <w:p w14:paraId="585CC6D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 internists/obstetricians</w:t>
            </w:r>
          </w:p>
        </w:tc>
        <w:tc>
          <w:tcPr>
            <w:tcW w:w="709" w:type="dxa"/>
            <w:tcBorders>
              <w:top w:val="nil"/>
              <w:left w:val="nil"/>
              <w:bottom w:val="single" w:sz="4" w:space="0" w:color="auto"/>
              <w:right w:val="nil"/>
            </w:tcBorders>
            <w:shd w:val="clear" w:color="auto" w:fill="auto"/>
            <w:vAlign w:val="center"/>
            <w:hideMark/>
          </w:tcPr>
          <w:p w14:paraId="445DD59D"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6C4CBDC" w14:textId="77777777" w:rsidTr="008819CF">
        <w:trPr>
          <w:trHeight w:val="82"/>
        </w:trPr>
        <w:tc>
          <w:tcPr>
            <w:tcW w:w="1524" w:type="dxa"/>
            <w:tcBorders>
              <w:top w:val="nil"/>
              <w:left w:val="nil"/>
              <w:bottom w:val="single" w:sz="4" w:space="0" w:color="auto"/>
              <w:right w:val="nil"/>
            </w:tcBorders>
            <w:shd w:val="clear" w:color="auto" w:fill="auto"/>
            <w:vAlign w:val="center"/>
            <w:hideMark/>
          </w:tcPr>
          <w:p w14:paraId="39CF5FDD" w14:textId="132AF148"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McConnell 1982</w:t>
            </w:r>
          </w:p>
        </w:tc>
        <w:tc>
          <w:tcPr>
            <w:tcW w:w="802" w:type="dxa"/>
            <w:tcBorders>
              <w:top w:val="nil"/>
              <w:left w:val="nil"/>
              <w:bottom w:val="single" w:sz="4" w:space="0" w:color="auto"/>
              <w:right w:val="nil"/>
            </w:tcBorders>
            <w:shd w:val="clear" w:color="auto" w:fill="auto"/>
            <w:vAlign w:val="center"/>
            <w:hideMark/>
          </w:tcPr>
          <w:p w14:paraId="639D64A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82AF31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2BCC1CE" w14:textId="77777777"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 xml:space="preserve">Prescribe </w:t>
            </w:r>
            <w:r w:rsidRPr="003E6B1E">
              <w:rPr>
                <w:rFonts w:ascii="Arial Narrow" w:hAnsi="Arial Narrow"/>
                <w:sz w:val="18"/>
                <w:szCs w:val="18"/>
                <w:lang w:val="en-GB"/>
              </w:rPr>
              <w:t xml:space="preserve">Tetracycline </w:t>
            </w:r>
          </w:p>
        </w:tc>
        <w:tc>
          <w:tcPr>
            <w:tcW w:w="4364" w:type="dxa"/>
            <w:tcBorders>
              <w:top w:val="nil"/>
              <w:left w:val="nil"/>
              <w:bottom w:val="single" w:sz="4" w:space="0" w:color="auto"/>
              <w:right w:val="nil"/>
            </w:tcBorders>
            <w:shd w:val="clear" w:color="auto" w:fill="auto"/>
            <w:vAlign w:val="center"/>
            <w:hideMark/>
          </w:tcPr>
          <w:p w14:paraId="6E63A66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Tetracycline for URTI</w:t>
            </w:r>
          </w:p>
        </w:tc>
        <w:tc>
          <w:tcPr>
            <w:tcW w:w="3209" w:type="dxa"/>
            <w:tcBorders>
              <w:top w:val="nil"/>
              <w:left w:val="nil"/>
              <w:bottom w:val="single" w:sz="4" w:space="0" w:color="auto"/>
              <w:right w:val="nil"/>
            </w:tcBorders>
            <w:shd w:val="clear" w:color="auto" w:fill="auto"/>
            <w:vAlign w:val="center"/>
            <w:hideMark/>
          </w:tcPr>
          <w:p w14:paraId="7FF3511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158FBFFB"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D2C63E7" w14:textId="77777777" w:rsidTr="008819CF">
        <w:trPr>
          <w:trHeight w:val="297"/>
        </w:trPr>
        <w:tc>
          <w:tcPr>
            <w:tcW w:w="1524" w:type="dxa"/>
            <w:tcBorders>
              <w:top w:val="nil"/>
              <w:left w:val="nil"/>
              <w:bottom w:val="single" w:sz="4" w:space="0" w:color="auto"/>
              <w:right w:val="nil"/>
            </w:tcBorders>
            <w:shd w:val="clear" w:color="auto" w:fill="auto"/>
            <w:vAlign w:val="center"/>
            <w:hideMark/>
          </w:tcPr>
          <w:p w14:paraId="06CDA24C" w14:textId="4D10970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McElnay 1995</w:t>
            </w:r>
          </w:p>
        </w:tc>
        <w:tc>
          <w:tcPr>
            <w:tcW w:w="802" w:type="dxa"/>
            <w:tcBorders>
              <w:top w:val="nil"/>
              <w:left w:val="nil"/>
              <w:bottom w:val="single" w:sz="4" w:space="0" w:color="auto"/>
              <w:right w:val="nil"/>
            </w:tcBorders>
            <w:shd w:val="clear" w:color="auto" w:fill="auto"/>
            <w:vAlign w:val="center"/>
            <w:hideMark/>
          </w:tcPr>
          <w:p w14:paraId="19D7FC4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0DF4F76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9C3B6D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Reduce antibiotic usage </w:t>
            </w:r>
          </w:p>
        </w:tc>
        <w:tc>
          <w:tcPr>
            <w:tcW w:w="4364" w:type="dxa"/>
            <w:tcBorders>
              <w:top w:val="nil"/>
              <w:left w:val="nil"/>
              <w:bottom w:val="single" w:sz="4" w:space="0" w:color="auto"/>
              <w:right w:val="nil"/>
            </w:tcBorders>
            <w:shd w:val="clear" w:color="auto" w:fill="auto"/>
            <w:vAlign w:val="center"/>
            <w:hideMark/>
          </w:tcPr>
          <w:p w14:paraId="344ACF3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Expenditure on antibiotics</w:t>
            </w:r>
          </w:p>
        </w:tc>
        <w:tc>
          <w:tcPr>
            <w:tcW w:w="3209" w:type="dxa"/>
            <w:tcBorders>
              <w:top w:val="nil"/>
              <w:left w:val="nil"/>
              <w:bottom w:val="single" w:sz="4" w:space="0" w:color="auto"/>
              <w:right w:val="nil"/>
            </w:tcBorders>
            <w:shd w:val="clear" w:color="auto" w:fill="auto"/>
            <w:vAlign w:val="center"/>
            <w:hideMark/>
          </w:tcPr>
          <w:p w14:paraId="34FD55A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from various specialities within hospital</w:t>
            </w:r>
          </w:p>
        </w:tc>
        <w:tc>
          <w:tcPr>
            <w:tcW w:w="709" w:type="dxa"/>
            <w:tcBorders>
              <w:top w:val="nil"/>
              <w:left w:val="nil"/>
              <w:bottom w:val="single" w:sz="4" w:space="0" w:color="auto"/>
              <w:right w:val="nil"/>
            </w:tcBorders>
            <w:shd w:val="clear" w:color="auto" w:fill="auto"/>
            <w:vAlign w:val="center"/>
            <w:hideMark/>
          </w:tcPr>
          <w:p w14:paraId="114D4A6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4ACC7B63" w14:textId="77777777" w:rsidTr="008819CF">
        <w:trPr>
          <w:trHeight w:val="147"/>
        </w:trPr>
        <w:tc>
          <w:tcPr>
            <w:tcW w:w="1524" w:type="dxa"/>
            <w:tcBorders>
              <w:top w:val="nil"/>
              <w:left w:val="nil"/>
              <w:bottom w:val="single" w:sz="4" w:space="0" w:color="auto"/>
              <w:right w:val="nil"/>
            </w:tcBorders>
            <w:shd w:val="clear" w:color="auto" w:fill="auto"/>
            <w:vAlign w:val="center"/>
            <w:hideMark/>
          </w:tcPr>
          <w:p w14:paraId="0B0172E2" w14:textId="363ED02B"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McGowan 1976</w:t>
            </w:r>
          </w:p>
        </w:tc>
        <w:tc>
          <w:tcPr>
            <w:tcW w:w="802" w:type="dxa"/>
            <w:tcBorders>
              <w:top w:val="nil"/>
              <w:left w:val="nil"/>
              <w:bottom w:val="single" w:sz="4" w:space="0" w:color="auto"/>
              <w:right w:val="nil"/>
            </w:tcBorders>
            <w:shd w:val="clear" w:color="auto" w:fill="auto"/>
            <w:vAlign w:val="center"/>
            <w:hideMark/>
          </w:tcPr>
          <w:p w14:paraId="51A0F30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26987D2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307308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use of restricted antimicrobial drugs</w:t>
            </w:r>
          </w:p>
        </w:tc>
        <w:tc>
          <w:tcPr>
            <w:tcW w:w="4364" w:type="dxa"/>
            <w:tcBorders>
              <w:top w:val="nil"/>
              <w:left w:val="nil"/>
              <w:bottom w:val="single" w:sz="4" w:space="0" w:color="auto"/>
              <w:right w:val="nil"/>
            </w:tcBorders>
            <w:shd w:val="clear" w:color="auto" w:fill="auto"/>
            <w:vAlign w:val="center"/>
            <w:hideMark/>
          </w:tcPr>
          <w:p w14:paraId="05DE0E6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 Proportion of Antibiotic expenditures</w:t>
            </w:r>
          </w:p>
        </w:tc>
        <w:tc>
          <w:tcPr>
            <w:tcW w:w="3209" w:type="dxa"/>
            <w:tcBorders>
              <w:top w:val="nil"/>
              <w:left w:val="nil"/>
              <w:bottom w:val="single" w:sz="4" w:space="0" w:color="auto"/>
              <w:right w:val="nil"/>
            </w:tcBorders>
            <w:shd w:val="clear" w:color="auto" w:fill="auto"/>
            <w:vAlign w:val="center"/>
            <w:hideMark/>
          </w:tcPr>
          <w:p w14:paraId="32DA567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hospital</w:t>
            </w:r>
          </w:p>
        </w:tc>
        <w:tc>
          <w:tcPr>
            <w:tcW w:w="709" w:type="dxa"/>
            <w:tcBorders>
              <w:top w:val="nil"/>
              <w:left w:val="nil"/>
              <w:bottom w:val="single" w:sz="4" w:space="0" w:color="auto"/>
              <w:right w:val="nil"/>
            </w:tcBorders>
            <w:shd w:val="clear" w:color="auto" w:fill="auto"/>
            <w:vAlign w:val="center"/>
            <w:hideMark/>
          </w:tcPr>
          <w:p w14:paraId="459A481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51036EBB" w14:textId="77777777" w:rsidTr="008819CF">
        <w:trPr>
          <w:trHeight w:val="365"/>
        </w:trPr>
        <w:tc>
          <w:tcPr>
            <w:tcW w:w="1524" w:type="dxa"/>
            <w:tcBorders>
              <w:top w:val="nil"/>
              <w:left w:val="nil"/>
              <w:bottom w:val="single" w:sz="4" w:space="0" w:color="auto"/>
              <w:right w:val="nil"/>
            </w:tcBorders>
            <w:shd w:val="clear" w:color="auto" w:fill="auto"/>
            <w:vAlign w:val="center"/>
            <w:hideMark/>
          </w:tcPr>
          <w:p w14:paraId="21A6676C" w14:textId="124526AA"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McLaughlin 2005</w:t>
            </w:r>
          </w:p>
        </w:tc>
        <w:tc>
          <w:tcPr>
            <w:tcW w:w="802" w:type="dxa"/>
            <w:tcBorders>
              <w:top w:val="nil"/>
              <w:left w:val="nil"/>
              <w:bottom w:val="single" w:sz="4" w:space="0" w:color="auto"/>
              <w:right w:val="nil"/>
            </w:tcBorders>
            <w:shd w:val="clear" w:color="auto" w:fill="auto"/>
            <w:vAlign w:val="center"/>
            <w:hideMark/>
          </w:tcPr>
          <w:p w14:paraId="07DA67A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60C6A40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F900CF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Reduce inappropriate intravenous (IV) antibiotic therapy </w:t>
            </w:r>
          </w:p>
        </w:tc>
        <w:tc>
          <w:tcPr>
            <w:tcW w:w="4364" w:type="dxa"/>
            <w:tcBorders>
              <w:top w:val="nil"/>
              <w:left w:val="nil"/>
              <w:bottom w:val="single" w:sz="4" w:space="0" w:color="auto"/>
              <w:right w:val="nil"/>
            </w:tcBorders>
            <w:shd w:val="clear" w:color="auto" w:fill="auto"/>
            <w:vAlign w:val="center"/>
            <w:hideMark/>
          </w:tcPr>
          <w:p w14:paraId="144D565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IV antibiotic duration, appropriateness of IV route, switching</w:t>
            </w:r>
          </w:p>
        </w:tc>
        <w:tc>
          <w:tcPr>
            <w:tcW w:w="3209" w:type="dxa"/>
            <w:tcBorders>
              <w:top w:val="nil"/>
              <w:left w:val="nil"/>
              <w:bottom w:val="single" w:sz="4" w:space="0" w:color="auto"/>
              <w:right w:val="nil"/>
            </w:tcBorders>
            <w:shd w:val="clear" w:color="auto" w:fill="auto"/>
            <w:vAlign w:val="center"/>
            <w:hideMark/>
          </w:tcPr>
          <w:p w14:paraId="75F50FF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On-call junior medical staff</w:t>
            </w:r>
          </w:p>
        </w:tc>
        <w:tc>
          <w:tcPr>
            <w:tcW w:w="709" w:type="dxa"/>
            <w:tcBorders>
              <w:top w:val="nil"/>
              <w:left w:val="nil"/>
              <w:bottom w:val="single" w:sz="4" w:space="0" w:color="auto"/>
              <w:right w:val="nil"/>
            </w:tcBorders>
            <w:shd w:val="clear" w:color="auto" w:fill="auto"/>
            <w:vAlign w:val="center"/>
            <w:hideMark/>
          </w:tcPr>
          <w:p w14:paraId="10E2347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0E0B71E5" w14:textId="77777777" w:rsidTr="008819CF">
        <w:trPr>
          <w:trHeight w:val="419"/>
        </w:trPr>
        <w:tc>
          <w:tcPr>
            <w:tcW w:w="1524" w:type="dxa"/>
            <w:tcBorders>
              <w:top w:val="nil"/>
              <w:left w:val="nil"/>
              <w:bottom w:val="single" w:sz="4" w:space="0" w:color="auto"/>
              <w:right w:val="nil"/>
            </w:tcBorders>
            <w:shd w:val="clear" w:color="auto" w:fill="auto"/>
            <w:vAlign w:val="center"/>
            <w:hideMark/>
          </w:tcPr>
          <w:p w14:paraId="0BBBC9F0" w14:textId="25618819"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McNulty 1997 </w:t>
            </w:r>
          </w:p>
        </w:tc>
        <w:tc>
          <w:tcPr>
            <w:tcW w:w="802" w:type="dxa"/>
            <w:tcBorders>
              <w:top w:val="nil"/>
              <w:left w:val="nil"/>
              <w:bottom w:val="single" w:sz="4" w:space="0" w:color="auto"/>
              <w:right w:val="nil"/>
            </w:tcBorders>
            <w:shd w:val="clear" w:color="auto" w:fill="auto"/>
            <w:vAlign w:val="center"/>
            <w:hideMark/>
          </w:tcPr>
          <w:p w14:paraId="3E3EB30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0667389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0F3986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use of restricted antibiotic drugs</w:t>
            </w:r>
          </w:p>
        </w:tc>
        <w:tc>
          <w:tcPr>
            <w:tcW w:w="4364" w:type="dxa"/>
            <w:tcBorders>
              <w:top w:val="nil"/>
              <w:left w:val="nil"/>
              <w:bottom w:val="single" w:sz="4" w:space="0" w:color="auto"/>
              <w:right w:val="nil"/>
            </w:tcBorders>
            <w:shd w:val="clear" w:color="auto" w:fill="auto"/>
            <w:vAlign w:val="center"/>
            <w:hideMark/>
          </w:tcPr>
          <w:p w14:paraId="5C2B930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Cefuroxime prescribing </w:t>
            </w:r>
          </w:p>
        </w:tc>
        <w:tc>
          <w:tcPr>
            <w:tcW w:w="3209" w:type="dxa"/>
            <w:tcBorders>
              <w:top w:val="nil"/>
              <w:left w:val="nil"/>
              <w:bottom w:val="single" w:sz="4" w:space="0" w:color="auto"/>
              <w:right w:val="nil"/>
            </w:tcBorders>
            <w:shd w:val="clear" w:color="auto" w:fill="auto"/>
            <w:vAlign w:val="center"/>
            <w:hideMark/>
          </w:tcPr>
          <w:p w14:paraId="0EB4FA1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elderly care unit</w:t>
            </w:r>
          </w:p>
        </w:tc>
        <w:tc>
          <w:tcPr>
            <w:tcW w:w="709" w:type="dxa"/>
            <w:tcBorders>
              <w:top w:val="nil"/>
              <w:left w:val="nil"/>
              <w:bottom w:val="single" w:sz="4" w:space="0" w:color="auto"/>
              <w:right w:val="nil"/>
            </w:tcBorders>
            <w:shd w:val="clear" w:color="auto" w:fill="auto"/>
            <w:vAlign w:val="center"/>
            <w:hideMark/>
          </w:tcPr>
          <w:p w14:paraId="0CA416C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36964C8F" w14:textId="77777777" w:rsidTr="008819CF">
        <w:trPr>
          <w:trHeight w:val="410"/>
        </w:trPr>
        <w:tc>
          <w:tcPr>
            <w:tcW w:w="1524" w:type="dxa"/>
            <w:tcBorders>
              <w:top w:val="nil"/>
              <w:left w:val="nil"/>
              <w:bottom w:val="single" w:sz="4" w:space="0" w:color="auto"/>
              <w:right w:val="nil"/>
            </w:tcBorders>
            <w:shd w:val="clear" w:color="auto" w:fill="auto"/>
            <w:vAlign w:val="center"/>
            <w:hideMark/>
          </w:tcPr>
          <w:p w14:paraId="681D133D" w14:textId="74C4FD2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Mercer 1999</w:t>
            </w:r>
          </w:p>
        </w:tc>
        <w:tc>
          <w:tcPr>
            <w:tcW w:w="802" w:type="dxa"/>
            <w:tcBorders>
              <w:top w:val="nil"/>
              <w:left w:val="nil"/>
              <w:bottom w:val="single" w:sz="4" w:space="0" w:color="auto"/>
              <w:right w:val="nil"/>
            </w:tcBorders>
            <w:shd w:val="clear" w:color="auto" w:fill="auto"/>
            <w:vAlign w:val="center"/>
            <w:hideMark/>
          </w:tcPr>
          <w:p w14:paraId="3E77FC1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1C0E5AD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6DBFC03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antibiotic use</w:t>
            </w:r>
          </w:p>
        </w:tc>
        <w:tc>
          <w:tcPr>
            <w:tcW w:w="4364" w:type="dxa"/>
            <w:tcBorders>
              <w:top w:val="nil"/>
              <w:left w:val="nil"/>
              <w:bottom w:val="single" w:sz="4" w:space="0" w:color="auto"/>
              <w:right w:val="nil"/>
            </w:tcBorders>
            <w:shd w:val="clear" w:color="auto" w:fill="auto"/>
            <w:vAlign w:val="center"/>
            <w:hideMark/>
          </w:tcPr>
          <w:p w14:paraId="703D330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Antibiotic use and cost data for the 12 -month periods</w:t>
            </w:r>
          </w:p>
        </w:tc>
        <w:tc>
          <w:tcPr>
            <w:tcW w:w="3209" w:type="dxa"/>
            <w:tcBorders>
              <w:top w:val="nil"/>
              <w:left w:val="nil"/>
              <w:bottom w:val="single" w:sz="4" w:space="0" w:color="auto"/>
              <w:right w:val="nil"/>
            </w:tcBorders>
            <w:shd w:val="clear" w:color="auto" w:fill="auto"/>
            <w:vAlign w:val="center"/>
            <w:hideMark/>
          </w:tcPr>
          <w:p w14:paraId="76DC615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 responsible for Antibiotic prescribing</w:t>
            </w:r>
          </w:p>
        </w:tc>
        <w:tc>
          <w:tcPr>
            <w:tcW w:w="709" w:type="dxa"/>
            <w:tcBorders>
              <w:top w:val="nil"/>
              <w:left w:val="nil"/>
              <w:bottom w:val="single" w:sz="4" w:space="0" w:color="auto"/>
              <w:right w:val="nil"/>
            </w:tcBorders>
            <w:shd w:val="clear" w:color="auto" w:fill="auto"/>
            <w:vAlign w:val="center"/>
            <w:hideMark/>
          </w:tcPr>
          <w:p w14:paraId="3D9274C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069D9DF6" w14:textId="77777777" w:rsidTr="008819CF">
        <w:trPr>
          <w:trHeight w:val="202"/>
        </w:trPr>
        <w:tc>
          <w:tcPr>
            <w:tcW w:w="1524" w:type="dxa"/>
            <w:tcBorders>
              <w:top w:val="nil"/>
              <w:left w:val="nil"/>
              <w:bottom w:val="single" w:sz="4" w:space="0" w:color="auto"/>
              <w:right w:val="nil"/>
            </w:tcBorders>
            <w:shd w:val="clear" w:color="auto" w:fill="auto"/>
            <w:vAlign w:val="center"/>
            <w:hideMark/>
          </w:tcPr>
          <w:p w14:paraId="3F03DD1F" w14:textId="56022F36"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Meyer 1993</w:t>
            </w:r>
          </w:p>
        </w:tc>
        <w:tc>
          <w:tcPr>
            <w:tcW w:w="802" w:type="dxa"/>
            <w:tcBorders>
              <w:top w:val="nil"/>
              <w:left w:val="nil"/>
              <w:bottom w:val="single" w:sz="4" w:space="0" w:color="auto"/>
              <w:right w:val="nil"/>
            </w:tcBorders>
            <w:shd w:val="clear" w:color="auto" w:fill="auto"/>
            <w:vAlign w:val="center"/>
            <w:hideMark/>
          </w:tcPr>
          <w:p w14:paraId="1246B99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3E49B83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D2C9C8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use of Ceftazidime</w:t>
            </w:r>
          </w:p>
        </w:tc>
        <w:tc>
          <w:tcPr>
            <w:tcW w:w="4364" w:type="dxa"/>
            <w:tcBorders>
              <w:top w:val="nil"/>
              <w:left w:val="nil"/>
              <w:bottom w:val="single" w:sz="4" w:space="0" w:color="auto"/>
              <w:right w:val="nil"/>
            </w:tcBorders>
            <w:shd w:val="clear" w:color="auto" w:fill="auto"/>
            <w:vAlign w:val="center"/>
            <w:hideMark/>
          </w:tcPr>
          <w:p w14:paraId="237CACC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of ceftazidime, imipenem and ceftriaxone.</w:t>
            </w:r>
          </w:p>
        </w:tc>
        <w:tc>
          <w:tcPr>
            <w:tcW w:w="3209" w:type="dxa"/>
            <w:tcBorders>
              <w:top w:val="nil"/>
              <w:left w:val="nil"/>
              <w:bottom w:val="single" w:sz="4" w:space="0" w:color="auto"/>
              <w:right w:val="nil"/>
            </w:tcBorders>
            <w:shd w:val="clear" w:color="auto" w:fill="auto"/>
            <w:vAlign w:val="center"/>
            <w:hideMark/>
          </w:tcPr>
          <w:p w14:paraId="00FCEC5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at a hospital in USA</w:t>
            </w:r>
          </w:p>
        </w:tc>
        <w:tc>
          <w:tcPr>
            <w:tcW w:w="709" w:type="dxa"/>
            <w:tcBorders>
              <w:top w:val="nil"/>
              <w:left w:val="nil"/>
              <w:bottom w:val="single" w:sz="4" w:space="0" w:color="auto"/>
              <w:right w:val="nil"/>
            </w:tcBorders>
            <w:shd w:val="clear" w:color="auto" w:fill="auto"/>
            <w:vAlign w:val="center"/>
            <w:hideMark/>
          </w:tcPr>
          <w:p w14:paraId="5F1A14D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1DFFE8CE" w14:textId="77777777" w:rsidTr="008819CF">
        <w:trPr>
          <w:trHeight w:val="406"/>
        </w:trPr>
        <w:tc>
          <w:tcPr>
            <w:tcW w:w="1524" w:type="dxa"/>
            <w:tcBorders>
              <w:top w:val="nil"/>
              <w:left w:val="nil"/>
              <w:bottom w:val="single" w:sz="4" w:space="0" w:color="auto"/>
              <w:right w:val="nil"/>
            </w:tcBorders>
            <w:shd w:val="clear" w:color="auto" w:fill="auto"/>
            <w:vAlign w:val="center"/>
            <w:hideMark/>
          </w:tcPr>
          <w:p w14:paraId="67C18D2E" w14:textId="12B84288"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Micek 2004</w:t>
            </w:r>
          </w:p>
        </w:tc>
        <w:tc>
          <w:tcPr>
            <w:tcW w:w="802" w:type="dxa"/>
            <w:tcBorders>
              <w:top w:val="nil"/>
              <w:left w:val="nil"/>
              <w:bottom w:val="single" w:sz="4" w:space="0" w:color="auto"/>
              <w:right w:val="nil"/>
            </w:tcBorders>
            <w:shd w:val="clear" w:color="auto" w:fill="auto"/>
            <w:vAlign w:val="center"/>
            <w:hideMark/>
          </w:tcPr>
          <w:p w14:paraId="0751FB0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6F16E7F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CCD0A8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antibiotics</w:t>
            </w:r>
          </w:p>
        </w:tc>
        <w:tc>
          <w:tcPr>
            <w:tcW w:w="4364" w:type="dxa"/>
            <w:tcBorders>
              <w:top w:val="nil"/>
              <w:left w:val="nil"/>
              <w:bottom w:val="single" w:sz="4" w:space="0" w:color="auto"/>
              <w:right w:val="nil"/>
            </w:tcBorders>
            <w:shd w:val="clear" w:color="auto" w:fill="auto"/>
            <w:vAlign w:val="center"/>
            <w:hideMark/>
          </w:tcPr>
          <w:p w14:paraId="411AA2C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Duration of antibiotic treatment. </w:t>
            </w:r>
          </w:p>
        </w:tc>
        <w:tc>
          <w:tcPr>
            <w:tcW w:w="3209" w:type="dxa"/>
            <w:tcBorders>
              <w:top w:val="nil"/>
              <w:left w:val="nil"/>
              <w:bottom w:val="single" w:sz="4" w:space="0" w:color="auto"/>
              <w:right w:val="nil"/>
            </w:tcBorders>
            <w:shd w:val="clear" w:color="auto" w:fill="auto"/>
            <w:vAlign w:val="center"/>
            <w:hideMark/>
          </w:tcPr>
          <w:p w14:paraId="35E2B6A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 responsible for Antibiotic prescribing</w:t>
            </w:r>
          </w:p>
        </w:tc>
        <w:tc>
          <w:tcPr>
            <w:tcW w:w="709" w:type="dxa"/>
            <w:tcBorders>
              <w:top w:val="nil"/>
              <w:left w:val="nil"/>
              <w:bottom w:val="single" w:sz="4" w:space="0" w:color="auto"/>
              <w:right w:val="nil"/>
            </w:tcBorders>
            <w:shd w:val="clear" w:color="auto" w:fill="auto"/>
            <w:vAlign w:val="center"/>
            <w:hideMark/>
          </w:tcPr>
          <w:p w14:paraId="153E9C5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1D1741F7" w14:textId="77777777" w:rsidTr="008819CF">
        <w:trPr>
          <w:trHeight w:val="292"/>
        </w:trPr>
        <w:tc>
          <w:tcPr>
            <w:tcW w:w="1524" w:type="dxa"/>
            <w:tcBorders>
              <w:top w:val="nil"/>
              <w:left w:val="nil"/>
              <w:bottom w:val="single" w:sz="4" w:space="0" w:color="auto"/>
              <w:right w:val="nil"/>
            </w:tcBorders>
            <w:shd w:val="clear" w:color="auto" w:fill="auto"/>
            <w:vAlign w:val="center"/>
            <w:hideMark/>
          </w:tcPr>
          <w:p w14:paraId="7D92F9B4" w14:textId="7BAE5839"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Millard 2008</w:t>
            </w:r>
          </w:p>
        </w:tc>
        <w:tc>
          <w:tcPr>
            <w:tcW w:w="802" w:type="dxa"/>
            <w:tcBorders>
              <w:top w:val="nil"/>
              <w:left w:val="nil"/>
              <w:bottom w:val="single" w:sz="4" w:space="0" w:color="auto"/>
              <w:right w:val="nil"/>
            </w:tcBorders>
            <w:shd w:val="clear" w:color="auto" w:fill="auto"/>
            <w:vAlign w:val="center"/>
            <w:hideMark/>
          </w:tcPr>
          <w:p w14:paraId="0A826A8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483E55F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 xml:space="preserve">Increase </w:t>
            </w:r>
          </w:p>
        </w:tc>
        <w:tc>
          <w:tcPr>
            <w:tcW w:w="2524" w:type="dxa"/>
            <w:tcBorders>
              <w:top w:val="nil"/>
              <w:left w:val="nil"/>
              <w:bottom w:val="single" w:sz="4" w:space="0" w:color="auto"/>
              <w:right w:val="nil"/>
            </w:tcBorders>
            <w:shd w:val="clear" w:color="auto" w:fill="auto"/>
            <w:vAlign w:val="center"/>
            <w:hideMark/>
          </w:tcPr>
          <w:p w14:paraId="1A7423F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documentation of dementia</w:t>
            </w:r>
          </w:p>
        </w:tc>
        <w:tc>
          <w:tcPr>
            <w:tcW w:w="4364" w:type="dxa"/>
            <w:tcBorders>
              <w:top w:val="nil"/>
              <w:left w:val="nil"/>
              <w:bottom w:val="single" w:sz="4" w:space="0" w:color="auto"/>
              <w:right w:val="nil"/>
            </w:tcBorders>
            <w:shd w:val="clear" w:color="auto" w:fill="auto"/>
            <w:vAlign w:val="center"/>
            <w:hideMark/>
          </w:tcPr>
          <w:p w14:paraId="7495A38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dementia diagnosis</w:t>
            </w:r>
          </w:p>
        </w:tc>
        <w:tc>
          <w:tcPr>
            <w:tcW w:w="3209" w:type="dxa"/>
            <w:tcBorders>
              <w:top w:val="nil"/>
              <w:left w:val="nil"/>
              <w:bottom w:val="single" w:sz="4" w:space="0" w:color="auto"/>
              <w:right w:val="nil"/>
            </w:tcBorders>
            <w:shd w:val="clear" w:color="auto" w:fill="auto"/>
            <w:vAlign w:val="center"/>
            <w:hideMark/>
          </w:tcPr>
          <w:p w14:paraId="2BAEA31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136ECF66"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4B7C709" w14:textId="77777777" w:rsidTr="008819CF">
        <w:trPr>
          <w:trHeight w:val="285"/>
        </w:trPr>
        <w:tc>
          <w:tcPr>
            <w:tcW w:w="1524" w:type="dxa"/>
            <w:tcBorders>
              <w:top w:val="nil"/>
              <w:left w:val="nil"/>
              <w:bottom w:val="single" w:sz="4" w:space="0" w:color="auto"/>
              <w:right w:val="nil"/>
            </w:tcBorders>
            <w:shd w:val="clear" w:color="auto" w:fill="auto"/>
            <w:vAlign w:val="center"/>
            <w:hideMark/>
          </w:tcPr>
          <w:p w14:paraId="204A6644" w14:textId="15C271C1"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Mitchell 2005</w:t>
            </w:r>
          </w:p>
        </w:tc>
        <w:tc>
          <w:tcPr>
            <w:tcW w:w="802" w:type="dxa"/>
            <w:tcBorders>
              <w:top w:val="nil"/>
              <w:left w:val="nil"/>
              <w:bottom w:val="single" w:sz="4" w:space="0" w:color="auto"/>
              <w:right w:val="nil"/>
            </w:tcBorders>
            <w:shd w:val="clear" w:color="auto" w:fill="auto"/>
            <w:vAlign w:val="center"/>
            <w:hideMark/>
          </w:tcPr>
          <w:p w14:paraId="614207C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3D307B2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7F0C98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Manage of hypertension in GP</w:t>
            </w:r>
          </w:p>
        </w:tc>
        <w:tc>
          <w:tcPr>
            <w:tcW w:w="4364" w:type="dxa"/>
            <w:tcBorders>
              <w:top w:val="nil"/>
              <w:left w:val="nil"/>
              <w:bottom w:val="single" w:sz="4" w:space="0" w:color="auto"/>
              <w:right w:val="nil"/>
            </w:tcBorders>
            <w:shd w:val="clear" w:color="auto" w:fill="auto"/>
            <w:vAlign w:val="center"/>
            <w:hideMark/>
          </w:tcPr>
          <w:p w14:paraId="3B6F20E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Increase number of patients with identified, treated, and controlled hypertension </w:t>
            </w:r>
          </w:p>
        </w:tc>
        <w:tc>
          <w:tcPr>
            <w:tcW w:w="3209" w:type="dxa"/>
            <w:tcBorders>
              <w:top w:val="nil"/>
              <w:left w:val="nil"/>
              <w:bottom w:val="single" w:sz="4" w:space="0" w:color="auto"/>
              <w:right w:val="nil"/>
            </w:tcBorders>
            <w:shd w:val="clear" w:color="auto" w:fill="auto"/>
            <w:vAlign w:val="center"/>
            <w:hideMark/>
          </w:tcPr>
          <w:p w14:paraId="314DD28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31473B39"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1839F8C" w14:textId="77777777" w:rsidTr="008819CF">
        <w:trPr>
          <w:trHeight w:val="574"/>
        </w:trPr>
        <w:tc>
          <w:tcPr>
            <w:tcW w:w="1524" w:type="dxa"/>
            <w:tcBorders>
              <w:top w:val="nil"/>
              <w:left w:val="nil"/>
              <w:bottom w:val="single" w:sz="4" w:space="0" w:color="auto"/>
              <w:right w:val="nil"/>
            </w:tcBorders>
            <w:shd w:val="clear" w:color="auto" w:fill="auto"/>
            <w:vAlign w:val="center"/>
            <w:hideMark/>
          </w:tcPr>
          <w:p w14:paraId="695B6920" w14:textId="27E1F05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Moher 2001</w:t>
            </w:r>
          </w:p>
        </w:tc>
        <w:tc>
          <w:tcPr>
            <w:tcW w:w="802" w:type="dxa"/>
            <w:tcBorders>
              <w:top w:val="nil"/>
              <w:left w:val="nil"/>
              <w:bottom w:val="single" w:sz="4" w:space="0" w:color="auto"/>
              <w:right w:val="nil"/>
            </w:tcBorders>
            <w:shd w:val="clear" w:color="auto" w:fill="auto"/>
            <w:vAlign w:val="center"/>
            <w:hideMark/>
          </w:tcPr>
          <w:p w14:paraId="72DCEE0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0A56B7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518D974" w14:textId="77777777"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 xml:space="preserve">Increase </w:t>
            </w:r>
            <w:r w:rsidRPr="003E6B1E">
              <w:rPr>
                <w:rFonts w:ascii="Arial Narrow" w:hAnsi="Arial Narrow"/>
                <w:sz w:val="18"/>
                <w:szCs w:val="18"/>
                <w:lang w:val="en-GB"/>
              </w:rPr>
              <w:t>Secondary prevention of coronary artery disease</w:t>
            </w:r>
          </w:p>
        </w:tc>
        <w:tc>
          <w:tcPr>
            <w:tcW w:w="4364" w:type="dxa"/>
            <w:tcBorders>
              <w:top w:val="nil"/>
              <w:left w:val="nil"/>
              <w:bottom w:val="single" w:sz="4" w:space="0" w:color="auto"/>
              <w:right w:val="nil"/>
            </w:tcBorders>
            <w:shd w:val="clear" w:color="auto" w:fill="auto"/>
            <w:vAlign w:val="center"/>
            <w:hideMark/>
          </w:tcPr>
          <w:p w14:paraId="255AD81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Increase assessment of Cholesterol levels, reporting of smoking status, in blood pressure, prescribing of hypotensive, lipid lowering, or antiplatelet agents, </w:t>
            </w:r>
          </w:p>
        </w:tc>
        <w:tc>
          <w:tcPr>
            <w:tcW w:w="3209" w:type="dxa"/>
            <w:tcBorders>
              <w:top w:val="nil"/>
              <w:left w:val="nil"/>
              <w:bottom w:val="single" w:sz="4" w:space="0" w:color="auto"/>
              <w:right w:val="nil"/>
            </w:tcBorders>
            <w:shd w:val="clear" w:color="auto" w:fill="auto"/>
            <w:vAlign w:val="center"/>
            <w:hideMark/>
          </w:tcPr>
          <w:p w14:paraId="2921810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 nurses</w:t>
            </w:r>
          </w:p>
        </w:tc>
        <w:tc>
          <w:tcPr>
            <w:tcW w:w="709" w:type="dxa"/>
            <w:tcBorders>
              <w:top w:val="nil"/>
              <w:left w:val="nil"/>
              <w:bottom w:val="single" w:sz="4" w:space="0" w:color="auto"/>
              <w:right w:val="nil"/>
            </w:tcBorders>
            <w:shd w:val="clear" w:color="auto" w:fill="auto"/>
            <w:vAlign w:val="center"/>
            <w:hideMark/>
          </w:tcPr>
          <w:p w14:paraId="31D7DE9B"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30789CB7" w14:textId="77777777" w:rsidTr="008819CF">
        <w:trPr>
          <w:trHeight w:val="512"/>
        </w:trPr>
        <w:tc>
          <w:tcPr>
            <w:tcW w:w="1524" w:type="dxa"/>
            <w:tcBorders>
              <w:top w:val="nil"/>
              <w:left w:val="nil"/>
              <w:bottom w:val="single" w:sz="4" w:space="0" w:color="auto"/>
              <w:right w:val="nil"/>
            </w:tcBorders>
            <w:shd w:val="clear" w:color="auto" w:fill="auto"/>
            <w:vAlign w:val="center"/>
            <w:hideMark/>
          </w:tcPr>
          <w:p w14:paraId="718CA362" w14:textId="410B6EAB"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lastRenderedPageBreak/>
              <w:t>Mold</w:t>
            </w:r>
            <w:proofErr w:type="spellEnd"/>
            <w:r w:rsidRPr="003E6B1E">
              <w:rPr>
                <w:rFonts w:ascii="Arial Narrow" w:hAnsi="Arial Narrow"/>
                <w:sz w:val="18"/>
                <w:szCs w:val="18"/>
                <w:lang w:val="en-GB"/>
              </w:rPr>
              <w:t xml:space="preserve"> 2008</w:t>
            </w:r>
          </w:p>
        </w:tc>
        <w:tc>
          <w:tcPr>
            <w:tcW w:w="802" w:type="dxa"/>
            <w:tcBorders>
              <w:top w:val="nil"/>
              <w:left w:val="nil"/>
              <w:bottom w:val="single" w:sz="4" w:space="0" w:color="auto"/>
              <w:right w:val="nil"/>
            </w:tcBorders>
            <w:shd w:val="clear" w:color="auto" w:fill="auto"/>
            <w:vAlign w:val="center"/>
            <w:hideMark/>
          </w:tcPr>
          <w:p w14:paraId="3B64EB8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9AC568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537FA97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preventative services in primary care</w:t>
            </w:r>
          </w:p>
        </w:tc>
        <w:tc>
          <w:tcPr>
            <w:tcW w:w="4364" w:type="dxa"/>
            <w:tcBorders>
              <w:top w:val="nil"/>
              <w:left w:val="nil"/>
              <w:bottom w:val="single" w:sz="4" w:space="0" w:color="auto"/>
              <w:right w:val="nil"/>
            </w:tcBorders>
            <w:shd w:val="clear" w:color="auto" w:fill="auto"/>
            <w:vAlign w:val="center"/>
            <w:hideMark/>
          </w:tcPr>
          <w:p w14:paraId="63953E2D" w14:textId="75CE9FE4"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Rates in a number</w:t>
            </w:r>
            <w:r>
              <w:rPr>
                <w:rFonts w:ascii="Arial Narrow" w:hAnsi="Arial Narrow"/>
                <w:sz w:val="18"/>
                <w:szCs w:val="18"/>
                <w:lang w:val="en-GB"/>
              </w:rPr>
              <w:t xml:space="preserve"> of</w:t>
            </w:r>
            <w:r w:rsidRPr="003E6B1E">
              <w:rPr>
                <w:rFonts w:ascii="Arial Narrow" w:hAnsi="Arial Narrow"/>
                <w:sz w:val="18"/>
                <w:szCs w:val="18"/>
                <w:lang w:val="en-GB"/>
              </w:rPr>
              <w:t xml:space="preserve"> preventative services (DTaP#4, measles/mumps/rubella, HepB#3, Pneumovax, mammography, and colorectal cancer screening).</w:t>
            </w:r>
          </w:p>
        </w:tc>
        <w:tc>
          <w:tcPr>
            <w:tcW w:w="3209" w:type="dxa"/>
            <w:tcBorders>
              <w:top w:val="nil"/>
              <w:left w:val="nil"/>
              <w:bottom w:val="single" w:sz="4" w:space="0" w:color="auto"/>
              <w:right w:val="nil"/>
            </w:tcBorders>
            <w:shd w:val="clear" w:color="auto" w:fill="auto"/>
            <w:vAlign w:val="center"/>
            <w:hideMark/>
          </w:tcPr>
          <w:p w14:paraId="6F7F3F8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w:t>
            </w:r>
          </w:p>
        </w:tc>
        <w:tc>
          <w:tcPr>
            <w:tcW w:w="709" w:type="dxa"/>
            <w:tcBorders>
              <w:top w:val="nil"/>
              <w:left w:val="nil"/>
              <w:bottom w:val="single" w:sz="4" w:space="0" w:color="auto"/>
              <w:right w:val="nil"/>
            </w:tcBorders>
            <w:shd w:val="clear" w:color="auto" w:fill="auto"/>
            <w:vAlign w:val="center"/>
            <w:hideMark/>
          </w:tcPr>
          <w:p w14:paraId="6022C1FB"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73CD2C0" w14:textId="77777777" w:rsidTr="008819CF">
        <w:trPr>
          <w:trHeight w:val="450"/>
        </w:trPr>
        <w:tc>
          <w:tcPr>
            <w:tcW w:w="1524" w:type="dxa"/>
            <w:tcBorders>
              <w:top w:val="nil"/>
              <w:left w:val="nil"/>
              <w:bottom w:val="single" w:sz="4" w:space="0" w:color="auto"/>
              <w:right w:val="nil"/>
            </w:tcBorders>
            <w:shd w:val="clear" w:color="auto" w:fill="auto"/>
            <w:vAlign w:val="center"/>
            <w:hideMark/>
          </w:tcPr>
          <w:p w14:paraId="1E20ECDA" w14:textId="7B4BEA9D"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Naughton </w:t>
            </w:r>
            <w:r>
              <w:rPr>
                <w:rFonts w:ascii="Arial Narrow" w:hAnsi="Arial Narrow"/>
                <w:sz w:val="18"/>
                <w:szCs w:val="18"/>
                <w:lang w:val="en-GB"/>
              </w:rPr>
              <w:t>2</w:t>
            </w:r>
            <w:r w:rsidRPr="003E6B1E">
              <w:rPr>
                <w:rFonts w:ascii="Arial Narrow" w:hAnsi="Arial Narrow"/>
                <w:sz w:val="18"/>
                <w:szCs w:val="18"/>
                <w:lang w:val="en-GB"/>
              </w:rPr>
              <w:t>001</w:t>
            </w:r>
          </w:p>
        </w:tc>
        <w:tc>
          <w:tcPr>
            <w:tcW w:w="802" w:type="dxa"/>
            <w:tcBorders>
              <w:top w:val="nil"/>
              <w:left w:val="nil"/>
              <w:bottom w:val="single" w:sz="4" w:space="0" w:color="auto"/>
              <w:right w:val="nil"/>
            </w:tcBorders>
            <w:shd w:val="clear" w:color="auto" w:fill="auto"/>
            <w:vAlign w:val="center"/>
            <w:hideMark/>
          </w:tcPr>
          <w:p w14:paraId="702B2EE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43B3273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4AF5286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use of parenteral antibiotic for treatment of nursing home pneumonia</w:t>
            </w:r>
          </w:p>
        </w:tc>
        <w:tc>
          <w:tcPr>
            <w:tcW w:w="4364" w:type="dxa"/>
            <w:tcBorders>
              <w:top w:val="nil"/>
              <w:left w:val="nil"/>
              <w:bottom w:val="single" w:sz="4" w:space="0" w:color="auto"/>
              <w:right w:val="nil"/>
            </w:tcBorders>
            <w:shd w:val="clear" w:color="auto" w:fill="auto"/>
            <w:vAlign w:val="center"/>
            <w:hideMark/>
          </w:tcPr>
          <w:p w14:paraId="3A1BB7B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Antibiotic use at diagnosis</w:t>
            </w:r>
          </w:p>
        </w:tc>
        <w:tc>
          <w:tcPr>
            <w:tcW w:w="3209" w:type="dxa"/>
            <w:tcBorders>
              <w:top w:val="nil"/>
              <w:left w:val="nil"/>
              <w:bottom w:val="single" w:sz="4" w:space="0" w:color="auto"/>
              <w:right w:val="nil"/>
            </w:tcBorders>
            <w:shd w:val="clear" w:color="auto" w:fill="auto"/>
            <w:vAlign w:val="center"/>
            <w:hideMark/>
          </w:tcPr>
          <w:p w14:paraId="54636EB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 in 10 skilled nursing facilities in the US</w:t>
            </w:r>
          </w:p>
        </w:tc>
        <w:tc>
          <w:tcPr>
            <w:tcW w:w="709" w:type="dxa"/>
            <w:tcBorders>
              <w:top w:val="nil"/>
              <w:left w:val="nil"/>
              <w:bottom w:val="single" w:sz="4" w:space="0" w:color="auto"/>
              <w:right w:val="nil"/>
            </w:tcBorders>
            <w:shd w:val="clear" w:color="auto" w:fill="auto"/>
            <w:vAlign w:val="center"/>
            <w:hideMark/>
          </w:tcPr>
          <w:p w14:paraId="60F30CB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7EE408D3" w14:textId="77777777" w:rsidTr="008819CF">
        <w:trPr>
          <w:trHeight w:val="438"/>
        </w:trPr>
        <w:tc>
          <w:tcPr>
            <w:tcW w:w="1524" w:type="dxa"/>
            <w:tcBorders>
              <w:top w:val="nil"/>
              <w:left w:val="nil"/>
              <w:bottom w:val="single" w:sz="4" w:space="0" w:color="auto"/>
              <w:right w:val="nil"/>
            </w:tcBorders>
            <w:shd w:val="clear" w:color="auto" w:fill="auto"/>
            <w:vAlign w:val="center"/>
            <w:hideMark/>
          </w:tcPr>
          <w:p w14:paraId="236E0803" w14:textId="23206F7B"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Naughton 2007</w:t>
            </w:r>
          </w:p>
        </w:tc>
        <w:tc>
          <w:tcPr>
            <w:tcW w:w="802" w:type="dxa"/>
            <w:tcBorders>
              <w:top w:val="nil"/>
              <w:left w:val="nil"/>
              <w:bottom w:val="single" w:sz="4" w:space="0" w:color="auto"/>
              <w:right w:val="nil"/>
            </w:tcBorders>
            <w:shd w:val="clear" w:color="auto" w:fill="auto"/>
            <w:vAlign w:val="center"/>
            <w:hideMark/>
          </w:tcPr>
          <w:p w14:paraId="4F36230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AEA5F0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3C4CF5E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Prescrib</w:t>
            </w:r>
            <w:r>
              <w:rPr>
                <w:rFonts w:ascii="Arial Narrow" w:hAnsi="Arial Narrow"/>
                <w:sz w:val="18"/>
                <w:szCs w:val="18"/>
                <w:lang w:val="en-GB"/>
              </w:rPr>
              <w:t>e</w:t>
            </w:r>
            <w:r w:rsidRPr="003E6B1E">
              <w:rPr>
                <w:rFonts w:ascii="Arial Narrow" w:hAnsi="Arial Narrow"/>
                <w:sz w:val="18"/>
                <w:szCs w:val="18"/>
                <w:lang w:val="en-GB"/>
              </w:rPr>
              <w:t xml:space="preserve"> preventative cardiovascular disease therapy</w:t>
            </w:r>
          </w:p>
        </w:tc>
        <w:tc>
          <w:tcPr>
            <w:tcW w:w="4364" w:type="dxa"/>
            <w:tcBorders>
              <w:top w:val="nil"/>
              <w:left w:val="nil"/>
              <w:bottom w:val="single" w:sz="4" w:space="0" w:color="auto"/>
              <w:right w:val="nil"/>
            </w:tcBorders>
            <w:shd w:val="clear" w:color="auto" w:fill="auto"/>
            <w:vAlign w:val="center"/>
            <w:hideMark/>
          </w:tcPr>
          <w:p w14:paraId="6F8153E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prescription for patients with CVD</w:t>
            </w:r>
          </w:p>
        </w:tc>
        <w:tc>
          <w:tcPr>
            <w:tcW w:w="3209" w:type="dxa"/>
            <w:tcBorders>
              <w:top w:val="nil"/>
              <w:left w:val="nil"/>
              <w:bottom w:val="single" w:sz="4" w:space="0" w:color="auto"/>
              <w:right w:val="nil"/>
            </w:tcBorders>
            <w:shd w:val="clear" w:color="auto" w:fill="auto"/>
            <w:vAlign w:val="center"/>
            <w:hideMark/>
          </w:tcPr>
          <w:p w14:paraId="4F7DF58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39048EB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1FD8E2A1" w14:textId="77777777" w:rsidTr="008819CF">
        <w:trPr>
          <w:trHeight w:val="718"/>
        </w:trPr>
        <w:tc>
          <w:tcPr>
            <w:tcW w:w="1524" w:type="dxa"/>
            <w:tcBorders>
              <w:top w:val="nil"/>
              <w:left w:val="nil"/>
              <w:bottom w:val="single" w:sz="4" w:space="0" w:color="auto"/>
              <w:right w:val="nil"/>
            </w:tcBorders>
            <w:shd w:val="clear" w:color="auto" w:fill="auto"/>
            <w:vAlign w:val="center"/>
            <w:hideMark/>
          </w:tcPr>
          <w:p w14:paraId="0D337AA5" w14:textId="49ECA5DD"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Naughton 2009</w:t>
            </w:r>
          </w:p>
        </w:tc>
        <w:tc>
          <w:tcPr>
            <w:tcW w:w="802" w:type="dxa"/>
            <w:tcBorders>
              <w:top w:val="nil"/>
              <w:left w:val="nil"/>
              <w:bottom w:val="single" w:sz="4" w:space="0" w:color="auto"/>
              <w:right w:val="nil"/>
            </w:tcBorders>
            <w:shd w:val="clear" w:color="auto" w:fill="auto"/>
            <w:vAlign w:val="center"/>
            <w:hideMark/>
          </w:tcPr>
          <w:p w14:paraId="0AF4C65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B68B1A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A73E4D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w:t>
            </w:r>
            <w:r>
              <w:rPr>
                <w:rFonts w:ascii="Arial Narrow" w:hAnsi="Arial Narrow"/>
                <w:sz w:val="18"/>
                <w:szCs w:val="18"/>
                <w:lang w:val="en-GB"/>
              </w:rPr>
              <w:t>e</w:t>
            </w:r>
            <w:r w:rsidRPr="003E6B1E">
              <w:rPr>
                <w:rFonts w:ascii="Arial Narrow" w:hAnsi="Arial Narrow"/>
                <w:sz w:val="18"/>
                <w:szCs w:val="18"/>
                <w:lang w:val="en-GB"/>
              </w:rPr>
              <w:t>: the overall rate of antibiotic and proportion of second-line antibiotic prescribing.</w:t>
            </w:r>
          </w:p>
        </w:tc>
        <w:tc>
          <w:tcPr>
            <w:tcW w:w="4364" w:type="dxa"/>
            <w:tcBorders>
              <w:top w:val="nil"/>
              <w:left w:val="nil"/>
              <w:bottom w:val="single" w:sz="4" w:space="0" w:color="auto"/>
              <w:right w:val="nil"/>
            </w:tcBorders>
            <w:shd w:val="clear" w:color="auto" w:fill="auto"/>
            <w:vAlign w:val="center"/>
            <w:hideMark/>
          </w:tcPr>
          <w:p w14:paraId="3B1E636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Rate of prescription and proportion of second-line antibiotic prescription</w:t>
            </w:r>
          </w:p>
        </w:tc>
        <w:tc>
          <w:tcPr>
            <w:tcW w:w="3209" w:type="dxa"/>
            <w:tcBorders>
              <w:top w:val="nil"/>
              <w:left w:val="nil"/>
              <w:bottom w:val="single" w:sz="4" w:space="0" w:color="auto"/>
              <w:right w:val="nil"/>
            </w:tcBorders>
            <w:shd w:val="clear" w:color="auto" w:fill="auto"/>
            <w:vAlign w:val="center"/>
            <w:hideMark/>
          </w:tcPr>
          <w:p w14:paraId="17D8E7E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0E99081C"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361EF3D9" w14:textId="77777777" w:rsidTr="008819CF">
        <w:trPr>
          <w:trHeight w:val="711"/>
        </w:trPr>
        <w:tc>
          <w:tcPr>
            <w:tcW w:w="1524" w:type="dxa"/>
            <w:tcBorders>
              <w:top w:val="nil"/>
              <w:left w:val="nil"/>
              <w:bottom w:val="single" w:sz="4" w:space="0" w:color="auto"/>
              <w:right w:val="nil"/>
            </w:tcBorders>
            <w:shd w:val="clear" w:color="auto" w:fill="auto"/>
            <w:vAlign w:val="center"/>
            <w:hideMark/>
          </w:tcPr>
          <w:p w14:paraId="5E7B06C4" w14:textId="6183E7D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Nilsson 2001</w:t>
            </w:r>
          </w:p>
        </w:tc>
        <w:tc>
          <w:tcPr>
            <w:tcW w:w="802" w:type="dxa"/>
            <w:tcBorders>
              <w:top w:val="nil"/>
              <w:left w:val="nil"/>
              <w:bottom w:val="single" w:sz="4" w:space="0" w:color="auto"/>
              <w:right w:val="nil"/>
            </w:tcBorders>
            <w:shd w:val="clear" w:color="auto" w:fill="auto"/>
            <w:vAlign w:val="center"/>
            <w:hideMark/>
          </w:tcPr>
          <w:p w14:paraId="30BF639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395CA89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Both (multiple behaviours)</w:t>
            </w:r>
          </w:p>
        </w:tc>
        <w:tc>
          <w:tcPr>
            <w:tcW w:w="2524" w:type="dxa"/>
            <w:tcBorders>
              <w:top w:val="nil"/>
              <w:left w:val="nil"/>
              <w:bottom w:val="single" w:sz="4" w:space="0" w:color="auto"/>
              <w:right w:val="nil"/>
            </w:tcBorders>
            <w:shd w:val="clear" w:color="auto" w:fill="auto"/>
            <w:vAlign w:val="center"/>
            <w:hideMark/>
          </w:tcPr>
          <w:p w14:paraId="32BD8C8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prescribing behaviour</w:t>
            </w:r>
          </w:p>
        </w:tc>
        <w:tc>
          <w:tcPr>
            <w:tcW w:w="4364" w:type="dxa"/>
            <w:tcBorders>
              <w:top w:val="nil"/>
              <w:left w:val="nil"/>
              <w:bottom w:val="single" w:sz="4" w:space="0" w:color="auto"/>
              <w:right w:val="nil"/>
            </w:tcBorders>
            <w:shd w:val="clear" w:color="auto" w:fill="auto"/>
            <w:vAlign w:val="center"/>
            <w:hideMark/>
          </w:tcPr>
          <w:p w14:paraId="2CC56D7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Prescribing of beta-blocking agents and diuretics; increase prescribing in general and per prescription and the prescribing of H2-receptor antagonists at the expense of PPIs</w:t>
            </w:r>
          </w:p>
        </w:tc>
        <w:tc>
          <w:tcPr>
            <w:tcW w:w="3209" w:type="dxa"/>
            <w:tcBorders>
              <w:top w:val="nil"/>
              <w:left w:val="nil"/>
              <w:bottom w:val="single" w:sz="4" w:space="0" w:color="auto"/>
              <w:right w:val="nil"/>
            </w:tcBorders>
            <w:shd w:val="clear" w:color="auto" w:fill="auto"/>
            <w:vAlign w:val="center"/>
            <w:hideMark/>
          </w:tcPr>
          <w:p w14:paraId="2D0628B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2139813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0EF52D0A" w14:textId="77777777" w:rsidTr="008819CF">
        <w:trPr>
          <w:trHeight w:val="520"/>
        </w:trPr>
        <w:tc>
          <w:tcPr>
            <w:tcW w:w="1524" w:type="dxa"/>
            <w:tcBorders>
              <w:top w:val="nil"/>
              <w:left w:val="nil"/>
              <w:bottom w:val="single" w:sz="4" w:space="0" w:color="auto"/>
              <w:right w:val="nil"/>
            </w:tcBorders>
            <w:shd w:val="clear" w:color="auto" w:fill="auto"/>
            <w:vAlign w:val="center"/>
            <w:hideMark/>
          </w:tcPr>
          <w:p w14:paraId="5C7D8FA4" w14:textId="400852E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O'Connor 2009</w:t>
            </w:r>
          </w:p>
        </w:tc>
        <w:tc>
          <w:tcPr>
            <w:tcW w:w="802" w:type="dxa"/>
            <w:tcBorders>
              <w:top w:val="nil"/>
              <w:left w:val="nil"/>
              <w:bottom w:val="single" w:sz="4" w:space="0" w:color="auto"/>
              <w:right w:val="nil"/>
            </w:tcBorders>
            <w:shd w:val="clear" w:color="auto" w:fill="auto"/>
            <w:vAlign w:val="center"/>
            <w:hideMark/>
          </w:tcPr>
          <w:p w14:paraId="57FC6F2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A42011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212FBC5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safety and quality of diabetes care</w:t>
            </w:r>
          </w:p>
        </w:tc>
        <w:tc>
          <w:tcPr>
            <w:tcW w:w="4364" w:type="dxa"/>
            <w:tcBorders>
              <w:top w:val="nil"/>
              <w:left w:val="nil"/>
              <w:bottom w:val="single" w:sz="4" w:space="0" w:color="auto"/>
              <w:right w:val="nil"/>
            </w:tcBorders>
            <w:shd w:val="clear" w:color="auto" w:fill="auto"/>
            <w:vAlign w:val="center"/>
            <w:hideMark/>
          </w:tcPr>
          <w:p w14:paraId="3F596DA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A1C and LDL cholesterol testing rates</w:t>
            </w:r>
          </w:p>
        </w:tc>
        <w:tc>
          <w:tcPr>
            <w:tcW w:w="3209" w:type="dxa"/>
            <w:tcBorders>
              <w:top w:val="nil"/>
              <w:left w:val="nil"/>
              <w:bottom w:val="single" w:sz="4" w:space="0" w:color="auto"/>
              <w:right w:val="nil"/>
            </w:tcBorders>
            <w:shd w:val="clear" w:color="auto" w:fill="auto"/>
            <w:vAlign w:val="center"/>
            <w:hideMark/>
          </w:tcPr>
          <w:p w14:paraId="64CFCEB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 internists</w:t>
            </w:r>
          </w:p>
        </w:tc>
        <w:tc>
          <w:tcPr>
            <w:tcW w:w="709" w:type="dxa"/>
            <w:tcBorders>
              <w:top w:val="nil"/>
              <w:left w:val="nil"/>
              <w:bottom w:val="single" w:sz="4" w:space="0" w:color="auto"/>
              <w:right w:val="nil"/>
            </w:tcBorders>
            <w:shd w:val="clear" w:color="auto" w:fill="auto"/>
            <w:vAlign w:val="center"/>
            <w:hideMark/>
          </w:tcPr>
          <w:p w14:paraId="645E411F"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3A39C0F8" w14:textId="77777777" w:rsidTr="008819CF">
        <w:trPr>
          <w:trHeight w:val="456"/>
        </w:trPr>
        <w:tc>
          <w:tcPr>
            <w:tcW w:w="1524" w:type="dxa"/>
            <w:tcBorders>
              <w:top w:val="nil"/>
              <w:left w:val="nil"/>
              <w:bottom w:val="single" w:sz="4" w:space="0" w:color="auto"/>
              <w:right w:val="nil"/>
            </w:tcBorders>
            <w:shd w:val="clear" w:color="auto" w:fill="auto"/>
            <w:vAlign w:val="center"/>
            <w:hideMark/>
          </w:tcPr>
          <w:p w14:paraId="6ECD85E3" w14:textId="5C1B970A"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Oakeshott 1994</w:t>
            </w:r>
          </w:p>
        </w:tc>
        <w:tc>
          <w:tcPr>
            <w:tcW w:w="802" w:type="dxa"/>
            <w:tcBorders>
              <w:top w:val="nil"/>
              <w:left w:val="nil"/>
              <w:bottom w:val="single" w:sz="4" w:space="0" w:color="auto"/>
              <w:right w:val="nil"/>
            </w:tcBorders>
            <w:shd w:val="clear" w:color="auto" w:fill="auto"/>
            <w:vAlign w:val="center"/>
            <w:hideMark/>
          </w:tcPr>
          <w:p w14:paraId="5D964A9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69B7E60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EFFB73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Reduce the use of clinically unhelpful </w:t>
            </w:r>
            <w:r>
              <w:rPr>
                <w:rFonts w:ascii="Arial Narrow" w:hAnsi="Arial Narrow"/>
                <w:sz w:val="18"/>
                <w:szCs w:val="18"/>
                <w:lang w:val="en-GB"/>
              </w:rPr>
              <w:t>X-ray</w:t>
            </w:r>
            <w:r w:rsidRPr="003E6B1E">
              <w:rPr>
                <w:rFonts w:ascii="Arial Narrow" w:hAnsi="Arial Narrow"/>
                <w:sz w:val="18"/>
                <w:szCs w:val="18"/>
                <w:lang w:val="en-GB"/>
              </w:rPr>
              <w:t xml:space="preserve"> examinations.</w:t>
            </w:r>
          </w:p>
        </w:tc>
        <w:tc>
          <w:tcPr>
            <w:tcW w:w="4364" w:type="dxa"/>
            <w:tcBorders>
              <w:top w:val="nil"/>
              <w:left w:val="nil"/>
              <w:bottom w:val="single" w:sz="4" w:space="0" w:color="auto"/>
              <w:right w:val="nil"/>
            </w:tcBorders>
            <w:shd w:val="clear" w:color="auto" w:fill="auto"/>
            <w:vAlign w:val="center"/>
            <w:hideMark/>
          </w:tcPr>
          <w:p w14:paraId="43238BD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Number of </w:t>
            </w:r>
            <w:r>
              <w:rPr>
                <w:rFonts w:ascii="Arial Narrow" w:hAnsi="Arial Narrow"/>
                <w:sz w:val="18"/>
                <w:szCs w:val="18"/>
                <w:lang w:val="en-GB"/>
              </w:rPr>
              <w:t>X-ray</w:t>
            </w:r>
            <w:r w:rsidRPr="003E6B1E">
              <w:rPr>
                <w:rFonts w:ascii="Arial Narrow" w:hAnsi="Arial Narrow"/>
                <w:sz w:val="18"/>
                <w:szCs w:val="18"/>
                <w:lang w:val="en-GB"/>
              </w:rPr>
              <w:t>s requested</w:t>
            </w:r>
          </w:p>
        </w:tc>
        <w:tc>
          <w:tcPr>
            <w:tcW w:w="3209" w:type="dxa"/>
            <w:tcBorders>
              <w:top w:val="nil"/>
              <w:left w:val="nil"/>
              <w:bottom w:val="single" w:sz="4" w:space="0" w:color="auto"/>
              <w:right w:val="nil"/>
            </w:tcBorders>
            <w:shd w:val="clear" w:color="auto" w:fill="auto"/>
            <w:vAlign w:val="center"/>
            <w:hideMark/>
          </w:tcPr>
          <w:p w14:paraId="45B7D9E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General Practitioners</w:t>
            </w:r>
          </w:p>
        </w:tc>
        <w:tc>
          <w:tcPr>
            <w:tcW w:w="709" w:type="dxa"/>
            <w:tcBorders>
              <w:top w:val="nil"/>
              <w:left w:val="nil"/>
              <w:bottom w:val="single" w:sz="4" w:space="0" w:color="auto"/>
              <w:right w:val="nil"/>
            </w:tcBorders>
            <w:shd w:val="clear" w:color="auto" w:fill="auto"/>
            <w:vAlign w:val="center"/>
            <w:hideMark/>
          </w:tcPr>
          <w:p w14:paraId="5B5A81FD"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B48E414" w14:textId="77777777" w:rsidTr="00ED614F">
        <w:trPr>
          <w:trHeight w:val="241"/>
        </w:trPr>
        <w:tc>
          <w:tcPr>
            <w:tcW w:w="1524" w:type="dxa"/>
            <w:tcBorders>
              <w:top w:val="nil"/>
              <w:left w:val="nil"/>
              <w:bottom w:val="single" w:sz="4" w:space="0" w:color="auto"/>
              <w:right w:val="nil"/>
            </w:tcBorders>
            <w:shd w:val="clear" w:color="auto" w:fill="auto"/>
            <w:vAlign w:val="center"/>
            <w:hideMark/>
          </w:tcPr>
          <w:p w14:paraId="54ACBFD0" w14:textId="2357B026"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Oosterheert 2005</w:t>
            </w:r>
          </w:p>
        </w:tc>
        <w:tc>
          <w:tcPr>
            <w:tcW w:w="802" w:type="dxa"/>
            <w:tcBorders>
              <w:top w:val="nil"/>
              <w:left w:val="nil"/>
              <w:bottom w:val="single" w:sz="4" w:space="0" w:color="auto"/>
              <w:right w:val="nil"/>
            </w:tcBorders>
            <w:shd w:val="clear" w:color="auto" w:fill="auto"/>
            <w:vAlign w:val="center"/>
            <w:hideMark/>
          </w:tcPr>
          <w:p w14:paraId="0247609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0752168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73378C1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unnecessary antibiotic use</w:t>
            </w:r>
          </w:p>
        </w:tc>
        <w:tc>
          <w:tcPr>
            <w:tcW w:w="4364" w:type="dxa"/>
            <w:tcBorders>
              <w:top w:val="nil"/>
              <w:left w:val="nil"/>
              <w:bottom w:val="single" w:sz="4" w:space="0" w:color="auto"/>
              <w:right w:val="nil"/>
            </w:tcBorders>
            <w:shd w:val="clear" w:color="auto" w:fill="auto"/>
            <w:vAlign w:val="center"/>
            <w:hideMark/>
          </w:tcPr>
          <w:p w14:paraId="35073F8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Duration of treatment (days)</w:t>
            </w:r>
          </w:p>
        </w:tc>
        <w:tc>
          <w:tcPr>
            <w:tcW w:w="3209" w:type="dxa"/>
            <w:tcBorders>
              <w:top w:val="nil"/>
              <w:left w:val="nil"/>
              <w:bottom w:val="single" w:sz="4" w:space="0" w:color="auto"/>
              <w:right w:val="nil"/>
            </w:tcBorders>
            <w:shd w:val="clear" w:color="auto" w:fill="auto"/>
            <w:vAlign w:val="center"/>
            <w:hideMark/>
          </w:tcPr>
          <w:p w14:paraId="721C99C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 in a university hospital in the Netherlands</w:t>
            </w:r>
          </w:p>
        </w:tc>
        <w:tc>
          <w:tcPr>
            <w:tcW w:w="709" w:type="dxa"/>
            <w:tcBorders>
              <w:top w:val="nil"/>
              <w:left w:val="nil"/>
              <w:bottom w:val="single" w:sz="4" w:space="0" w:color="auto"/>
              <w:right w:val="nil"/>
            </w:tcBorders>
            <w:shd w:val="clear" w:color="auto" w:fill="auto"/>
            <w:vAlign w:val="center"/>
            <w:hideMark/>
          </w:tcPr>
          <w:p w14:paraId="23BB80C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276BA156" w14:textId="77777777" w:rsidTr="008819CF">
        <w:trPr>
          <w:trHeight w:val="1550"/>
        </w:trPr>
        <w:tc>
          <w:tcPr>
            <w:tcW w:w="1524" w:type="dxa"/>
            <w:tcBorders>
              <w:top w:val="nil"/>
              <w:left w:val="nil"/>
              <w:bottom w:val="single" w:sz="4" w:space="0" w:color="auto"/>
              <w:right w:val="nil"/>
            </w:tcBorders>
            <w:shd w:val="clear" w:color="auto" w:fill="auto"/>
            <w:vAlign w:val="center"/>
            <w:hideMark/>
          </w:tcPr>
          <w:p w14:paraId="6662C887" w14:textId="5AB6D558"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Palmer 1985</w:t>
            </w:r>
          </w:p>
        </w:tc>
        <w:tc>
          <w:tcPr>
            <w:tcW w:w="802" w:type="dxa"/>
            <w:tcBorders>
              <w:top w:val="nil"/>
              <w:left w:val="nil"/>
              <w:bottom w:val="single" w:sz="4" w:space="0" w:color="auto"/>
              <w:right w:val="nil"/>
            </w:tcBorders>
            <w:shd w:val="clear" w:color="auto" w:fill="auto"/>
            <w:vAlign w:val="center"/>
            <w:hideMark/>
          </w:tcPr>
          <w:p w14:paraId="76B3C73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9EEA9E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3F9C93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care for 4 medical, 4 paediatric tasks</w:t>
            </w:r>
          </w:p>
        </w:tc>
        <w:tc>
          <w:tcPr>
            <w:tcW w:w="4364" w:type="dxa"/>
            <w:tcBorders>
              <w:top w:val="nil"/>
              <w:left w:val="nil"/>
              <w:bottom w:val="single" w:sz="4" w:space="0" w:color="auto"/>
              <w:right w:val="nil"/>
            </w:tcBorders>
            <w:shd w:val="clear" w:color="auto" w:fill="auto"/>
            <w:vAlign w:val="center"/>
            <w:hideMark/>
          </w:tcPr>
          <w:p w14:paraId="20A9B80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Follow-up of a new finding of a </w:t>
            </w:r>
            <w:proofErr w:type="spellStart"/>
            <w:r w:rsidRPr="003E6B1E">
              <w:rPr>
                <w:rFonts w:ascii="Arial Narrow" w:hAnsi="Arial Narrow"/>
                <w:sz w:val="18"/>
                <w:szCs w:val="18"/>
                <w:lang w:val="en-GB"/>
              </w:rPr>
              <w:t>hematocrit</w:t>
            </w:r>
            <w:proofErr w:type="spellEnd"/>
            <w:r w:rsidRPr="003E6B1E">
              <w:rPr>
                <w:rFonts w:ascii="Arial Narrow" w:hAnsi="Arial Narrow"/>
                <w:sz w:val="18"/>
                <w:szCs w:val="18"/>
                <w:lang w:val="en-GB"/>
              </w:rPr>
              <w:t xml:space="preserve"> of 34 or less in women and 38 or less in men; Performance of annual Pap smears and breast examinations; Follow-up of serum glucose of 200 mg/dl or more in adults; Monitoring of adult patients on digoxin; Follow-up of a new finding of a positive urine culture in children 6 months to 16 years of age; Compliance with selected well childcare standards of the American Academy of Paediatrics; Assessment of the risk of dehydration; follow-up of children 8 years of age and younger to detect resolution of middle ear effusion in an episode of otitis media</w:t>
            </w:r>
          </w:p>
        </w:tc>
        <w:tc>
          <w:tcPr>
            <w:tcW w:w="3209" w:type="dxa"/>
            <w:tcBorders>
              <w:top w:val="nil"/>
              <w:left w:val="nil"/>
              <w:bottom w:val="single" w:sz="4" w:space="0" w:color="auto"/>
              <w:right w:val="nil"/>
            </w:tcBorders>
            <w:shd w:val="clear" w:color="auto" w:fill="auto"/>
            <w:vAlign w:val="center"/>
            <w:hideMark/>
          </w:tcPr>
          <w:p w14:paraId="2A048A2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Internist / paediatricians</w:t>
            </w:r>
          </w:p>
        </w:tc>
        <w:tc>
          <w:tcPr>
            <w:tcW w:w="709" w:type="dxa"/>
            <w:tcBorders>
              <w:top w:val="nil"/>
              <w:left w:val="nil"/>
              <w:bottom w:val="single" w:sz="4" w:space="0" w:color="auto"/>
              <w:right w:val="nil"/>
            </w:tcBorders>
            <w:shd w:val="clear" w:color="auto" w:fill="auto"/>
            <w:vAlign w:val="center"/>
            <w:hideMark/>
          </w:tcPr>
          <w:p w14:paraId="5F71AFA1"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02A8285E" w14:textId="77777777" w:rsidTr="008819CF">
        <w:trPr>
          <w:trHeight w:val="181"/>
        </w:trPr>
        <w:tc>
          <w:tcPr>
            <w:tcW w:w="1524" w:type="dxa"/>
            <w:tcBorders>
              <w:top w:val="nil"/>
              <w:left w:val="nil"/>
              <w:bottom w:val="single" w:sz="4" w:space="0" w:color="auto"/>
              <w:right w:val="nil"/>
            </w:tcBorders>
            <w:shd w:val="clear" w:color="auto" w:fill="auto"/>
            <w:vAlign w:val="center"/>
            <w:hideMark/>
          </w:tcPr>
          <w:p w14:paraId="67191EA8" w14:textId="11CA69EB"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Patel 1989</w:t>
            </w:r>
          </w:p>
        </w:tc>
        <w:tc>
          <w:tcPr>
            <w:tcW w:w="802" w:type="dxa"/>
            <w:tcBorders>
              <w:top w:val="nil"/>
              <w:left w:val="nil"/>
              <w:bottom w:val="single" w:sz="4" w:space="0" w:color="auto"/>
              <w:right w:val="nil"/>
            </w:tcBorders>
            <w:shd w:val="clear" w:color="auto" w:fill="auto"/>
            <w:vAlign w:val="center"/>
            <w:hideMark/>
          </w:tcPr>
          <w:p w14:paraId="49B9F8A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7E84446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3401BC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Reduce </w:t>
            </w:r>
            <w:proofErr w:type="spellStart"/>
            <w:r w:rsidRPr="003E6B1E">
              <w:rPr>
                <w:rFonts w:ascii="Arial Narrow" w:hAnsi="Arial Narrow"/>
                <w:sz w:val="18"/>
                <w:szCs w:val="18"/>
                <w:lang w:val="en-GB"/>
              </w:rPr>
              <w:t>augmentin</w:t>
            </w:r>
            <w:proofErr w:type="spellEnd"/>
            <w:r w:rsidRPr="003E6B1E">
              <w:rPr>
                <w:rFonts w:ascii="Arial Narrow" w:hAnsi="Arial Narrow"/>
                <w:sz w:val="18"/>
                <w:szCs w:val="18"/>
                <w:lang w:val="en-GB"/>
              </w:rPr>
              <w:t xml:space="preserve"> antibiotics</w:t>
            </w:r>
          </w:p>
        </w:tc>
        <w:tc>
          <w:tcPr>
            <w:tcW w:w="4364" w:type="dxa"/>
            <w:tcBorders>
              <w:top w:val="nil"/>
              <w:left w:val="nil"/>
              <w:bottom w:val="single" w:sz="4" w:space="0" w:color="auto"/>
              <w:right w:val="nil"/>
            </w:tcBorders>
            <w:shd w:val="clear" w:color="auto" w:fill="auto"/>
            <w:vAlign w:val="center"/>
            <w:hideMark/>
          </w:tcPr>
          <w:p w14:paraId="3D7743F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Expenditure of oral co-amoxiclav.</w:t>
            </w:r>
          </w:p>
        </w:tc>
        <w:tc>
          <w:tcPr>
            <w:tcW w:w="3209" w:type="dxa"/>
            <w:tcBorders>
              <w:top w:val="nil"/>
              <w:left w:val="nil"/>
              <w:bottom w:val="single" w:sz="4" w:space="0" w:color="auto"/>
              <w:right w:val="nil"/>
            </w:tcBorders>
            <w:shd w:val="clear" w:color="auto" w:fill="auto"/>
            <w:vAlign w:val="center"/>
            <w:hideMark/>
          </w:tcPr>
          <w:p w14:paraId="23763E6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Hospital Physicians</w:t>
            </w:r>
          </w:p>
        </w:tc>
        <w:tc>
          <w:tcPr>
            <w:tcW w:w="709" w:type="dxa"/>
            <w:tcBorders>
              <w:top w:val="nil"/>
              <w:left w:val="nil"/>
              <w:bottom w:val="single" w:sz="4" w:space="0" w:color="auto"/>
              <w:right w:val="nil"/>
            </w:tcBorders>
            <w:shd w:val="clear" w:color="auto" w:fill="auto"/>
            <w:vAlign w:val="center"/>
            <w:hideMark/>
          </w:tcPr>
          <w:p w14:paraId="359DD2A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11307965" w14:textId="77777777" w:rsidTr="00ED614F">
        <w:trPr>
          <w:trHeight w:val="380"/>
        </w:trPr>
        <w:tc>
          <w:tcPr>
            <w:tcW w:w="1524" w:type="dxa"/>
            <w:tcBorders>
              <w:top w:val="nil"/>
              <w:left w:val="nil"/>
              <w:bottom w:val="single" w:sz="4" w:space="0" w:color="auto"/>
              <w:right w:val="nil"/>
            </w:tcBorders>
            <w:shd w:val="clear" w:color="auto" w:fill="auto"/>
            <w:vAlign w:val="center"/>
            <w:hideMark/>
          </w:tcPr>
          <w:p w14:paraId="082158BF" w14:textId="0C606F61"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Paul 2006</w:t>
            </w:r>
          </w:p>
        </w:tc>
        <w:tc>
          <w:tcPr>
            <w:tcW w:w="802" w:type="dxa"/>
            <w:tcBorders>
              <w:top w:val="nil"/>
              <w:left w:val="nil"/>
              <w:bottom w:val="single" w:sz="4" w:space="0" w:color="auto"/>
              <w:right w:val="nil"/>
            </w:tcBorders>
            <w:shd w:val="clear" w:color="auto" w:fill="auto"/>
            <w:vAlign w:val="center"/>
            <w:hideMark/>
          </w:tcPr>
          <w:p w14:paraId="02564C8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43C2261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A3CB34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Reduce inappropriate antibiotic use </w:t>
            </w:r>
          </w:p>
        </w:tc>
        <w:tc>
          <w:tcPr>
            <w:tcW w:w="4364" w:type="dxa"/>
            <w:tcBorders>
              <w:top w:val="nil"/>
              <w:left w:val="nil"/>
              <w:bottom w:val="single" w:sz="4" w:space="0" w:color="auto"/>
              <w:right w:val="nil"/>
            </w:tcBorders>
            <w:shd w:val="clear" w:color="auto" w:fill="auto"/>
            <w:vAlign w:val="center"/>
            <w:hideMark/>
          </w:tcPr>
          <w:p w14:paraId="55B7849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Appropriate antibiotic treatment, was assessed among patients with microbiologically documented infections (MDI</w:t>
            </w:r>
            <w:proofErr w:type="gramStart"/>
            <w:r w:rsidRPr="003E6B1E">
              <w:rPr>
                <w:rFonts w:ascii="Arial Narrow" w:hAnsi="Arial Narrow"/>
                <w:sz w:val="18"/>
                <w:szCs w:val="18"/>
                <w:lang w:val="en-GB"/>
              </w:rPr>
              <w:t>)..</w:t>
            </w:r>
            <w:proofErr w:type="gramEnd"/>
          </w:p>
        </w:tc>
        <w:tc>
          <w:tcPr>
            <w:tcW w:w="3209" w:type="dxa"/>
            <w:tcBorders>
              <w:top w:val="nil"/>
              <w:left w:val="nil"/>
              <w:bottom w:val="single" w:sz="4" w:space="0" w:color="auto"/>
              <w:right w:val="nil"/>
            </w:tcBorders>
            <w:shd w:val="clear" w:color="auto" w:fill="auto"/>
            <w:vAlign w:val="center"/>
            <w:hideMark/>
          </w:tcPr>
          <w:p w14:paraId="7C6652B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 in hospitals in Israel, Germany and Italy</w:t>
            </w:r>
          </w:p>
        </w:tc>
        <w:tc>
          <w:tcPr>
            <w:tcW w:w="709" w:type="dxa"/>
            <w:tcBorders>
              <w:top w:val="nil"/>
              <w:left w:val="nil"/>
              <w:bottom w:val="single" w:sz="4" w:space="0" w:color="auto"/>
              <w:right w:val="nil"/>
            </w:tcBorders>
            <w:shd w:val="clear" w:color="auto" w:fill="auto"/>
            <w:vAlign w:val="center"/>
            <w:hideMark/>
          </w:tcPr>
          <w:p w14:paraId="0630977E"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2EEA95ED" w14:textId="77777777" w:rsidTr="00ED614F">
        <w:trPr>
          <w:trHeight w:val="247"/>
        </w:trPr>
        <w:tc>
          <w:tcPr>
            <w:tcW w:w="1524" w:type="dxa"/>
            <w:tcBorders>
              <w:top w:val="nil"/>
              <w:left w:val="nil"/>
              <w:bottom w:val="single" w:sz="4" w:space="0" w:color="auto"/>
              <w:right w:val="nil"/>
            </w:tcBorders>
            <w:shd w:val="clear" w:color="auto" w:fill="auto"/>
            <w:vAlign w:val="center"/>
            <w:hideMark/>
          </w:tcPr>
          <w:p w14:paraId="0BADC926" w14:textId="0EF0F609"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Pear 1994</w:t>
            </w:r>
          </w:p>
        </w:tc>
        <w:tc>
          <w:tcPr>
            <w:tcW w:w="802" w:type="dxa"/>
            <w:tcBorders>
              <w:top w:val="nil"/>
              <w:left w:val="nil"/>
              <w:bottom w:val="single" w:sz="4" w:space="0" w:color="auto"/>
              <w:right w:val="nil"/>
            </w:tcBorders>
            <w:shd w:val="clear" w:color="auto" w:fill="auto"/>
            <w:vAlign w:val="center"/>
            <w:hideMark/>
          </w:tcPr>
          <w:p w14:paraId="250A65C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1AEFA59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76B055F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use of clindamycin</w:t>
            </w:r>
          </w:p>
        </w:tc>
        <w:tc>
          <w:tcPr>
            <w:tcW w:w="4364" w:type="dxa"/>
            <w:tcBorders>
              <w:top w:val="nil"/>
              <w:left w:val="nil"/>
              <w:bottom w:val="single" w:sz="4" w:space="0" w:color="auto"/>
              <w:right w:val="nil"/>
            </w:tcBorders>
            <w:shd w:val="clear" w:color="auto" w:fill="auto"/>
            <w:vAlign w:val="center"/>
            <w:hideMark/>
          </w:tcPr>
          <w:p w14:paraId="65DEC2D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Cases of </w:t>
            </w:r>
            <w:r w:rsidRPr="003E6B1E">
              <w:rPr>
                <w:rFonts w:ascii="Arial Narrow" w:hAnsi="Arial Narrow"/>
                <w:i/>
                <w:iCs/>
                <w:sz w:val="18"/>
                <w:szCs w:val="18"/>
                <w:lang w:val="en-GB"/>
              </w:rPr>
              <w:t>C. dif</w:t>
            </w:r>
            <w:r w:rsidRPr="003E6B1E">
              <w:rPr>
                <w:rFonts w:ascii="Arial Narrow" w:hAnsi="Arial Narrow"/>
                <w:sz w:val="18"/>
                <w:szCs w:val="18"/>
                <w:lang w:val="en-GB"/>
              </w:rPr>
              <w:t xml:space="preserve">. associated diarrhoea; Prevalence of clindamycin-resistant </w:t>
            </w:r>
            <w:r w:rsidRPr="003E6B1E">
              <w:rPr>
                <w:rFonts w:ascii="Arial Narrow" w:hAnsi="Arial Narrow"/>
                <w:i/>
                <w:iCs/>
                <w:sz w:val="18"/>
                <w:szCs w:val="18"/>
                <w:lang w:val="en-GB"/>
              </w:rPr>
              <w:t>C. dif</w:t>
            </w:r>
            <w:r w:rsidRPr="003E6B1E">
              <w:rPr>
                <w:rFonts w:ascii="Arial Narrow" w:hAnsi="Arial Narrow"/>
                <w:sz w:val="18"/>
                <w:szCs w:val="18"/>
                <w:lang w:val="en-GB"/>
              </w:rPr>
              <w:t xml:space="preserve">. </w:t>
            </w:r>
          </w:p>
        </w:tc>
        <w:tc>
          <w:tcPr>
            <w:tcW w:w="3209" w:type="dxa"/>
            <w:tcBorders>
              <w:top w:val="nil"/>
              <w:left w:val="nil"/>
              <w:bottom w:val="single" w:sz="4" w:space="0" w:color="auto"/>
              <w:right w:val="nil"/>
            </w:tcBorders>
            <w:shd w:val="clear" w:color="auto" w:fill="auto"/>
            <w:vAlign w:val="center"/>
            <w:hideMark/>
          </w:tcPr>
          <w:p w14:paraId="2DE5915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hospital</w:t>
            </w:r>
          </w:p>
        </w:tc>
        <w:tc>
          <w:tcPr>
            <w:tcW w:w="709" w:type="dxa"/>
            <w:tcBorders>
              <w:top w:val="nil"/>
              <w:left w:val="nil"/>
              <w:bottom w:val="single" w:sz="4" w:space="0" w:color="auto"/>
              <w:right w:val="nil"/>
            </w:tcBorders>
            <w:shd w:val="clear" w:color="auto" w:fill="auto"/>
            <w:vAlign w:val="center"/>
            <w:hideMark/>
          </w:tcPr>
          <w:p w14:paraId="7EBCE00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01AF5F40" w14:textId="77777777" w:rsidTr="00ED614F">
        <w:trPr>
          <w:trHeight w:val="282"/>
        </w:trPr>
        <w:tc>
          <w:tcPr>
            <w:tcW w:w="1524" w:type="dxa"/>
            <w:tcBorders>
              <w:top w:val="nil"/>
              <w:left w:val="nil"/>
              <w:bottom w:val="single" w:sz="4" w:space="0" w:color="auto"/>
              <w:right w:val="nil"/>
            </w:tcBorders>
            <w:shd w:val="clear" w:color="auto" w:fill="auto"/>
            <w:vAlign w:val="center"/>
            <w:hideMark/>
          </w:tcPr>
          <w:p w14:paraId="78867FD5" w14:textId="3089CAC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Perez 2003</w:t>
            </w:r>
          </w:p>
        </w:tc>
        <w:tc>
          <w:tcPr>
            <w:tcW w:w="802" w:type="dxa"/>
            <w:tcBorders>
              <w:top w:val="nil"/>
              <w:left w:val="nil"/>
              <w:bottom w:val="single" w:sz="4" w:space="0" w:color="auto"/>
              <w:right w:val="nil"/>
            </w:tcBorders>
            <w:shd w:val="clear" w:color="auto" w:fill="auto"/>
            <w:vAlign w:val="center"/>
            <w:hideMark/>
          </w:tcPr>
          <w:p w14:paraId="5AE30D4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53825E2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B62B87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incorrect prescribing of antibiotics</w:t>
            </w:r>
          </w:p>
        </w:tc>
        <w:tc>
          <w:tcPr>
            <w:tcW w:w="4364" w:type="dxa"/>
            <w:tcBorders>
              <w:top w:val="nil"/>
              <w:left w:val="nil"/>
              <w:bottom w:val="single" w:sz="4" w:space="0" w:color="auto"/>
              <w:right w:val="nil"/>
            </w:tcBorders>
            <w:shd w:val="clear" w:color="auto" w:fill="auto"/>
            <w:vAlign w:val="center"/>
            <w:hideMark/>
          </w:tcPr>
          <w:p w14:paraId="254B6CD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Rate of incorrect prescriptions</w:t>
            </w:r>
          </w:p>
        </w:tc>
        <w:tc>
          <w:tcPr>
            <w:tcW w:w="3209" w:type="dxa"/>
            <w:tcBorders>
              <w:top w:val="nil"/>
              <w:left w:val="nil"/>
              <w:bottom w:val="single" w:sz="4" w:space="0" w:color="auto"/>
              <w:right w:val="nil"/>
            </w:tcBorders>
            <w:shd w:val="clear" w:color="auto" w:fill="auto"/>
            <w:vAlign w:val="center"/>
            <w:hideMark/>
          </w:tcPr>
          <w:p w14:paraId="599B7C7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surgeons, paediatricians, obstetricians-gynaecologists and intensivists</w:t>
            </w:r>
          </w:p>
        </w:tc>
        <w:tc>
          <w:tcPr>
            <w:tcW w:w="709" w:type="dxa"/>
            <w:tcBorders>
              <w:top w:val="nil"/>
              <w:left w:val="nil"/>
              <w:bottom w:val="single" w:sz="4" w:space="0" w:color="auto"/>
              <w:right w:val="nil"/>
            </w:tcBorders>
            <w:shd w:val="clear" w:color="auto" w:fill="auto"/>
            <w:vAlign w:val="center"/>
            <w:hideMark/>
          </w:tcPr>
          <w:p w14:paraId="3BAD47F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43C95557" w14:textId="77777777" w:rsidTr="00ED614F">
        <w:trPr>
          <w:trHeight w:val="279"/>
        </w:trPr>
        <w:tc>
          <w:tcPr>
            <w:tcW w:w="1524" w:type="dxa"/>
            <w:tcBorders>
              <w:top w:val="nil"/>
              <w:left w:val="nil"/>
              <w:bottom w:val="single" w:sz="4" w:space="0" w:color="auto"/>
              <w:right w:val="nil"/>
            </w:tcBorders>
            <w:shd w:val="clear" w:color="auto" w:fill="auto"/>
            <w:vAlign w:val="center"/>
            <w:hideMark/>
          </w:tcPr>
          <w:p w14:paraId="3FE5BF6A" w14:textId="0D707544"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Pimlott 2003</w:t>
            </w:r>
          </w:p>
        </w:tc>
        <w:tc>
          <w:tcPr>
            <w:tcW w:w="802" w:type="dxa"/>
            <w:tcBorders>
              <w:top w:val="nil"/>
              <w:left w:val="nil"/>
              <w:bottom w:val="single" w:sz="4" w:space="0" w:color="auto"/>
              <w:right w:val="nil"/>
            </w:tcBorders>
            <w:shd w:val="clear" w:color="auto" w:fill="auto"/>
            <w:vAlign w:val="center"/>
            <w:hideMark/>
          </w:tcPr>
          <w:p w14:paraId="6BED22F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3627BC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743431E0" w14:textId="3381D594" w:rsidR="0098086A" w:rsidRPr="003E6B1E" w:rsidRDefault="0098086A" w:rsidP="00EF107A">
            <w:pPr>
              <w:spacing w:line="240" w:lineRule="auto"/>
              <w:rPr>
                <w:rFonts w:ascii="Arial Narrow" w:hAnsi="Arial Narrow"/>
                <w:sz w:val="18"/>
                <w:szCs w:val="18"/>
                <w:lang w:val="en-GB"/>
              </w:rPr>
            </w:pPr>
            <w:r>
              <w:rPr>
                <w:rFonts w:ascii="Arial Narrow" w:hAnsi="Arial Narrow"/>
                <w:sz w:val="18"/>
                <w:szCs w:val="18"/>
                <w:lang w:val="en-GB"/>
              </w:rPr>
              <w:t>P</w:t>
            </w:r>
            <w:r w:rsidRPr="003E6B1E">
              <w:rPr>
                <w:rFonts w:ascii="Arial Narrow" w:hAnsi="Arial Narrow"/>
                <w:sz w:val="18"/>
                <w:szCs w:val="18"/>
                <w:lang w:val="en-GB"/>
              </w:rPr>
              <w:t>rescrib</w:t>
            </w:r>
            <w:r>
              <w:rPr>
                <w:rFonts w:ascii="Arial Narrow" w:hAnsi="Arial Narrow"/>
                <w:sz w:val="18"/>
                <w:szCs w:val="18"/>
                <w:lang w:val="en-GB"/>
              </w:rPr>
              <w:t>e</w:t>
            </w:r>
            <w:r w:rsidRPr="003E6B1E">
              <w:rPr>
                <w:rFonts w:ascii="Arial Narrow" w:hAnsi="Arial Narrow"/>
                <w:sz w:val="18"/>
                <w:szCs w:val="18"/>
                <w:lang w:val="en-GB"/>
              </w:rPr>
              <w:t xml:space="preserve"> of </w:t>
            </w:r>
            <w:r>
              <w:rPr>
                <w:rFonts w:ascii="Arial Narrow" w:hAnsi="Arial Narrow"/>
                <w:sz w:val="18"/>
                <w:szCs w:val="18"/>
                <w:lang w:val="en-GB"/>
              </w:rPr>
              <w:t>benzo</w:t>
            </w:r>
            <w:r w:rsidRPr="003E6B1E">
              <w:rPr>
                <w:rFonts w:ascii="Arial Narrow" w:hAnsi="Arial Narrow"/>
                <w:sz w:val="18"/>
                <w:szCs w:val="18"/>
                <w:lang w:val="en-GB"/>
              </w:rPr>
              <w:t>diazepines</w:t>
            </w:r>
            <w:r>
              <w:rPr>
                <w:rFonts w:ascii="Arial Narrow" w:hAnsi="Arial Narrow"/>
                <w:sz w:val="18"/>
                <w:szCs w:val="18"/>
                <w:lang w:val="en-GB"/>
              </w:rPr>
              <w:t xml:space="preserve"> a</w:t>
            </w:r>
            <w:r w:rsidRPr="003E6B1E">
              <w:rPr>
                <w:rFonts w:ascii="Arial Narrow" w:hAnsi="Arial Narrow"/>
                <w:sz w:val="18"/>
                <w:szCs w:val="18"/>
                <w:lang w:val="en-GB"/>
              </w:rPr>
              <w:t>ppropriate</w:t>
            </w:r>
            <w:r>
              <w:rPr>
                <w:rFonts w:ascii="Arial Narrow" w:hAnsi="Arial Narrow"/>
                <w:sz w:val="18"/>
                <w:szCs w:val="18"/>
                <w:lang w:val="en-GB"/>
              </w:rPr>
              <w:t>ly</w:t>
            </w:r>
            <w:r w:rsidRPr="003E6B1E">
              <w:rPr>
                <w:rFonts w:ascii="Arial Narrow" w:hAnsi="Arial Narrow"/>
                <w:sz w:val="18"/>
                <w:szCs w:val="18"/>
                <w:lang w:val="en-GB"/>
              </w:rPr>
              <w:t xml:space="preserve"> to elderly patients </w:t>
            </w:r>
          </w:p>
        </w:tc>
        <w:tc>
          <w:tcPr>
            <w:tcW w:w="4364" w:type="dxa"/>
            <w:tcBorders>
              <w:top w:val="nil"/>
              <w:left w:val="nil"/>
              <w:bottom w:val="single" w:sz="4" w:space="0" w:color="auto"/>
              <w:right w:val="nil"/>
            </w:tcBorders>
            <w:shd w:val="clear" w:color="auto" w:fill="auto"/>
            <w:vAlign w:val="center"/>
            <w:hideMark/>
          </w:tcPr>
          <w:p w14:paraId="116A466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Reduction in long acting </w:t>
            </w:r>
            <w:r>
              <w:rPr>
                <w:rFonts w:ascii="Arial Narrow" w:hAnsi="Arial Narrow"/>
                <w:sz w:val="18"/>
                <w:szCs w:val="18"/>
                <w:lang w:val="en-GB"/>
              </w:rPr>
              <w:t>benzo</w:t>
            </w:r>
            <w:r w:rsidRPr="003E6B1E">
              <w:rPr>
                <w:rFonts w:ascii="Arial Narrow" w:hAnsi="Arial Narrow"/>
                <w:sz w:val="18"/>
                <w:szCs w:val="18"/>
                <w:lang w:val="en-GB"/>
              </w:rPr>
              <w:t>diazepine prescriptions for elderly patients</w:t>
            </w:r>
          </w:p>
        </w:tc>
        <w:tc>
          <w:tcPr>
            <w:tcW w:w="3209" w:type="dxa"/>
            <w:tcBorders>
              <w:top w:val="nil"/>
              <w:left w:val="nil"/>
              <w:bottom w:val="single" w:sz="4" w:space="0" w:color="auto"/>
              <w:right w:val="nil"/>
            </w:tcBorders>
            <w:shd w:val="clear" w:color="auto" w:fill="auto"/>
            <w:vAlign w:val="center"/>
            <w:hideMark/>
          </w:tcPr>
          <w:p w14:paraId="351AAF3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01D78300"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FF9BF31" w14:textId="77777777" w:rsidTr="008819CF">
        <w:trPr>
          <w:trHeight w:val="237"/>
        </w:trPr>
        <w:tc>
          <w:tcPr>
            <w:tcW w:w="1524" w:type="dxa"/>
            <w:tcBorders>
              <w:top w:val="nil"/>
              <w:left w:val="nil"/>
              <w:bottom w:val="single" w:sz="4" w:space="0" w:color="auto"/>
              <w:right w:val="nil"/>
            </w:tcBorders>
            <w:shd w:val="clear" w:color="auto" w:fill="auto"/>
            <w:vAlign w:val="center"/>
            <w:hideMark/>
          </w:tcPr>
          <w:p w14:paraId="1DDBC93F" w14:textId="60D3AC32"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Prihar 2008</w:t>
            </w:r>
          </w:p>
        </w:tc>
        <w:tc>
          <w:tcPr>
            <w:tcW w:w="802" w:type="dxa"/>
            <w:tcBorders>
              <w:top w:val="nil"/>
              <w:left w:val="nil"/>
              <w:bottom w:val="single" w:sz="4" w:space="0" w:color="auto"/>
              <w:right w:val="nil"/>
            </w:tcBorders>
            <w:shd w:val="clear" w:color="auto" w:fill="auto"/>
            <w:vAlign w:val="center"/>
            <w:hideMark/>
          </w:tcPr>
          <w:p w14:paraId="13C429D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6784E5A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706C2B3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BMD screening in women over 65</w:t>
            </w:r>
          </w:p>
        </w:tc>
        <w:tc>
          <w:tcPr>
            <w:tcW w:w="4364" w:type="dxa"/>
            <w:tcBorders>
              <w:top w:val="nil"/>
              <w:left w:val="nil"/>
              <w:bottom w:val="single" w:sz="4" w:space="0" w:color="auto"/>
              <w:right w:val="nil"/>
            </w:tcBorders>
            <w:shd w:val="clear" w:color="auto" w:fill="auto"/>
            <w:vAlign w:val="center"/>
            <w:hideMark/>
          </w:tcPr>
          <w:p w14:paraId="00C393A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BMD screening rates</w:t>
            </w:r>
          </w:p>
        </w:tc>
        <w:tc>
          <w:tcPr>
            <w:tcW w:w="3209" w:type="dxa"/>
            <w:tcBorders>
              <w:top w:val="nil"/>
              <w:left w:val="nil"/>
              <w:bottom w:val="single" w:sz="4" w:space="0" w:color="auto"/>
              <w:right w:val="nil"/>
            </w:tcBorders>
            <w:shd w:val="clear" w:color="auto" w:fill="auto"/>
            <w:vAlign w:val="center"/>
            <w:hideMark/>
          </w:tcPr>
          <w:p w14:paraId="6A038AF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Residents in academic internal medicine clinics</w:t>
            </w:r>
          </w:p>
        </w:tc>
        <w:tc>
          <w:tcPr>
            <w:tcW w:w="709" w:type="dxa"/>
            <w:tcBorders>
              <w:top w:val="nil"/>
              <w:left w:val="nil"/>
              <w:bottom w:val="single" w:sz="4" w:space="0" w:color="auto"/>
              <w:right w:val="nil"/>
            </w:tcBorders>
            <w:shd w:val="clear" w:color="auto" w:fill="auto"/>
            <w:vAlign w:val="center"/>
            <w:hideMark/>
          </w:tcPr>
          <w:p w14:paraId="53F10280"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1792A17" w14:textId="77777777" w:rsidTr="008819CF">
        <w:trPr>
          <w:trHeight w:val="229"/>
        </w:trPr>
        <w:tc>
          <w:tcPr>
            <w:tcW w:w="1524" w:type="dxa"/>
            <w:tcBorders>
              <w:top w:val="nil"/>
              <w:left w:val="nil"/>
              <w:bottom w:val="single" w:sz="4" w:space="0" w:color="auto"/>
              <w:right w:val="nil"/>
            </w:tcBorders>
            <w:shd w:val="clear" w:color="auto" w:fill="auto"/>
            <w:vAlign w:val="center"/>
            <w:hideMark/>
          </w:tcPr>
          <w:p w14:paraId="0B289AB6" w14:textId="0DED4918"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Quinley 2004</w:t>
            </w:r>
          </w:p>
        </w:tc>
        <w:tc>
          <w:tcPr>
            <w:tcW w:w="802" w:type="dxa"/>
            <w:tcBorders>
              <w:top w:val="nil"/>
              <w:left w:val="nil"/>
              <w:bottom w:val="single" w:sz="4" w:space="0" w:color="auto"/>
              <w:right w:val="nil"/>
            </w:tcBorders>
            <w:shd w:val="clear" w:color="auto" w:fill="auto"/>
            <w:vAlign w:val="center"/>
            <w:hideMark/>
          </w:tcPr>
          <w:p w14:paraId="2FC3FEC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D11D6C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069A33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vaccination rates</w:t>
            </w:r>
          </w:p>
        </w:tc>
        <w:tc>
          <w:tcPr>
            <w:tcW w:w="4364" w:type="dxa"/>
            <w:tcBorders>
              <w:top w:val="nil"/>
              <w:left w:val="nil"/>
              <w:bottom w:val="single" w:sz="4" w:space="0" w:color="auto"/>
              <w:right w:val="nil"/>
            </w:tcBorders>
            <w:shd w:val="clear" w:color="auto" w:fill="auto"/>
            <w:vAlign w:val="center"/>
            <w:hideMark/>
          </w:tcPr>
          <w:p w14:paraId="6FA7C97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The change in cumulative pneumococcal vaccination rates</w:t>
            </w:r>
          </w:p>
        </w:tc>
        <w:tc>
          <w:tcPr>
            <w:tcW w:w="3209" w:type="dxa"/>
            <w:tcBorders>
              <w:top w:val="nil"/>
              <w:left w:val="nil"/>
              <w:bottom w:val="single" w:sz="4" w:space="0" w:color="auto"/>
              <w:right w:val="nil"/>
            </w:tcBorders>
            <w:shd w:val="clear" w:color="auto" w:fill="auto"/>
            <w:vAlign w:val="center"/>
            <w:hideMark/>
          </w:tcPr>
          <w:p w14:paraId="12E92C4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224378AC"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3286FAFA" w14:textId="77777777" w:rsidTr="008819CF">
        <w:trPr>
          <w:trHeight w:val="133"/>
        </w:trPr>
        <w:tc>
          <w:tcPr>
            <w:tcW w:w="1524" w:type="dxa"/>
            <w:tcBorders>
              <w:top w:val="nil"/>
              <w:left w:val="nil"/>
              <w:bottom w:val="single" w:sz="4" w:space="0" w:color="auto"/>
              <w:right w:val="nil"/>
            </w:tcBorders>
            <w:shd w:val="clear" w:color="auto" w:fill="auto"/>
            <w:vAlign w:val="center"/>
            <w:hideMark/>
          </w:tcPr>
          <w:p w14:paraId="70507265" w14:textId="27A59A39"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Richards 2003</w:t>
            </w:r>
          </w:p>
        </w:tc>
        <w:tc>
          <w:tcPr>
            <w:tcW w:w="802" w:type="dxa"/>
            <w:tcBorders>
              <w:top w:val="nil"/>
              <w:left w:val="nil"/>
              <w:bottom w:val="single" w:sz="4" w:space="0" w:color="auto"/>
              <w:right w:val="nil"/>
            </w:tcBorders>
            <w:shd w:val="clear" w:color="auto" w:fill="auto"/>
            <w:vAlign w:val="center"/>
            <w:hideMark/>
          </w:tcPr>
          <w:p w14:paraId="594175D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3F51A6C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A77B73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cefotaxime or ceftriaxone</w:t>
            </w:r>
          </w:p>
        </w:tc>
        <w:tc>
          <w:tcPr>
            <w:tcW w:w="4364" w:type="dxa"/>
            <w:tcBorders>
              <w:top w:val="nil"/>
              <w:left w:val="nil"/>
              <w:bottom w:val="single" w:sz="4" w:space="0" w:color="auto"/>
              <w:right w:val="nil"/>
            </w:tcBorders>
            <w:shd w:val="clear" w:color="auto" w:fill="auto"/>
            <w:vAlign w:val="center"/>
            <w:hideMark/>
          </w:tcPr>
          <w:p w14:paraId="1DBCCF8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Change in rate of CEFX </w:t>
            </w:r>
          </w:p>
        </w:tc>
        <w:tc>
          <w:tcPr>
            <w:tcW w:w="3209" w:type="dxa"/>
            <w:tcBorders>
              <w:top w:val="nil"/>
              <w:left w:val="nil"/>
              <w:bottom w:val="single" w:sz="4" w:space="0" w:color="auto"/>
              <w:right w:val="nil"/>
            </w:tcBorders>
            <w:shd w:val="clear" w:color="auto" w:fill="auto"/>
            <w:vAlign w:val="center"/>
            <w:hideMark/>
          </w:tcPr>
          <w:p w14:paraId="6F71AB3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All physicians in the hospital</w:t>
            </w:r>
          </w:p>
        </w:tc>
        <w:tc>
          <w:tcPr>
            <w:tcW w:w="709" w:type="dxa"/>
            <w:tcBorders>
              <w:top w:val="nil"/>
              <w:left w:val="nil"/>
              <w:bottom w:val="single" w:sz="4" w:space="0" w:color="auto"/>
              <w:right w:val="nil"/>
            </w:tcBorders>
            <w:shd w:val="clear" w:color="auto" w:fill="auto"/>
            <w:vAlign w:val="center"/>
            <w:hideMark/>
          </w:tcPr>
          <w:p w14:paraId="081BEE0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31D8EDD2" w14:textId="77777777" w:rsidTr="008819CF">
        <w:trPr>
          <w:trHeight w:val="564"/>
        </w:trPr>
        <w:tc>
          <w:tcPr>
            <w:tcW w:w="1524" w:type="dxa"/>
            <w:tcBorders>
              <w:top w:val="nil"/>
              <w:left w:val="nil"/>
              <w:bottom w:val="single" w:sz="4" w:space="0" w:color="auto"/>
              <w:right w:val="nil"/>
            </w:tcBorders>
            <w:shd w:val="clear" w:color="auto" w:fill="auto"/>
            <w:vAlign w:val="center"/>
            <w:hideMark/>
          </w:tcPr>
          <w:p w14:paraId="7F571565" w14:textId="28DC72F3"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Richardson 2000</w:t>
            </w:r>
          </w:p>
        </w:tc>
        <w:tc>
          <w:tcPr>
            <w:tcW w:w="802" w:type="dxa"/>
            <w:tcBorders>
              <w:top w:val="nil"/>
              <w:left w:val="nil"/>
              <w:bottom w:val="single" w:sz="4" w:space="0" w:color="auto"/>
              <w:right w:val="nil"/>
            </w:tcBorders>
            <w:shd w:val="clear" w:color="auto" w:fill="auto"/>
            <w:vAlign w:val="center"/>
            <w:hideMark/>
          </w:tcPr>
          <w:p w14:paraId="4ADCB5F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103D51F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B7F5CE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inappropriate use of vancomycin according to hospital guidelines</w:t>
            </w:r>
          </w:p>
        </w:tc>
        <w:tc>
          <w:tcPr>
            <w:tcW w:w="4364" w:type="dxa"/>
            <w:tcBorders>
              <w:top w:val="nil"/>
              <w:left w:val="nil"/>
              <w:bottom w:val="single" w:sz="4" w:space="0" w:color="auto"/>
              <w:right w:val="nil"/>
            </w:tcBorders>
            <w:shd w:val="clear" w:color="auto" w:fill="auto"/>
            <w:vAlign w:val="center"/>
            <w:hideMark/>
          </w:tcPr>
          <w:p w14:paraId="001B1B4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Percentage of episodes of vancomycin use deemed inappropriate. </w:t>
            </w:r>
          </w:p>
        </w:tc>
        <w:tc>
          <w:tcPr>
            <w:tcW w:w="3209" w:type="dxa"/>
            <w:tcBorders>
              <w:top w:val="nil"/>
              <w:left w:val="nil"/>
              <w:bottom w:val="single" w:sz="4" w:space="0" w:color="auto"/>
              <w:right w:val="nil"/>
            </w:tcBorders>
            <w:shd w:val="clear" w:color="auto" w:fill="auto"/>
            <w:vAlign w:val="center"/>
            <w:hideMark/>
          </w:tcPr>
          <w:p w14:paraId="2AF1353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 All physicians in the hospital</w:t>
            </w:r>
          </w:p>
        </w:tc>
        <w:tc>
          <w:tcPr>
            <w:tcW w:w="709" w:type="dxa"/>
            <w:tcBorders>
              <w:top w:val="nil"/>
              <w:left w:val="nil"/>
              <w:bottom w:val="single" w:sz="4" w:space="0" w:color="auto"/>
              <w:right w:val="nil"/>
            </w:tcBorders>
            <w:shd w:val="clear" w:color="auto" w:fill="auto"/>
            <w:vAlign w:val="center"/>
            <w:hideMark/>
          </w:tcPr>
          <w:p w14:paraId="77D7EE2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7E9976EA" w14:textId="77777777" w:rsidTr="008819CF">
        <w:trPr>
          <w:trHeight w:val="503"/>
        </w:trPr>
        <w:tc>
          <w:tcPr>
            <w:tcW w:w="1524" w:type="dxa"/>
            <w:tcBorders>
              <w:top w:val="nil"/>
              <w:left w:val="nil"/>
              <w:bottom w:val="single" w:sz="4" w:space="0" w:color="auto"/>
              <w:right w:val="nil"/>
            </w:tcBorders>
            <w:shd w:val="clear" w:color="auto" w:fill="auto"/>
            <w:vAlign w:val="center"/>
            <w:hideMark/>
          </w:tcPr>
          <w:p w14:paraId="6A2867FB" w14:textId="50991951"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Rossignol 2000</w:t>
            </w:r>
          </w:p>
        </w:tc>
        <w:tc>
          <w:tcPr>
            <w:tcW w:w="802" w:type="dxa"/>
            <w:tcBorders>
              <w:top w:val="nil"/>
              <w:left w:val="nil"/>
              <w:bottom w:val="single" w:sz="4" w:space="0" w:color="auto"/>
              <w:right w:val="nil"/>
            </w:tcBorders>
            <w:shd w:val="clear" w:color="auto" w:fill="auto"/>
            <w:vAlign w:val="center"/>
            <w:hideMark/>
          </w:tcPr>
          <w:p w14:paraId="2B29E81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01B9A76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A56F2B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the treatment of sub</w:t>
            </w:r>
            <w:r>
              <w:rPr>
                <w:rFonts w:ascii="Arial Narrow" w:hAnsi="Arial Narrow"/>
                <w:sz w:val="18"/>
                <w:szCs w:val="18"/>
                <w:lang w:val="en-GB"/>
              </w:rPr>
              <w:t>-</w:t>
            </w:r>
            <w:r w:rsidRPr="003E6B1E">
              <w:rPr>
                <w:rFonts w:ascii="Arial Narrow" w:hAnsi="Arial Narrow"/>
                <w:sz w:val="18"/>
                <w:szCs w:val="18"/>
                <w:lang w:val="en-GB"/>
              </w:rPr>
              <w:t xml:space="preserve">acute low-back pain patients. Decrease use of </w:t>
            </w:r>
            <w:r>
              <w:rPr>
                <w:rFonts w:ascii="Arial Narrow" w:hAnsi="Arial Narrow"/>
                <w:sz w:val="18"/>
                <w:szCs w:val="18"/>
                <w:lang w:val="en-GB"/>
              </w:rPr>
              <w:t>X-ray</w:t>
            </w:r>
            <w:r w:rsidRPr="003E6B1E">
              <w:rPr>
                <w:rFonts w:ascii="Arial Narrow" w:hAnsi="Arial Narrow"/>
                <w:sz w:val="18"/>
                <w:szCs w:val="18"/>
                <w:lang w:val="en-GB"/>
              </w:rPr>
              <w:t>s</w:t>
            </w:r>
          </w:p>
        </w:tc>
        <w:tc>
          <w:tcPr>
            <w:tcW w:w="4364" w:type="dxa"/>
            <w:tcBorders>
              <w:top w:val="nil"/>
              <w:left w:val="nil"/>
              <w:bottom w:val="single" w:sz="4" w:space="0" w:color="auto"/>
              <w:right w:val="nil"/>
            </w:tcBorders>
            <w:shd w:val="clear" w:color="auto" w:fill="auto"/>
            <w:vAlign w:val="center"/>
            <w:hideMark/>
          </w:tcPr>
          <w:p w14:paraId="04AAB62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Proportion of patients who received Imaging (</w:t>
            </w:r>
            <w:r>
              <w:rPr>
                <w:rFonts w:ascii="Arial Narrow" w:hAnsi="Arial Narrow"/>
                <w:sz w:val="18"/>
                <w:szCs w:val="18"/>
                <w:lang w:val="en-GB"/>
              </w:rPr>
              <w:t>X-ray</w:t>
            </w:r>
            <w:r w:rsidRPr="003E6B1E">
              <w:rPr>
                <w:rFonts w:ascii="Arial Narrow" w:hAnsi="Arial Narrow"/>
                <w:sz w:val="18"/>
                <w:szCs w:val="18"/>
                <w:lang w:val="en-GB"/>
              </w:rPr>
              <w:t>, Ct, MRI, or myelogram) within 6 months</w:t>
            </w:r>
          </w:p>
        </w:tc>
        <w:tc>
          <w:tcPr>
            <w:tcW w:w="3209" w:type="dxa"/>
            <w:tcBorders>
              <w:top w:val="nil"/>
              <w:left w:val="nil"/>
              <w:bottom w:val="single" w:sz="4" w:space="0" w:color="auto"/>
              <w:right w:val="nil"/>
            </w:tcBorders>
            <w:shd w:val="clear" w:color="auto" w:fill="auto"/>
            <w:vAlign w:val="center"/>
            <w:hideMark/>
          </w:tcPr>
          <w:p w14:paraId="241A7B7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Professionals</w:t>
            </w:r>
          </w:p>
        </w:tc>
        <w:tc>
          <w:tcPr>
            <w:tcW w:w="709" w:type="dxa"/>
            <w:tcBorders>
              <w:top w:val="nil"/>
              <w:left w:val="nil"/>
              <w:bottom w:val="single" w:sz="4" w:space="0" w:color="auto"/>
              <w:right w:val="nil"/>
            </w:tcBorders>
            <w:shd w:val="clear" w:color="auto" w:fill="auto"/>
            <w:vAlign w:val="center"/>
            <w:hideMark/>
          </w:tcPr>
          <w:p w14:paraId="4FAEC3C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1748719A" w14:textId="77777777" w:rsidTr="008819CF">
        <w:trPr>
          <w:trHeight w:val="441"/>
        </w:trPr>
        <w:tc>
          <w:tcPr>
            <w:tcW w:w="1524" w:type="dxa"/>
            <w:tcBorders>
              <w:top w:val="nil"/>
              <w:left w:val="nil"/>
              <w:bottom w:val="single" w:sz="4" w:space="0" w:color="auto"/>
              <w:right w:val="nil"/>
            </w:tcBorders>
            <w:shd w:val="clear" w:color="auto" w:fill="auto"/>
            <w:vAlign w:val="center"/>
            <w:hideMark/>
          </w:tcPr>
          <w:p w14:paraId="6073F61A" w14:textId="5C946404"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lastRenderedPageBreak/>
              <w:t>Rozental 2008</w:t>
            </w:r>
          </w:p>
        </w:tc>
        <w:tc>
          <w:tcPr>
            <w:tcW w:w="802" w:type="dxa"/>
            <w:tcBorders>
              <w:top w:val="nil"/>
              <w:left w:val="nil"/>
              <w:bottom w:val="single" w:sz="4" w:space="0" w:color="auto"/>
              <w:right w:val="nil"/>
            </w:tcBorders>
            <w:shd w:val="clear" w:color="auto" w:fill="auto"/>
            <w:vAlign w:val="center"/>
            <w:hideMark/>
          </w:tcPr>
          <w:p w14:paraId="5BB5307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51112A1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A88543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Improve low evaluation rates (BMD tests) for osteoporosis </w:t>
            </w:r>
          </w:p>
        </w:tc>
        <w:tc>
          <w:tcPr>
            <w:tcW w:w="4364" w:type="dxa"/>
            <w:tcBorders>
              <w:top w:val="nil"/>
              <w:left w:val="nil"/>
              <w:bottom w:val="single" w:sz="4" w:space="0" w:color="auto"/>
              <w:right w:val="nil"/>
            </w:tcBorders>
            <w:shd w:val="clear" w:color="auto" w:fill="auto"/>
            <w:vAlign w:val="center"/>
            <w:hideMark/>
          </w:tcPr>
          <w:p w14:paraId="7B1309E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Rate of BMD testing</w:t>
            </w:r>
          </w:p>
        </w:tc>
        <w:tc>
          <w:tcPr>
            <w:tcW w:w="3209" w:type="dxa"/>
            <w:tcBorders>
              <w:top w:val="nil"/>
              <w:left w:val="nil"/>
              <w:bottom w:val="single" w:sz="4" w:space="0" w:color="auto"/>
              <w:right w:val="nil"/>
            </w:tcBorders>
            <w:shd w:val="clear" w:color="auto" w:fill="auto"/>
            <w:vAlign w:val="center"/>
            <w:hideMark/>
          </w:tcPr>
          <w:p w14:paraId="2470F4C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Orthopaedic surgeon and primary care physicians</w:t>
            </w:r>
          </w:p>
        </w:tc>
        <w:tc>
          <w:tcPr>
            <w:tcW w:w="709" w:type="dxa"/>
            <w:tcBorders>
              <w:top w:val="nil"/>
              <w:left w:val="nil"/>
              <w:bottom w:val="single" w:sz="4" w:space="0" w:color="auto"/>
              <w:right w:val="nil"/>
            </w:tcBorders>
            <w:shd w:val="clear" w:color="auto" w:fill="auto"/>
            <w:vAlign w:val="center"/>
            <w:hideMark/>
          </w:tcPr>
          <w:p w14:paraId="3FFE3BC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1DD65846" w14:textId="77777777" w:rsidTr="00ED614F">
        <w:trPr>
          <w:trHeight w:val="134"/>
        </w:trPr>
        <w:tc>
          <w:tcPr>
            <w:tcW w:w="1524" w:type="dxa"/>
            <w:tcBorders>
              <w:top w:val="nil"/>
              <w:left w:val="nil"/>
              <w:bottom w:val="single" w:sz="4" w:space="0" w:color="auto"/>
              <w:right w:val="nil"/>
            </w:tcBorders>
            <w:shd w:val="clear" w:color="auto" w:fill="auto"/>
            <w:vAlign w:val="center"/>
            <w:hideMark/>
          </w:tcPr>
          <w:p w14:paraId="513AE3C8" w14:textId="63EB594A"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Rust 1999</w:t>
            </w:r>
          </w:p>
        </w:tc>
        <w:tc>
          <w:tcPr>
            <w:tcW w:w="802" w:type="dxa"/>
            <w:tcBorders>
              <w:top w:val="nil"/>
              <w:left w:val="nil"/>
              <w:bottom w:val="single" w:sz="4" w:space="0" w:color="auto"/>
              <w:right w:val="nil"/>
            </w:tcBorders>
            <w:shd w:val="clear" w:color="auto" w:fill="auto"/>
            <w:vAlign w:val="center"/>
            <w:hideMark/>
          </w:tcPr>
          <w:p w14:paraId="5B414A6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72CFDD4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2B67FB4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immunization</w:t>
            </w:r>
          </w:p>
        </w:tc>
        <w:tc>
          <w:tcPr>
            <w:tcW w:w="4364" w:type="dxa"/>
            <w:tcBorders>
              <w:top w:val="nil"/>
              <w:left w:val="nil"/>
              <w:bottom w:val="single" w:sz="4" w:space="0" w:color="auto"/>
              <w:right w:val="nil"/>
            </w:tcBorders>
            <w:shd w:val="clear" w:color="auto" w:fill="auto"/>
            <w:vAlign w:val="center"/>
            <w:hideMark/>
          </w:tcPr>
          <w:p w14:paraId="4F1FA59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The immunization level of 2-year-old children in the resident clinic was the main outcome of interest</w:t>
            </w:r>
          </w:p>
        </w:tc>
        <w:tc>
          <w:tcPr>
            <w:tcW w:w="3209" w:type="dxa"/>
            <w:tcBorders>
              <w:top w:val="nil"/>
              <w:left w:val="nil"/>
              <w:bottom w:val="single" w:sz="4" w:space="0" w:color="auto"/>
              <w:right w:val="nil"/>
            </w:tcBorders>
            <w:shd w:val="clear" w:color="auto" w:fill="auto"/>
            <w:vAlign w:val="center"/>
            <w:hideMark/>
          </w:tcPr>
          <w:p w14:paraId="0C2060A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Postgraduate level 2 and postgraduate level 3 paediatric residents</w:t>
            </w:r>
          </w:p>
        </w:tc>
        <w:tc>
          <w:tcPr>
            <w:tcW w:w="709" w:type="dxa"/>
            <w:tcBorders>
              <w:top w:val="nil"/>
              <w:left w:val="nil"/>
              <w:bottom w:val="single" w:sz="4" w:space="0" w:color="auto"/>
              <w:right w:val="nil"/>
            </w:tcBorders>
            <w:shd w:val="clear" w:color="auto" w:fill="auto"/>
            <w:vAlign w:val="center"/>
            <w:hideMark/>
          </w:tcPr>
          <w:p w14:paraId="4C2AB7B4"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D520114" w14:textId="77777777" w:rsidTr="008819CF">
        <w:trPr>
          <w:trHeight w:val="520"/>
        </w:trPr>
        <w:tc>
          <w:tcPr>
            <w:tcW w:w="1524" w:type="dxa"/>
            <w:tcBorders>
              <w:top w:val="nil"/>
              <w:left w:val="nil"/>
              <w:bottom w:val="single" w:sz="4" w:space="0" w:color="auto"/>
              <w:right w:val="nil"/>
            </w:tcBorders>
            <w:shd w:val="clear" w:color="auto" w:fill="auto"/>
            <w:vAlign w:val="center"/>
            <w:hideMark/>
          </w:tcPr>
          <w:p w14:paraId="43052DC7" w14:textId="0844B88E"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Saizy-Callaert 200</w:t>
            </w:r>
            <w:r>
              <w:rPr>
                <w:rFonts w:ascii="Arial Narrow" w:hAnsi="Arial Narrow"/>
                <w:sz w:val="18"/>
                <w:szCs w:val="18"/>
                <w:lang w:val="en-GB"/>
              </w:rPr>
              <w:t>3</w:t>
            </w:r>
          </w:p>
        </w:tc>
        <w:tc>
          <w:tcPr>
            <w:tcW w:w="802" w:type="dxa"/>
            <w:tcBorders>
              <w:top w:val="nil"/>
              <w:left w:val="nil"/>
              <w:bottom w:val="single" w:sz="4" w:space="0" w:color="auto"/>
              <w:right w:val="nil"/>
            </w:tcBorders>
            <w:shd w:val="clear" w:color="auto" w:fill="auto"/>
            <w:vAlign w:val="center"/>
            <w:hideMark/>
          </w:tcPr>
          <w:p w14:paraId="38B9F58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510DD5E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AD4A55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Reduce prescribing of most expense antibiotic </w:t>
            </w:r>
          </w:p>
        </w:tc>
        <w:tc>
          <w:tcPr>
            <w:tcW w:w="4364" w:type="dxa"/>
            <w:tcBorders>
              <w:top w:val="nil"/>
              <w:left w:val="nil"/>
              <w:bottom w:val="single" w:sz="4" w:space="0" w:color="auto"/>
              <w:right w:val="nil"/>
            </w:tcBorders>
            <w:shd w:val="clear" w:color="auto" w:fill="auto"/>
            <w:vAlign w:val="center"/>
            <w:hideMark/>
          </w:tcPr>
          <w:p w14:paraId="6AD6BB1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Anti-Infective Expenditure (AIE) per hospital patient. </w:t>
            </w:r>
          </w:p>
        </w:tc>
        <w:tc>
          <w:tcPr>
            <w:tcW w:w="3209" w:type="dxa"/>
            <w:tcBorders>
              <w:top w:val="nil"/>
              <w:left w:val="nil"/>
              <w:bottom w:val="single" w:sz="4" w:space="0" w:color="auto"/>
              <w:right w:val="nil"/>
            </w:tcBorders>
            <w:shd w:val="clear" w:color="auto" w:fill="auto"/>
            <w:vAlign w:val="center"/>
            <w:hideMark/>
          </w:tcPr>
          <w:p w14:paraId="4AD430B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All physicians in the hospital</w:t>
            </w:r>
          </w:p>
        </w:tc>
        <w:tc>
          <w:tcPr>
            <w:tcW w:w="709" w:type="dxa"/>
            <w:tcBorders>
              <w:top w:val="nil"/>
              <w:left w:val="nil"/>
              <w:bottom w:val="single" w:sz="4" w:space="0" w:color="auto"/>
              <w:right w:val="nil"/>
            </w:tcBorders>
            <w:shd w:val="clear" w:color="auto" w:fill="auto"/>
            <w:vAlign w:val="center"/>
            <w:hideMark/>
          </w:tcPr>
          <w:p w14:paraId="1BF9E85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38A685A0" w14:textId="77777777" w:rsidTr="008819CF">
        <w:trPr>
          <w:trHeight w:val="392"/>
        </w:trPr>
        <w:tc>
          <w:tcPr>
            <w:tcW w:w="1524" w:type="dxa"/>
            <w:tcBorders>
              <w:top w:val="nil"/>
              <w:left w:val="nil"/>
              <w:bottom w:val="single" w:sz="4" w:space="0" w:color="auto"/>
              <w:right w:val="nil"/>
            </w:tcBorders>
            <w:shd w:val="clear" w:color="auto" w:fill="auto"/>
            <w:vAlign w:val="center"/>
            <w:hideMark/>
          </w:tcPr>
          <w:p w14:paraId="2E004910" w14:textId="3514C3BD"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Salama 1996</w:t>
            </w:r>
          </w:p>
        </w:tc>
        <w:tc>
          <w:tcPr>
            <w:tcW w:w="802" w:type="dxa"/>
            <w:tcBorders>
              <w:top w:val="nil"/>
              <w:left w:val="nil"/>
              <w:bottom w:val="single" w:sz="4" w:space="0" w:color="auto"/>
              <w:right w:val="nil"/>
            </w:tcBorders>
            <w:shd w:val="clear" w:color="auto" w:fill="auto"/>
            <w:vAlign w:val="center"/>
            <w:hideMark/>
          </w:tcPr>
          <w:p w14:paraId="5BFFBAC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7CAC9D6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51FA56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inappropriate antimicrobial use to reduce cost</w:t>
            </w:r>
          </w:p>
        </w:tc>
        <w:tc>
          <w:tcPr>
            <w:tcW w:w="4364" w:type="dxa"/>
            <w:tcBorders>
              <w:top w:val="nil"/>
              <w:left w:val="nil"/>
              <w:bottom w:val="single" w:sz="4" w:space="0" w:color="auto"/>
              <w:right w:val="nil"/>
            </w:tcBorders>
            <w:shd w:val="clear" w:color="auto" w:fill="auto"/>
            <w:vAlign w:val="center"/>
            <w:hideMark/>
          </w:tcPr>
          <w:p w14:paraId="2A1A302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Antimicrobial cost</w:t>
            </w:r>
          </w:p>
        </w:tc>
        <w:tc>
          <w:tcPr>
            <w:tcW w:w="3209" w:type="dxa"/>
            <w:tcBorders>
              <w:top w:val="nil"/>
              <w:left w:val="nil"/>
              <w:bottom w:val="single" w:sz="4" w:space="0" w:color="auto"/>
              <w:right w:val="nil"/>
            </w:tcBorders>
            <w:shd w:val="clear" w:color="auto" w:fill="auto"/>
            <w:vAlign w:val="center"/>
            <w:hideMark/>
          </w:tcPr>
          <w:p w14:paraId="49B6DF3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 in hospital</w:t>
            </w:r>
          </w:p>
        </w:tc>
        <w:tc>
          <w:tcPr>
            <w:tcW w:w="709" w:type="dxa"/>
            <w:tcBorders>
              <w:top w:val="nil"/>
              <w:left w:val="nil"/>
              <w:bottom w:val="single" w:sz="4" w:space="0" w:color="auto"/>
              <w:right w:val="nil"/>
            </w:tcBorders>
            <w:shd w:val="clear" w:color="auto" w:fill="auto"/>
            <w:vAlign w:val="center"/>
            <w:hideMark/>
          </w:tcPr>
          <w:p w14:paraId="42F1285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278781BD" w14:textId="77777777" w:rsidTr="008819CF">
        <w:trPr>
          <w:trHeight w:val="331"/>
        </w:trPr>
        <w:tc>
          <w:tcPr>
            <w:tcW w:w="1524" w:type="dxa"/>
            <w:tcBorders>
              <w:top w:val="nil"/>
              <w:left w:val="nil"/>
              <w:bottom w:val="single" w:sz="4" w:space="0" w:color="auto"/>
              <w:right w:val="nil"/>
            </w:tcBorders>
            <w:shd w:val="clear" w:color="auto" w:fill="auto"/>
            <w:vAlign w:val="center"/>
            <w:hideMark/>
          </w:tcPr>
          <w:p w14:paraId="67611F0B" w14:textId="3CAEB51D"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Sandbaek 1999</w:t>
            </w:r>
          </w:p>
        </w:tc>
        <w:tc>
          <w:tcPr>
            <w:tcW w:w="802" w:type="dxa"/>
            <w:tcBorders>
              <w:top w:val="nil"/>
              <w:left w:val="nil"/>
              <w:bottom w:val="single" w:sz="4" w:space="0" w:color="auto"/>
              <w:right w:val="nil"/>
            </w:tcBorders>
            <w:shd w:val="clear" w:color="auto" w:fill="auto"/>
            <w:vAlign w:val="center"/>
            <w:hideMark/>
          </w:tcPr>
          <w:p w14:paraId="13F0D39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18F3407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46FC2C6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consultation for AIDS prevention</w:t>
            </w:r>
          </w:p>
        </w:tc>
        <w:tc>
          <w:tcPr>
            <w:tcW w:w="4364" w:type="dxa"/>
            <w:tcBorders>
              <w:top w:val="nil"/>
              <w:left w:val="nil"/>
              <w:bottom w:val="single" w:sz="4" w:space="0" w:color="auto"/>
              <w:right w:val="nil"/>
            </w:tcBorders>
            <w:shd w:val="clear" w:color="auto" w:fill="auto"/>
            <w:vAlign w:val="center"/>
            <w:hideMark/>
          </w:tcPr>
          <w:p w14:paraId="5340673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Frequencies of consultations</w:t>
            </w:r>
          </w:p>
        </w:tc>
        <w:tc>
          <w:tcPr>
            <w:tcW w:w="3209" w:type="dxa"/>
            <w:tcBorders>
              <w:top w:val="nil"/>
              <w:left w:val="nil"/>
              <w:bottom w:val="single" w:sz="4" w:space="0" w:color="auto"/>
              <w:right w:val="nil"/>
            </w:tcBorders>
            <w:shd w:val="clear" w:color="auto" w:fill="auto"/>
            <w:vAlign w:val="center"/>
            <w:hideMark/>
          </w:tcPr>
          <w:p w14:paraId="68C3EC1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2FFA11BE"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08E8F37A" w14:textId="77777777" w:rsidTr="008819CF">
        <w:trPr>
          <w:trHeight w:val="520"/>
        </w:trPr>
        <w:tc>
          <w:tcPr>
            <w:tcW w:w="1524" w:type="dxa"/>
            <w:tcBorders>
              <w:top w:val="nil"/>
              <w:left w:val="nil"/>
              <w:bottom w:val="single" w:sz="4" w:space="0" w:color="auto"/>
              <w:right w:val="nil"/>
            </w:tcBorders>
            <w:shd w:val="clear" w:color="auto" w:fill="auto"/>
            <w:vAlign w:val="center"/>
            <w:hideMark/>
          </w:tcPr>
          <w:p w14:paraId="1488EFBA" w14:textId="795E4A70"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Schectman 1995</w:t>
            </w:r>
          </w:p>
        </w:tc>
        <w:tc>
          <w:tcPr>
            <w:tcW w:w="802" w:type="dxa"/>
            <w:tcBorders>
              <w:top w:val="nil"/>
              <w:left w:val="nil"/>
              <w:bottom w:val="single" w:sz="4" w:space="0" w:color="auto"/>
              <w:right w:val="nil"/>
            </w:tcBorders>
            <w:shd w:val="clear" w:color="auto" w:fill="auto"/>
            <w:vAlign w:val="center"/>
            <w:hideMark/>
          </w:tcPr>
          <w:p w14:paraId="646171A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95237F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323AA55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H2-blocker prescribing patterns</w:t>
            </w:r>
          </w:p>
        </w:tc>
        <w:tc>
          <w:tcPr>
            <w:tcW w:w="4364" w:type="dxa"/>
            <w:tcBorders>
              <w:top w:val="nil"/>
              <w:left w:val="nil"/>
              <w:bottom w:val="single" w:sz="4" w:space="0" w:color="auto"/>
              <w:right w:val="nil"/>
            </w:tcBorders>
            <w:shd w:val="clear" w:color="auto" w:fill="auto"/>
            <w:vAlign w:val="center"/>
            <w:hideMark/>
          </w:tcPr>
          <w:p w14:paraId="0EE6294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cimetidine-prescribing rates</w:t>
            </w:r>
          </w:p>
        </w:tc>
        <w:tc>
          <w:tcPr>
            <w:tcW w:w="3209" w:type="dxa"/>
            <w:tcBorders>
              <w:top w:val="nil"/>
              <w:left w:val="nil"/>
              <w:bottom w:val="single" w:sz="4" w:space="0" w:color="auto"/>
              <w:right w:val="nil"/>
            </w:tcBorders>
            <w:shd w:val="clear" w:color="auto" w:fill="auto"/>
            <w:vAlign w:val="center"/>
            <w:hideMark/>
          </w:tcPr>
          <w:p w14:paraId="2EC9D8B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 internists</w:t>
            </w:r>
          </w:p>
        </w:tc>
        <w:tc>
          <w:tcPr>
            <w:tcW w:w="709" w:type="dxa"/>
            <w:tcBorders>
              <w:top w:val="nil"/>
              <w:left w:val="nil"/>
              <w:bottom w:val="single" w:sz="4" w:space="0" w:color="auto"/>
              <w:right w:val="nil"/>
            </w:tcBorders>
            <w:shd w:val="clear" w:color="auto" w:fill="auto"/>
            <w:vAlign w:val="center"/>
            <w:hideMark/>
          </w:tcPr>
          <w:p w14:paraId="360C175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386CFF16" w14:textId="77777777" w:rsidTr="008819CF">
        <w:trPr>
          <w:trHeight w:val="296"/>
        </w:trPr>
        <w:tc>
          <w:tcPr>
            <w:tcW w:w="1524" w:type="dxa"/>
            <w:tcBorders>
              <w:top w:val="nil"/>
              <w:left w:val="nil"/>
              <w:bottom w:val="single" w:sz="4" w:space="0" w:color="auto"/>
              <w:right w:val="nil"/>
            </w:tcBorders>
            <w:shd w:val="clear" w:color="auto" w:fill="auto"/>
            <w:vAlign w:val="center"/>
            <w:hideMark/>
          </w:tcPr>
          <w:p w14:paraId="6BD134A2" w14:textId="52654335"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Schectman 2003</w:t>
            </w:r>
          </w:p>
        </w:tc>
        <w:tc>
          <w:tcPr>
            <w:tcW w:w="802" w:type="dxa"/>
            <w:tcBorders>
              <w:top w:val="nil"/>
              <w:left w:val="nil"/>
              <w:bottom w:val="single" w:sz="4" w:space="0" w:color="auto"/>
              <w:right w:val="nil"/>
            </w:tcBorders>
            <w:shd w:val="clear" w:color="auto" w:fill="auto"/>
            <w:vAlign w:val="center"/>
            <w:hideMark/>
          </w:tcPr>
          <w:p w14:paraId="53DD1639" w14:textId="2C63868C"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3AA6DC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C429323" w14:textId="012D6601"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Utiliz</w:t>
            </w:r>
            <w:r>
              <w:rPr>
                <w:rFonts w:ascii="Arial Narrow" w:hAnsi="Arial Narrow"/>
                <w:sz w:val="18"/>
                <w:szCs w:val="18"/>
                <w:lang w:val="en-GB"/>
              </w:rPr>
              <w:t>e</w:t>
            </w:r>
            <w:r w:rsidRPr="003E6B1E">
              <w:rPr>
                <w:rFonts w:ascii="Arial Narrow" w:hAnsi="Arial Narrow"/>
                <w:sz w:val="18"/>
                <w:szCs w:val="18"/>
                <w:lang w:val="en-GB"/>
              </w:rPr>
              <w:t xml:space="preserve"> radiologic services for acute low back pain</w:t>
            </w:r>
          </w:p>
        </w:tc>
        <w:tc>
          <w:tcPr>
            <w:tcW w:w="4364" w:type="dxa"/>
            <w:tcBorders>
              <w:top w:val="nil"/>
              <w:left w:val="nil"/>
              <w:bottom w:val="single" w:sz="4" w:space="0" w:color="auto"/>
              <w:right w:val="nil"/>
            </w:tcBorders>
            <w:shd w:val="clear" w:color="auto" w:fill="auto"/>
            <w:vAlign w:val="center"/>
            <w:hideMark/>
          </w:tcPr>
          <w:p w14:paraId="41135465" w14:textId="2305AF98"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Proportion of lumbar spine </w:t>
            </w:r>
            <w:r>
              <w:rPr>
                <w:rFonts w:ascii="Arial Narrow" w:hAnsi="Arial Narrow"/>
                <w:sz w:val="18"/>
                <w:szCs w:val="18"/>
                <w:lang w:val="en-GB"/>
              </w:rPr>
              <w:t>X-ray</w:t>
            </w:r>
            <w:r w:rsidRPr="003E6B1E">
              <w:rPr>
                <w:rFonts w:ascii="Arial Narrow" w:hAnsi="Arial Narrow"/>
                <w:sz w:val="18"/>
                <w:szCs w:val="18"/>
                <w:lang w:val="en-GB"/>
              </w:rPr>
              <w:t>s, CT or MRI consistent with guidelines within 12 mos</w:t>
            </w:r>
            <w:r>
              <w:rPr>
                <w:rFonts w:ascii="Arial Narrow" w:hAnsi="Arial Narrow"/>
                <w:sz w:val="18"/>
                <w:szCs w:val="18"/>
                <w:lang w:val="en-GB"/>
              </w:rPr>
              <w:t>.</w:t>
            </w:r>
          </w:p>
        </w:tc>
        <w:tc>
          <w:tcPr>
            <w:tcW w:w="3209" w:type="dxa"/>
            <w:tcBorders>
              <w:top w:val="nil"/>
              <w:left w:val="nil"/>
              <w:bottom w:val="single" w:sz="4" w:space="0" w:color="auto"/>
              <w:right w:val="nil"/>
            </w:tcBorders>
            <w:shd w:val="clear" w:color="auto" w:fill="auto"/>
            <w:vAlign w:val="center"/>
            <w:hideMark/>
          </w:tcPr>
          <w:p w14:paraId="1D9986C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358B349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07912C8F" w14:textId="77777777" w:rsidTr="008819CF">
        <w:trPr>
          <w:trHeight w:val="296"/>
        </w:trPr>
        <w:tc>
          <w:tcPr>
            <w:tcW w:w="1524" w:type="dxa"/>
            <w:tcBorders>
              <w:top w:val="nil"/>
              <w:left w:val="nil"/>
              <w:bottom w:val="single" w:sz="4" w:space="0" w:color="auto"/>
              <w:right w:val="nil"/>
            </w:tcBorders>
            <w:shd w:val="clear" w:color="auto" w:fill="auto"/>
            <w:vAlign w:val="center"/>
            <w:hideMark/>
          </w:tcPr>
          <w:p w14:paraId="7141C527" w14:textId="014E2F1F" w:rsidR="0098086A" w:rsidRPr="003E6B1E" w:rsidRDefault="0098086A" w:rsidP="0098086A">
            <w:pPr>
              <w:spacing w:line="240" w:lineRule="auto"/>
              <w:rPr>
                <w:rFonts w:ascii="Arial Narrow" w:hAnsi="Arial Narrow"/>
                <w:sz w:val="18"/>
                <w:szCs w:val="18"/>
                <w:lang w:val="en-GB"/>
              </w:rPr>
            </w:pPr>
            <w:r w:rsidRPr="003E6B1E">
              <w:rPr>
                <w:rFonts w:ascii="Arial Narrow" w:hAnsi="Arial Narrow"/>
                <w:sz w:val="18"/>
                <w:szCs w:val="18"/>
                <w:lang w:val="en-GB"/>
              </w:rPr>
              <w:t>Schectman 2003</w:t>
            </w:r>
            <w:r>
              <w:rPr>
                <w:rFonts w:ascii="Arial Narrow" w:hAnsi="Arial Narrow"/>
                <w:sz w:val="18"/>
                <w:szCs w:val="18"/>
                <w:lang w:val="en-GB"/>
              </w:rPr>
              <w:t>a</w:t>
            </w:r>
          </w:p>
        </w:tc>
        <w:tc>
          <w:tcPr>
            <w:tcW w:w="802" w:type="dxa"/>
            <w:tcBorders>
              <w:top w:val="nil"/>
              <w:left w:val="nil"/>
              <w:bottom w:val="single" w:sz="4" w:space="0" w:color="auto"/>
              <w:right w:val="nil"/>
            </w:tcBorders>
            <w:shd w:val="clear" w:color="auto" w:fill="auto"/>
            <w:vAlign w:val="center"/>
            <w:hideMark/>
          </w:tcPr>
          <w:p w14:paraId="0335675A" w14:textId="74A69C7A" w:rsidR="0098086A" w:rsidRPr="003E6B1E" w:rsidRDefault="0098086A" w:rsidP="0098086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32CA96AD" w14:textId="77777777" w:rsidR="0098086A" w:rsidRPr="003E6B1E" w:rsidRDefault="0098086A" w:rsidP="0098086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103406C" w14:textId="45AEF03B" w:rsidR="0098086A" w:rsidRPr="003E6B1E" w:rsidRDefault="0098086A" w:rsidP="0098086A">
            <w:pPr>
              <w:spacing w:line="240" w:lineRule="auto"/>
              <w:rPr>
                <w:rFonts w:ascii="Arial Narrow" w:hAnsi="Arial Narrow"/>
                <w:sz w:val="18"/>
                <w:szCs w:val="18"/>
                <w:lang w:val="en-GB"/>
              </w:rPr>
            </w:pPr>
            <w:r w:rsidRPr="003E6B1E">
              <w:rPr>
                <w:rFonts w:ascii="Arial Narrow" w:hAnsi="Arial Narrow"/>
                <w:sz w:val="18"/>
                <w:szCs w:val="18"/>
                <w:lang w:val="en-GB"/>
              </w:rPr>
              <w:t>Utiliz</w:t>
            </w:r>
            <w:r>
              <w:rPr>
                <w:rFonts w:ascii="Arial Narrow" w:hAnsi="Arial Narrow"/>
                <w:sz w:val="18"/>
                <w:szCs w:val="18"/>
                <w:lang w:val="en-GB"/>
              </w:rPr>
              <w:t>e</w:t>
            </w:r>
            <w:r w:rsidRPr="003E6B1E">
              <w:rPr>
                <w:rFonts w:ascii="Arial Narrow" w:hAnsi="Arial Narrow"/>
                <w:sz w:val="18"/>
                <w:szCs w:val="18"/>
                <w:lang w:val="en-GB"/>
              </w:rPr>
              <w:t xml:space="preserve"> specialty services for acute low back pain</w:t>
            </w:r>
          </w:p>
        </w:tc>
        <w:tc>
          <w:tcPr>
            <w:tcW w:w="4364" w:type="dxa"/>
            <w:tcBorders>
              <w:top w:val="nil"/>
              <w:left w:val="nil"/>
              <w:bottom w:val="single" w:sz="4" w:space="0" w:color="auto"/>
              <w:right w:val="nil"/>
            </w:tcBorders>
            <w:shd w:val="clear" w:color="auto" w:fill="auto"/>
            <w:vAlign w:val="center"/>
            <w:hideMark/>
          </w:tcPr>
          <w:p w14:paraId="14CB23FD" w14:textId="2C2E2500" w:rsidR="0098086A" w:rsidRPr="003E6B1E" w:rsidRDefault="0098086A" w:rsidP="0098086A">
            <w:pPr>
              <w:spacing w:line="240" w:lineRule="auto"/>
              <w:rPr>
                <w:rFonts w:ascii="Arial Narrow" w:hAnsi="Arial Narrow"/>
                <w:sz w:val="18"/>
                <w:szCs w:val="18"/>
                <w:lang w:val="en-GB"/>
              </w:rPr>
            </w:pPr>
            <w:r w:rsidRPr="003E6B1E">
              <w:rPr>
                <w:rFonts w:ascii="Arial Narrow" w:hAnsi="Arial Narrow"/>
                <w:sz w:val="18"/>
                <w:szCs w:val="18"/>
                <w:lang w:val="en-GB"/>
              </w:rPr>
              <w:t>Proportion of subspecialty referrals, physiotherapy referrals.</w:t>
            </w:r>
          </w:p>
        </w:tc>
        <w:tc>
          <w:tcPr>
            <w:tcW w:w="3209" w:type="dxa"/>
            <w:tcBorders>
              <w:top w:val="nil"/>
              <w:left w:val="nil"/>
              <w:bottom w:val="single" w:sz="4" w:space="0" w:color="auto"/>
              <w:right w:val="nil"/>
            </w:tcBorders>
            <w:shd w:val="clear" w:color="auto" w:fill="auto"/>
            <w:vAlign w:val="center"/>
            <w:hideMark/>
          </w:tcPr>
          <w:p w14:paraId="50304F97" w14:textId="77777777" w:rsidR="0098086A" w:rsidRPr="003E6B1E" w:rsidRDefault="0098086A" w:rsidP="0098086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4D566C9A" w14:textId="77777777" w:rsidR="0098086A" w:rsidRPr="003E6B1E" w:rsidRDefault="0098086A" w:rsidP="0098086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2956130B" w14:textId="77777777" w:rsidTr="008819CF">
        <w:trPr>
          <w:trHeight w:val="112"/>
        </w:trPr>
        <w:tc>
          <w:tcPr>
            <w:tcW w:w="1524" w:type="dxa"/>
            <w:tcBorders>
              <w:top w:val="nil"/>
              <w:left w:val="nil"/>
              <w:bottom w:val="single" w:sz="4" w:space="0" w:color="auto"/>
              <w:right w:val="nil"/>
            </w:tcBorders>
            <w:shd w:val="clear" w:color="auto" w:fill="auto"/>
            <w:vAlign w:val="center"/>
            <w:hideMark/>
          </w:tcPr>
          <w:p w14:paraId="4882C95B" w14:textId="07A1F0CD"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Scholes</w:t>
            </w:r>
            <w:r>
              <w:rPr>
                <w:rFonts w:ascii="Arial Narrow" w:hAnsi="Arial Narrow"/>
                <w:sz w:val="18"/>
                <w:szCs w:val="18"/>
                <w:lang w:val="en-GB"/>
              </w:rPr>
              <w:t xml:space="preserve"> </w:t>
            </w:r>
            <w:r w:rsidRPr="003E6B1E">
              <w:rPr>
                <w:rFonts w:ascii="Arial Narrow" w:hAnsi="Arial Narrow"/>
                <w:sz w:val="18"/>
                <w:szCs w:val="18"/>
                <w:lang w:val="en-GB"/>
              </w:rPr>
              <w:t>2006</w:t>
            </w:r>
          </w:p>
        </w:tc>
        <w:tc>
          <w:tcPr>
            <w:tcW w:w="802" w:type="dxa"/>
            <w:tcBorders>
              <w:top w:val="nil"/>
              <w:left w:val="nil"/>
              <w:bottom w:val="single" w:sz="4" w:space="0" w:color="auto"/>
              <w:right w:val="nil"/>
            </w:tcBorders>
            <w:shd w:val="clear" w:color="auto" w:fill="auto"/>
            <w:vAlign w:val="center"/>
            <w:hideMark/>
          </w:tcPr>
          <w:p w14:paraId="5C73842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56A1625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846C12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chlamydia screening</w:t>
            </w:r>
          </w:p>
        </w:tc>
        <w:tc>
          <w:tcPr>
            <w:tcW w:w="4364" w:type="dxa"/>
            <w:tcBorders>
              <w:top w:val="nil"/>
              <w:left w:val="nil"/>
              <w:bottom w:val="single" w:sz="4" w:space="0" w:color="auto"/>
              <w:right w:val="nil"/>
            </w:tcBorders>
            <w:shd w:val="clear" w:color="auto" w:fill="auto"/>
            <w:vAlign w:val="center"/>
            <w:hideMark/>
          </w:tcPr>
          <w:p w14:paraId="1D6DDB2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Chlamydia screening in young women</w:t>
            </w:r>
          </w:p>
        </w:tc>
        <w:tc>
          <w:tcPr>
            <w:tcW w:w="3209" w:type="dxa"/>
            <w:tcBorders>
              <w:top w:val="nil"/>
              <w:left w:val="nil"/>
              <w:bottom w:val="single" w:sz="4" w:space="0" w:color="auto"/>
              <w:right w:val="nil"/>
            </w:tcBorders>
            <w:shd w:val="clear" w:color="auto" w:fill="auto"/>
            <w:vAlign w:val="center"/>
            <w:hideMark/>
          </w:tcPr>
          <w:p w14:paraId="1A7E228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3D921C57"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0EBE629" w14:textId="77777777" w:rsidTr="008819CF">
        <w:trPr>
          <w:trHeight w:val="416"/>
        </w:trPr>
        <w:tc>
          <w:tcPr>
            <w:tcW w:w="1524" w:type="dxa"/>
            <w:tcBorders>
              <w:top w:val="nil"/>
              <w:left w:val="nil"/>
              <w:bottom w:val="single" w:sz="4" w:space="0" w:color="auto"/>
              <w:right w:val="nil"/>
            </w:tcBorders>
            <w:shd w:val="clear" w:color="auto" w:fill="auto"/>
            <w:vAlign w:val="center"/>
            <w:hideMark/>
          </w:tcPr>
          <w:p w14:paraId="662553E0" w14:textId="3E76B82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Shojania 1998</w:t>
            </w:r>
          </w:p>
        </w:tc>
        <w:tc>
          <w:tcPr>
            <w:tcW w:w="802" w:type="dxa"/>
            <w:tcBorders>
              <w:top w:val="nil"/>
              <w:left w:val="nil"/>
              <w:bottom w:val="single" w:sz="4" w:space="0" w:color="auto"/>
              <w:right w:val="nil"/>
            </w:tcBorders>
            <w:shd w:val="clear" w:color="auto" w:fill="auto"/>
            <w:vAlign w:val="center"/>
            <w:hideMark/>
          </w:tcPr>
          <w:p w14:paraId="410FB22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1231A29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5362A7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intravenous vancomycin use.</w:t>
            </w:r>
          </w:p>
        </w:tc>
        <w:tc>
          <w:tcPr>
            <w:tcW w:w="4364" w:type="dxa"/>
            <w:tcBorders>
              <w:top w:val="nil"/>
              <w:left w:val="nil"/>
              <w:bottom w:val="single" w:sz="4" w:space="0" w:color="auto"/>
              <w:right w:val="nil"/>
            </w:tcBorders>
            <w:shd w:val="clear" w:color="auto" w:fill="auto"/>
            <w:vAlign w:val="center"/>
            <w:hideMark/>
          </w:tcPr>
          <w:p w14:paraId="5A08850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Number of vancomycin orders and duration of vancomycin therapy</w:t>
            </w:r>
          </w:p>
        </w:tc>
        <w:tc>
          <w:tcPr>
            <w:tcW w:w="3209" w:type="dxa"/>
            <w:tcBorders>
              <w:top w:val="nil"/>
              <w:left w:val="nil"/>
              <w:bottom w:val="single" w:sz="4" w:space="0" w:color="auto"/>
              <w:right w:val="nil"/>
            </w:tcBorders>
            <w:shd w:val="clear" w:color="auto" w:fill="auto"/>
            <w:vAlign w:val="center"/>
            <w:hideMark/>
          </w:tcPr>
          <w:p w14:paraId="13E531C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a tertiary care teaching hospital.</w:t>
            </w:r>
          </w:p>
        </w:tc>
        <w:tc>
          <w:tcPr>
            <w:tcW w:w="709" w:type="dxa"/>
            <w:tcBorders>
              <w:top w:val="nil"/>
              <w:left w:val="nil"/>
              <w:bottom w:val="single" w:sz="4" w:space="0" w:color="auto"/>
              <w:right w:val="nil"/>
            </w:tcBorders>
            <w:shd w:val="clear" w:color="auto" w:fill="auto"/>
            <w:vAlign w:val="center"/>
            <w:hideMark/>
          </w:tcPr>
          <w:p w14:paraId="483FC16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58B8E26D" w14:textId="77777777" w:rsidTr="008819CF">
        <w:trPr>
          <w:trHeight w:val="280"/>
        </w:trPr>
        <w:tc>
          <w:tcPr>
            <w:tcW w:w="1524" w:type="dxa"/>
            <w:tcBorders>
              <w:top w:val="nil"/>
              <w:left w:val="nil"/>
              <w:bottom w:val="single" w:sz="4" w:space="0" w:color="auto"/>
              <w:right w:val="nil"/>
            </w:tcBorders>
            <w:shd w:val="clear" w:color="auto" w:fill="auto"/>
            <w:vAlign w:val="center"/>
            <w:hideMark/>
          </w:tcPr>
          <w:p w14:paraId="04E986E5" w14:textId="1438BA88"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Singh 2000</w:t>
            </w:r>
          </w:p>
        </w:tc>
        <w:tc>
          <w:tcPr>
            <w:tcW w:w="802" w:type="dxa"/>
            <w:tcBorders>
              <w:top w:val="nil"/>
              <w:left w:val="nil"/>
              <w:bottom w:val="single" w:sz="4" w:space="0" w:color="auto"/>
              <w:right w:val="nil"/>
            </w:tcBorders>
            <w:shd w:val="clear" w:color="auto" w:fill="auto"/>
            <w:vAlign w:val="center"/>
            <w:hideMark/>
          </w:tcPr>
          <w:p w14:paraId="0DE8A40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30EA950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2636B7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Minimize unnecessary / overtreatment antibiotic use</w:t>
            </w:r>
          </w:p>
        </w:tc>
        <w:tc>
          <w:tcPr>
            <w:tcW w:w="4364" w:type="dxa"/>
            <w:tcBorders>
              <w:top w:val="nil"/>
              <w:left w:val="nil"/>
              <w:bottom w:val="single" w:sz="4" w:space="0" w:color="auto"/>
              <w:right w:val="nil"/>
            </w:tcBorders>
            <w:shd w:val="clear" w:color="auto" w:fill="auto"/>
            <w:vAlign w:val="center"/>
            <w:hideMark/>
          </w:tcPr>
          <w:p w14:paraId="2B1E396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Duration of antibiotic treatment. </w:t>
            </w:r>
          </w:p>
        </w:tc>
        <w:tc>
          <w:tcPr>
            <w:tcW w:w="3209" w:type="dxa"/>
            <w:tcBorders>
              <w:top w:val="nil"/>
              <w:left w:val="nil"/>
              <w:bottom w:val="single" w:sz="4" w:space="0" w:color="auto"/>
              <w:right w:val="nil"/>
            </w:tcBorders>
            <w:shd w:val="clear" w:color="auto" w:fill="auto"/>
            <w:vAlign w:val="center"/>
            <w:hideMark/>
          </w:tcPr>
          <w:p w14:paraId="418CEC5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Physicians in ICU </w:t>
            </w:r>
          </w:p>
        </w:tc>
        <w:tc>
          <w:tcPr>
            <w:tcW w:w="709" w:type="dxa"/>
            <w:tcBorders>
              <w:top w:val="nil"/>
              <w:left w:val="nil"/>
              <w:bottom w:val="single" w:sz="4" w:space="0" w:color="auto"/>
              <w:right w:val="nil"/>
            </w:tcBorders>
            <w:shd w:val="clear" w:color="auto" w:fill="auto"/>
            <w:vAlign w:val="center"/>
            <w:hideMark/>
          </w:tcPr>
          <w:p w14:paraId="6EC00CD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72825C6C" w14:textId="77777777" w:rsidTr="008819CF">
        <w:trPr>
          <w:trHeight w:val="427"/>
        </w:trPr>
        <w:tc>
          <w:tcPr>
            <w:tcW w:w="1524" w:type="dxa"/>
            <w:tcBorders>
              <w:top w:val="nil"/>
              <w:left w:val="nil"/>
              <w:bottom w:val="single" w:sz="4" w:space="0" w:color="auto"/>
              <w:right w:val="nil"/>
            </w:tcBorders>
            <w:shd w:val="clear" w:color="auto" w:fill="auto"/>
            <w:vAlign w:val="center"/>
            <w:hideMark/>
          </w:tcPr>
          <w:p w14:paraId="47D35F77" w14:textId="2649BD58"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Sirinavin 1998</w:t>
            </w:r>
          </w:p>
        </w:tc>
        <w:tc>
          <w:tcPr>
            <w:tcW w:w="802" w:type="dxa"/>
            <w:tcBorders>
              <w:top w:val="nil"/>
              <w:left w:val="nil"/>
              <w:bottom w:val="single" w:sz="4" w:space="0" w:color="auto"/>
              <w:right w:val="nil"/>
            </w:tcBorders>
            <w:shd w:val="clear" w:color="auto" w:fill="auto"/>
            <w:vAlign w:val="center"/>
            <w:hideMark/>
          </w:tcPr>
          <w:p w14:paraId="1302395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575E81A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FA1466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inappropriate / overuse prescribing of antibiotics</w:t>
            </w:r>
          </w:p>
        </w:tc>
        <w:tc>
          <w:tcPr>
            <w:tcW w:w="4364" w:type="dxa"/>
            <w:tcBorders>
              <w:top w:val="nil"/>
              <w:left w:val="nil"/>
              <w:bottom w:val="single" w:sz="4" w:space="0" w:color="auto"/>
              <w:right w:val="nil"/>
            </w:tcBorders>
            <w:shd w:val="clear" w:color="auto" w:fill="auto"/>
            <w:vAlign w:val="center"/>
            <w:hideMark/>
          </w:tcPr>
          <w:p w14:paraId="4916A99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Total restricted drugs cost</w:t>
            </w:r>
          </w:p>
        </w:tc>
        <w:tc>
          <w:tcPr>
            <w:tcW w:w="3209" w:type="dxa"/>
            <w:tcBorders>
              <w:top w:val="nil"/>
              <w:left w:val="nil"/>
              <w:bottom w:val="single" w:sz="4" w:space="0" w:color="auto"/>
              <w:right w:val="nil"/>
            </w:tcBorders>
            <w:shd w:val="clear" w:color="auto" w:fill="auto"/>
            <w:vAlign w:val="center"/>
            <w:hideMark/>
          </w:tcPr>
          <w:p w14:paraId="0576083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All physician in hospital</w:t>
            </w:r>
          </w:p>
        </w:tc>
        <w:tc>
          <w:tcPr>
            <w:tcW w:w="709" w:type="dxa"/>
            <w:tcBorders>
              <w:top w:val="nil"/>
              <w:left w:val="nil"/>
              <w:bottom w:val="single" w:sz="4" w:space="0" w:color="auto"/>
              <w:right w:val="nil"/>
            </w:tcBorders>
            <w:shd w:val="clear" w:color="auto" w:fill="auto"/>
            <w:vAlign w:val="center"/>
            <w:hideMark/>
          </w:tcPr>
          <w:p w14:paraId="4DEF5AF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54C7DABC" w14:textId="77777777" w:rsidTr="008819CF">
        <w:trPr>
          <w:trHeight w:val="507"/>
        </w:trPr>
        <w:tc>
          <w:tcPr>
            <w:tcW w:w="1524" w:type="dxa"/>
            <w:tcBorders>
              <w:top w:val="nil"/>
              <w:left w:val="nil"/>
              <w:bottom w:val="single" w:sz="4" w:space="0" w:color="auto"/>
              <w:right w:val="nil"/>
            </w:tcBorders>
            <w:shd w:val="clear" w:color="auto" w:fill="auto"/>
            <w:vAlign w:val="center"/>
            <w:hideMark/>
          </w:tcPr>
          <w:p w14:paraId="0E208423" w14:textId="3C2BCAE1"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Siriwardena 2002</w:t>
            </w:r>
          </w:p>
        </w:tc>
        <w:tc>
          <w:tcPr>
            <w:tcW w:w="802" w:type="dxa"/>
            <w:tcBorders>
              <w:top w:val="nil"/>
              <w:left w:val="nil"/>
              <w:bottom w:val="single" w:sz="4" w:space="0" w:color="auto"/>
              <w:right w:val="nil"/>
            </w:tcBorders>
            <w:shd w:val="clear" w:color="auto" w:fill="auto"/>
            <w:vAlign w:val="center"/>
            <w:hideMark/>
          </w:tcPr>
          <w:p w14:paraId="1079F19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3135A3D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71DA55B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influenza and pneumococcal vaccinations</w:t>
            </w:r>
          </w:p>
        </w:tc>
        <w:tc>
          <w:tcPr>
            <w:tcW w:w="4364" w:type="dxa"/>
            <w:tcBorders>
              <w:top w:val="nil"/>
              <w:left w:val="nil"/>
              <w:bottom w:val="single" w:sz="4" w:space="0" w:color="auto"/>
              <w:right w:val="nil"/>
            </w:tcBorders>
            <w:shd w:val="clear" w:color="auto" w:fill="auto"/>
            <w:vAlign w:val="center"/>
            <w:hideMark/>
          </w:tcPr>
          <w:p w14:paraId="6017A16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Vaccination rates by practices for patients aged 65 years and over, and patients with CHD, diabetes, and splenectomy, six months after the educational outreach visit.</w:t>
            </w:r>
          </w:p>
        </w:tc>
        <w:tc>
          <w:tcPr>
            <w:tcW w:w="3209" w:type="dxa"/>
            <w:tcBorders>
              <w:top w:val="nil"/>
              <w:left w:val="nil"/>
              <w:bottom w:val="single" w:sz="4" w:space="0" w:color="auto"/>
              <w:right w:val="nil"/>
            </w:tcBorders>
            <w:shd w:val="clear" w:color="auto" w:fill="auto"/>
            <w:vAlign w:val="center"/>
            <w:hideMark/>
          </w:tcPr>
          <w:p w14:paraId="0596D3C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0A896A83"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87E670E" w14:textId="77777777" w:rsidTr="008819CF">
        <w:trPr>
          <w:trHeight w:val="445"/>
        </w:trPr>
        <w:tc>
          <w:tcPr>
            <w:tcW w:w="1524" w:type="dxa"/>
            <w:tcBorders>
              <w:top w:val="nil"/>
              <w:left w:val="nil"/>
              <w:bottom w:val="single" w:sz="4" w:space="0" w:color="auto"/>
              <w:right w:val="nil"/>
            </w:tcBorders>
            <w:shd w:val="clear" w:color="auto" w:fill="auto"/>
            <w:vAlign w:val="center"/>
            <w:hideMark/>
          </w:tcPr>
          <w:p w14:paraId="121F5284" w14:textId="6F1F11AD"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Skaer 1993</w:t>
            </w:r>
          </w:p>
        </w:tc>
        <w:tc>
          <w:tcPr>
            <w:tcW w:w="802" w:type="dxa"/>
            <w:tcBorders>
              <w:top w:val="nil"/>
              <w:left w:val="nil"/>
              <w:bottom w:val="single" w:sz="4" w:space="0" w:color="auto"/>
              <w:right w:val="nil"/>
            </w:tcBorders>
            <w:shd w:val="clear" w:color="auto" w:fill="auto"/>
            <w:vAlign w:val="center"/>
            <w:hideMark/>
          </w:tcPr>
          <w:p w14:paraId="56AD3AD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4EB810D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66BF3A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Reduce inappropriate / overuse prescribing of antibiotics </w:t>
            </w:r>
          </w:p>
        </w:tc>
        <w:tc>
          <w:tcPr>
            <w:tcW w:w="4364" w:type="dxa"/>
            <w:tcBorders>
              <w:top w:val="nil"/>
              <w:left w:val="nil"/>
              <w:bottom w:val="single" w:sz="4" w:space="0" w:color="auto"/>
              <w:right w:val="nil"/>
            </w:tcBorders>
            <w:shd w:val="clear" w:color="auto" w:fill="auto"/>
            <w:vAlign w:val="center"/>
            <w:hideMark/>
          </w:tcPr>
          <w:p w14:paraId="766F5A2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Rates of antibiotic use</w:t>
            </w:r>
          </w:p>
        </w:tc>
        <w:tc>
          <w:tcPr>
            <w:tcW w:w="3209" w:type="dxa"/>
            <w:tcBorders>
              <w:top w:val="nil"/>
              <w:left w:val="nil"/>
              <w:bottom w:val="single" w:sz="4" w:space="0" w:color="auto"/>
              <w:right w:val="nil"/>
            </w:tcBorders>
            <w:shd w:val="clear" w:color="auto" w:fill="auto"/>
            <w:vAlign w:val="center"/>
            <w:hideMark/>
          </w:tcPr>
          <w:p w14:paraId="28E2A07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 in US hospital</w:t>
            </w:r>
          </w:p>
        </w:tc>
        <w:tc>
          <w:tcPr>
            <w:tcW w:w="709" w:type="dxa"/>
            <w:tcBorders>
              <w:top w:val="nil"/>
              <w:left w:val="nil"/>
              <w:bottom w:val="single" w:sz="4" w:space="0" w:color="auto"/>
              <w:right w:val="nil"/>
            </w:tcBorders>
            <w:shd w:val="clear" w:color="auto" w:fill="auto"/>
            <w:vAlign w:val="center"/>
            <w:hideMark/>
          </w:tcPr>
          <w:p w14:paraId="5AE619F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7F3638BF" w14:textId="77777777" w:rsidTr="008819CF">
        <w:trPr>
          <w:trHeight w:val="383"/>
        </w:trPr>
        <w:tc>
          <w:tcPr>
            <w:tcW w:w="1524" w:type="dxa"/>
            <w:tcBorders>
              <w:top w:val="nil"/>
              <w:left w:val="nil"/>
              <w:bottom w:val="single" w:sz="4" w:space="0" w:color="auto"/>
              <w:right w:val="nil"/>
            </w:tcBorders>
            <w:shd w:val="clear" w:color="auto" w:fill="auto"/>
            <w:vAlign w:val="center"/>
            <w:hideMark/>
          </w:tcPr>
          <w:p w14:paraId="34444D84" w14:textId="3D434813"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Solomon 2001</w:t>
            </w:r>
          </w:p>
        </w:tc>
        <w:tc>
          <w:tcPr>
            <w:tcW w:w="802" w:type="dxa"/>
            <w:tcBorders>
              <w:top w:val="nil"/>
              <w:left w:val="nil"/>
              <w:bottom w:val="single" w:sz="4" w:space="0" w:color="auto"/>
              <w:right w:val="nil"/>
            </w:tcBorders>
            <w:shd w:val="clear" w:color="auto" w:fill="auto"/>
            <w:vAlign w:val="center"/>
            <w:hideMark/>
          </w:tcPr>
          <w:p w14:paraId="3B5E9B1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3770AEE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78F29CD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inappropriate /misuse prescribing of antibiotics</w:t>
            </w:r>
          </w:p>
        </w:tc>
        <w:tc>
          <w:tcPr>
            <w:tcW w:w="4364" w:type="dxa"/>
            <w:tcBorders>
              <w:top w:val="nil"/>
              <w:left w:val="nil"/>
              <w:bottom w:val="single" w:sz="4" w:space="0" w:color="auto"/>
              <w:right w:val="nil"/>
            </w:tcBorders>
            <w:shd w:val="clear" w:color="auto" w:fill="auto"/>
            <w:vAlign w:val="center"/>
            <w:hideMark/>
          </w:tcPr>
          <w:p w14:paraId="0E771A6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Number of days of unnecessary ceftazidime or levofloxacin.</w:t>
            </w:r>
          </w:p>
        </w:tc>
        <w:tc>
          <w:tcPr>
            <w:tcW w:w="3209" w:type="dxa"/>
            <w:tcBorders>
              <w:top w:val="nil"/>
              <w:left w:val="nil"/>
              <w:bottom w:val="single" w:sz="4" w:space="0" w:color="auto"/>
              <w:right w:val="nil"/>
            </w:tcBorders>
            <w:shd w:val="clear" w:color="auto" w:fill="auto"/>
            <w:vAlign w:val="center"/>
            <w:hideMark/>
          </w:tcPr>
          <w:p w14:paraId="0A3BB8E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Internal medicine </w:t>
            </w:r>
          </w:p>
        </w:tc>
        <w:tc>
          <w:tcPr>
            <w:tcW w:w="709" w:type="dxa"/>
            <w:tcBorders>
              <w:top w:val="nil"/>
              <w:left w:val="nil"/>
              <w:bottom w:val="single" w:sz="4" w:space="0" w:color="auto"/>
              <w:right w:val="nil"/>
            </w:tcBorders>
            <w:shd w:val="clear" w:color="auto" w:fill="auto"/>
            <w:vAlign w:val="center"/>
            <w:hideMark/>
          </w:tcPr>
          <w:p w14:paraId="719F16A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23C187B1" w14:textId="77777777" w:rsidTr="008819CF">
        <w:trPr>
          <w:trHeight w:val="247"/>
        </w:trPr>
        <w:tc>
          <w:tcPr>
            <w:tcW w:w="1524" w:type="dxa"/>
            <w:tcBorders>
              <w:top w:val="nil"/>
              <w:left w:val="nil"/>
              <w:bottom w:val="single" w:sz="4" w:space="0" w:color="auto"/>
              <w:right w:val="nil"/>
            </w:tcBorders>
            <w:shd w:val="clear" w:color="auto" w:fill="auto"/>
            <w:vAlign w:val="center"/>
            <w:hideMark/>
          </w:tcPr>
          <w:p w14:paraId="5E2BFD48" w14:textId="50D349D0"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Solomon 2004</w:t>
            </w:r>
          </w:p>
        </w:tc>
        <w:tc>
          <w:tcPr>
            <w:tcW w:w="802" w:type="dxa"/>
            <w:tcBorders>
              <w:top w:val="nil"/>
              <w:left w:val="nil"/>
              <w:bottom w:val="single" w:sz="4" w:space="0" w:color="auto"/>
              <w:right w:val="nil"/>
            </w:tcBorders>
            <w:shd w:val="clear" w:color="auto" w:fill="auto"/>
            <w:vAlign w:val="center"/>
            <w:hideMark/>
          </w:tcPr>
          <w:p w14:paraId="58A0A3C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 / A+F</w:t>
            </w:r>
          </w:p>
        </w:tc>
        <w:tc>
          <w:tcPr>
            <w:tcW w:w="1051" w:type="dxa"/>
            <w:tcBorders>
              <w:top w:val="nil"/>
              <w:left w:val="nil"/>
              <w:bottom w:val="single" w:sz="4" w:space="0" w:color="auto"/>
              <w:right w:val="nil"/>
            </w:tcBorders>
            <w:shd w:val="clear" w:color="auto" w:fill="auto"/>
            <w:vAlign w:val="center"/>
            <w:hideMark/>
          </w:tcPr>
          <w:p w14:paraId="25B7BCF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4DA42D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management of glucocorticoid-induced osteoporosis (GIOP)</w:t>
            </w:r>
          </w:p>
        </w:tc>
        <w:tc>
          <w:tcPr>
            <w:tcW w:w="4364" w:type="dxa"/>
            <w:tcBorders>
              <w:top w:val="nil"/>
              <w:left w:val="nil"/>
              <w:bottom w:val="single" w:sz="4" w:space="0" w:color="auto"/>
              <w:right w:val="nil"/>
            </w:tcBorders>
            <w:shd w:val="clear" w:color="auto" w:fill="auto"/>
            <w:vAlign w:val="center"/>
            <w:hideMark/>
          </w:tcPr>
          <w:p w14:paraId="1443723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Bone Density Screening and prescribing Osteoporosis drugs for Glucocorticoid induced osteoporosis </w:t>
            </w:r>
          </w:p>
        </w:tc>
        <w:tc>
          <w:tcPr>
            <w:tcW w:w="3209" w:type="dxa"/>
            <w:tcBorders>
              <w:top w:val="nil"/>
              <w:left w:val="nil"/>
              <w:bottom w:val="single" w:sz="4" w:space="0" w:color="auto"/>
              <w:right w:val="nil"/>
            </w:tcBorders>
            <w:shd w:val="clear" w:color="auto" w:fill="auto"/>
            <w:vAlign w:val="center"/>
            <w:hideMark/>
          </w:tcPr>
          <w:p w14:paraId="7A81C40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632F2C4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1EC61096" w14:textId="77777777" w:rsidTr="008819CF">
        <w:trPr>
          <w:trHeight w:val="327"/>
        </w:trPr>
        <w:tc>
          <w:tcPr>
            <w:tcW w:w="1524" w:type="dxa"/>
            <w:tcBorders>
              <w:top w:val="nil"/>
              <w:left w:val="nil"/>
              <w:bottom w:val="single" w:sz="4" w:space="0" w:color="auto"/>
              <w:right w:val="nil"/>
            </w:tcBorders>
            <w:shd w:val="clear" w:color="auto" w:fill="auto"/>
            <w:vAlign w:val="center"/>
            <w:hideMark/>
          </w:tcPr>
          <w:p w14:paraId="527F4F1E" w14:textId="38EFFCCA"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Solomon 2007</w:t>
            </w:r>
          </w:p>
        </w:tc>
        <w:tc>
          <w:tcPr>
            <w:tcW w:w="802" w:type="dxa"/>
            <w:tcBorders>
              <w:top w:val="nil"/>
              <w:left w:val="nil"/>
              <w:bottom w:val="single" w:sz="4" w:space="0" w:color="auto"/>
              <w:right w:val="nil"/>
            </w:tcBorders>
            <w:shd w:val="clear" w:color="auto" w:fill="auto"/>
            <w:vAlign w:val="center"/>
            <w:hideMark/>
          </w:tcPr>
          <w:p w14:paraId="790B061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36F68D0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2B8D478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screening (BMD tests) for osteoporosis</w:t>
            </w:r>
          </w:p>
        </w:tc>
        <w:tc>
          <w:tcPr>
            <w:tcW w:w="4364" w:type="dxa"/>
            <w:tcBorders>
              <w:top w:val="nil"/>
              <w:left w:val="nil"/>
              <w:bottom w:val="single" w:sz="4" w:space="0" w:color="auto"/>
              <w:right w:val="nil"/>
            </w:tcBorders>
            <w:shd w:val="clear" w:color="auto" w:fill="auto"/>
            <w:vAlign w:val="center"/>
            <w:hideMark/>
          </w:tcPr>
          <w:p w14:paraId="65FE7EF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The primary outcome studied was a composite of either undergoing a BMD test or initiating a medication used for osteoporosis.</w:t>
            </w:r>
          </w:p>
        </w:tc>
        <w:tc>
          <w:tcPr>
            <w:tcW w:w="3209" w:type="dxa"/>
            <w:tcBorders>
              <w:top w:val="nil"/>
              <w:left w:val="nil"/>
              <w:bottom w:val="single" w:sz="4" w:space="0" w:color="auto"/>
              <w:right w:val="nil"/>
            </w:tcBorders>
            <w:shd w:val="clear" w:color="auto" w:fill="auto"/>
            <w:vAlign w:val="center"/>
            <w:hideMark/>
          </w:tcPr>
          <w:p w14:paraId="6F59403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242E497D"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36D1C99" w14:textId="77777777" w:rsidTr="008819CF">
        <w:trPr>
          <w:trHeight w:val="690"/>
        </w:trPr>
        <w:tc>
          <w:tcPr>
            <w:tcW w:w="1524" w:type="dxa"/>
            <w:tcBorders>
              <w:top w:val="nil"/>
              <w:left w:val="nil"/>
              <w:bottom w:val="single" w:sz="4" w:space="0" w:color="auto"/>
              <w:right w:val="nil"/>
            </w:tcBorders>
            <w:shd w:val="clear" w:color="auto" w:fill="auto"/>
            <w:vAlign w:val="center"/>
            <w:hideMark/>
          </w:tcPr>
          <w:p w14:paraId="2F770B9B" w14:textId="47036F6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Solomon 2007a</w:t>
            </w:r>
          </w:p>
        </w:tc>
        <w:tc>
          <w:tcPr>
            <w:tcW w:w="802" w:type="dxa"/>
            <w:tcBorders>
              <w:top w:val="nil"/>
              <w:left w:val="nil"/>
              <w:bottom w:val="single" w:sz="4" w:space="0" w:color="auto"/>
              <w:right w:val="nil"/>
            </w:tcBorders>
            <w:shd w:val="clear" w:color="auto" w:fill="auto"/>
            <w:vAlign w:val="center"/>
            <w:hideMark/>
          </w:tcPr>
          <w:p w14:paraId="05050D3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2DD954B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592F65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suboptimal management of osteoporosis as measure by BMD tests and treatment</w:t>
            </w:r>
          </w:p>
        </w:tc>
        <w:tc>
          <w:tcPr>
            <w:tcW w:w="4364" w:type="dxa"/>
            <w:tcBorders>
              <w:top w:val="nil"/>
              <w:left w:val="nil"/>
              <w:bottom w:val="single" w:sz="4" w:space="0" w:color="auto"/>
              <w:right w:val="nil"/>
            </w:tcBorders>
            <w:shd w:val="clear" w:color="auto" w:fill="auto"/>
            <w:vAlign w:val="center"/>
            <w:hideMark/>
          </w:tcPr>
          <w:p w14:paraId="72018B5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Either undergoing a bone mineral density (BMD) testing or filling a prescription for a bone-active medication during the 10 months of follow-up.</w:t>
            </w:r>
          </w:p>
        </w:tc>
        <w:tc>
          <w:tcPr>
            <w:tcW w:w="3209" w:type="dxa"/>
            <w:tcBorders>
              <w:top w:val="nil"/>
              <w:left w:val="nil"/>
              <w:bottom w:val="single" w:sz="4" w:space="0" w:color="auto"/>
              <w:right w:val="nil"/>
            </w:tcBorders>
            <w:shd w:val="clear" w:color="auto" w:fill="auto"/>
            <w:vAlign w:val="center"/>
            <w:hideMark/>
          </w:tcPr>
          <w:p w14:paraId="404AC49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08377AC2"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2099D62F" w14:textId="77777777" w:rsidTr="008819CF">
        <w:trPr>
          <w:trHeight w:val="419"/>
        </w:trPr>
        <w:tc>
          <w:tcPr>
            <w:tcW w:w="1524" w:type="dxa"/>
            <w:tcBorders>
              <w:top w:val="nil"/>
              <w:left w:val="nil"/>
              <w:bottom w:val="single" w:sz="4" w:space="0" w:color="auto"/>
              <w:right w:val="nil"/>
            </w:tcBorders>
            <w:shd w:val="clear" w:color="auto" w:fill="auto"/>
            <w:vAlign w:val="center"/>
            <w:hideMark/>
          </w:tcPr>
          <w:p w14:paraId="1BEEF54C" w14:textId="5A77A419"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Sondergaard 2002</w:t>
            </w:r>
          </w:p>
        </w:tc>
        <w:tc>
          <w:tcPr>
            <w:tcW w:w="802" w:type="dxa"/>
            <w:tcBorders>
              <w:top w:val="nil"/>
              <w:left w:val="nil"/>
              <w:bottom w:val="single" w:sz="4" w:space="0" w:color="auto"/>
              <w:right w:val="nil"/>
            </w:tcBorders>
            <w:shd w:val="clear" w:color="auto" w:fill="auto"/>
            <w:vAlign w:val="center"/>
            <w:hideMark/>
          </w:tcPr>
          <w:p w14:paraId="394524A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C9CBFF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47C31C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prescribing patters for asthma drugs</w:t>
            </w:r>
          </w:p>
        </w:tc>
        <w:tc>
          <w:tcPr>
            <w:tcW w:w="4364" w:type="dxa"/>
            <w:tcBorders>
              <w:top w:val="nil"/>
              <w:left w:val="nil"/>
              <w:bottom w:val="single" w:sz="4" w:space="0" w:color="auto"/>
              <w:right w:val="nil"/>
            </w:tcBorders>
            <w:shd w:val="clear" w:color="auto" w:fill="auto"/>
            <w:vAlign w:val="center"/>
            <w:hideMark/>
          </w:tcPr>
          <w:p w14:paraId="7B8E861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Prescribing inhaled corticosteroid with bets 2 agonists for asthma patients</w:t>
            </w:r>
          </w:p>
        </w:tc>
        <w:tc>
          <w:tcPr>
            <w:tcW w:w="3209" w:type="dxa"/>
            <w:tcBorders>
              <w:top w:val="nil"/>
              <w:left w:val="nil"/>
              <w:bottom w:val="single" w:sz="4" w:space="0" w:color="auto"/>
              <w:right w:val="nil"/>
            </w:tcBorders>
            <w:shd w:val="clear" w:color="auto" w:fill="auto"/>
            <w:vAlign w:val="center"/>
            <w:hideMark/>
          </w:tcPr>
          <w:p w14:paraId="25BB28A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38333C3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6A6ABB0F" w14:textId="77777777" w:rsidTr="008819CF">
        <w:trPr>
          <w:trHeight w:val="269"/>
        </w:trPr>
        <w:tc>
          <w:tcPr>
            <w:tcW w:w="1524" w:type="dxa"/>
            <w:tcBorders>
              <w:top w:val="nil"/>
              <w:left w:val="nil"/>
              <w:bottom w:val="single" w:sz="4" w:space="0" w:color="auto"/>
              <w:right w:val="nil"/>
            </w:tcBorders>
            <w:shd w:val="clear" w:color="auto" w:fill="auto"/>
            <w:vAlign w:val="center"/>
            <w:hideMark/>
          </w:tcPr>
          <w:p w14:paraId="48BA987F" w14:textId="1E26746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Sondergaard</w:t>
            </w:r>
            <w:r>
              <w:rPr>
                <w:rFonts w:ascii="Arial Narrow" w:hAnsi="Arial Narrow"/>
                <w:sz w:val="18"/>
                <w:szCs w:val="18"/>
                <w:lang w:val="en-GB"/>
              </w:rPr>
              <w:t xml:space="preserve"> </w:t>
            </w:r>
            <w:r w:rsidRPr="003E6B1E">
              <w:rPr>
                <w:rFonts w:ascii="Arial Narrow" w:hAnsi="Arial Narrow"/>
                <w:sz w:val="18"/>
                <w:szCs w:val="18"/>
                <w:lang w:val="en-GB"/>
              </w:rPr>
              <w:t>2003</w:t>
            </w:r>
          </w:p>
        </w:tc>
        <w:tc>
          <w:tcPr>
            <w:tcW w:w="802" w:type="dxa"/>
            <w:tcBorders>
              <w:top w:val="nil"/>
              <w:left w:val="nil"/>
              <w:bottom w:val="single" w:sz="4" w:space="0" w:color="auto"/>
              <w:right w:val="nil"/>
            </w:tcBorders>
            <w:shd w:val="clear" w:color="auto" w:fill="auto"/>
            <w:vAlign w:val="center"/>
            <w:hideMark/>
          </w:tcPr>
          <w:p w14:paraId="39792EA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78FFB9C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587ADF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antibiotic prescription</w:t>
            </w:r>
          </w:p>
        </w:tc>
        <w:tc>
          <w:tcPr>
            <w:tcW w:w="4364" w:type="dxa"/>
            <w:tcBorders>
              <w:top w:val="nil"/>
              <w:left w:val="nil"/>
              <w:bottom w:val="single" w:sz="4" w:space="0" w:color="auto"/>
              <w:right w:val="nil"/>
            </w:tcBorders>
            <w:shd w:val="clear" w:color="auto" w:fill="auto"/>
            <w:vAlign w:val="center"/>
            <w:hideMark/>
          </w:tcPr>
          <w:p w14:paraId="412A8586" w14:textId="30A6D8BB"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Antibiotic prescribing for respiratory trac</w:t>
            </w:r>
            <w:r w:rsidR="003A23AE">
              <w:rPr>
                <w:rFonts w:ascii="Arial Narrow" w:hAnsi="Arial Narrow"/>
                <w:sz w:val="18"/>
                <w:szCs w:val="18"/>
                <w:lang w:val="en-GB"/>
              </w:rPr>
              <w:t>t</w:t>
            </w:r>
            <w:r w:rsidRPr="003E6B1E">
              <w:rPr>
                <w:rFonts w:ascii="Arial Narrow" w:hAnsi="Arial Narrow"/>
                <w:sz w:val="18"/>
                <w:szCs w:val="18"/>
                <w:lang w:val="en-GB"/>
              </w:rPr>
              <w:t xml:space="preserve"> infections</w:t>
            </w:r>
          </w:p>
        </w:tc>
        <w:tc>
          <w:tcPr>
            <w:tcW w:w="3209" w:type="dxa"/>
            <w:tcBorders>
              <w:top w:val="nil"/>
              <w:left w:val="nil"/>
              <w:bottom w:val="single" w:sz="4" w:space="0" w:color="auto"/>
              <w:right w:val="nil"/>
            </w:tcBorders>
            <w:shd w:val="clear" w:color="auto" w:fill="auto"/>
            <w:vAlign w:val="center"/>
            <w:hideMark/>
          </w:tcPr>
          <w:p w14:paraId="17512B8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1A4F2C7F"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6F835C3E" w14:textId="77777777" w:rsidTr="008819CF">
        <w:trPr>
          <w:trHeight w:val="828"/>
        </w:trPr>
        <w:tc>
          <w:tcPr>
            <w:tcW w:w="1524" w:type="dxa"/>
            <w:tcBorders>
              <w:top w:val="nil"/>
              <w:left w:val="nil"/>
              <w:bottom w:val="single" w:sz="4" w:space="0" w:color="auto"/>
              <w:right w:val="nil"/>
            </w:tcBorders>
            <w:shd w:val="clear" w:color="auto" w:fill="auto"/>
            <w:vAlign w:val="center"/>
            <w:hideMark/>
          </w:tcPr>
          <w:p w14:paraId="1B970DC3" w14:textId="055061C9"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Sondergaard 2006</w:t>
            </w:r>
          </w:p>
        </w:tc>
        <w:tc>
          <w:tcPr>
            <w:tcW w:w="802" w:type="dxa"/>
            <w:tcBorders>
              <w:top w:val="nil"/>
              <w:left w:val="nil"/>
              <w:bottom w:val="single" w:sz="4" w:space="0" w:color="auto"/>
              <w:right w:val="nil"/>
            </w:tcBorders>
            <w:shd w:val="clear" w:color="auto" w:fill="auto"/>
            <w:vAlign w:val="center"/>
            <w:hideMark/>
          </w:tcPr>
          <w:p w14:paraId="0CF7A71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13D2E2F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C5B13D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secondary prevention of ischemic heart disease</w:t>
            </w:r>
          </w:p>
        </w:tc>
        <w:tc>
          <w:tcPr>
            <w:tcW w:w="4364" w:type="dxa"/>
            <w:tcBorders>
              <w:top w:val="nil"/>
              <w:left w:val="nil"/>
              <w:bottom w:val="single" w:sz="4" w:space="0" w:color="auto"/>
              <w:right w:val="nil"/>
            </w:tcBorders>
            <w:shd w:val="clear" w:color="auto" w:fill="auto"/>
            <w:vAlign w:val="center"/>
            <w:hideMark/>
          </w:tcPr>
          <w:p w14:paraId="6D15430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The proportion of patients being treated with lipid-lowering drugs and acetylsalicylic acid and the frequency of cholesterol measuring and counselling on exercise, smoking cessation and diet</w:t>
            </w:r>
          </w:p>
        </w:tc>
        <w:tc>
          <w:tcPr>
            <w:tcW w:w="3209" w:type="dxa"/>
            <w:tcBorders>
              <w:top w:val="nil"/>
              <w:left w:val="nil"/>
              <w:bottom w:val="single" w:sz="4" w:space="0" w:color="auto"/>
              <w:right w:val="nil"/>
            </w:tcBorders>
            <w:shd w:val="clear" w:color="auto" w:fill="auto"/>
            <w:vAlign w:val="center"/>
            <w:hideMark/>
          </w:tcPr>
          <w:p w14:paraId="63BA0DA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1F5DE0BC"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8436CAC" w14:textId="77777777" w:rsidTr="008819CF">
        <w:trPr>
          <w:trHeight w:val="196"/>
        </w:trPr>
        <w:tc>
          <w:tcPr>
            <w:tcW w:w="1524" w:type="dxa"/>
            <w:tcBorders>
              <w:top w:val="nil"/>
              <w:left w:val="nil"/>
              <w:bottom w:val="single" w:sz="4" w:space="0" w:color="auto"/>
              <w:right w:val="nil"/>
            </w:tcBorders>
            <w:shd w:val="clear" w:color="auto" w:fill="auto"/>
            <w:vAlign w:val="center"/>
            <w:hideMark/>
          </w:tcPr>
          <w:p w14:paraId="1D76AF76" w14:textId="3677373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Stock 1998</w:t>
            </w:r>
          </w:p>
        </w:tc>
        <w:tc>
          <w:tcPr>
            <w:tcW w:w="802" w:type="dxa"/>
            <w:tcBorders>
              <w:top w:val="nil"/>
              <w:left w:val="nil"/>
              <w:bottom w:val="single" w:sz="4" w:space="0" w:color="auto"/>
              <w:right w:val="nil"/>
            </w:tcBorders>
            <w:shd w:val="clear" w:color="auto" w:fill="auto"/>
            <w:vAlign w:val="center"/>
            <w:hideMark/>
          </w:tcPr>
          <w:p w14:paraId="6D35FBE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4B0EF74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8308D8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use of bone densitometry</w:t>
            </w:r>
          </w:p>
        </w:tc>
        <w:tc>
          <w:tcPr>
            <w:tcW w:w="4364" w:type="dxa"/>
            <w:tcBorders>
              <w:top w:val="nil"/>
              <w:left w:val="nil"/>
              <w:bottom w:val="single" w:sz="4" w:space="0" w:color="auto"/>
              <w:right w:val="nil"/>
            </w:tcBorders>
            <w:shd w:val="clear" w:color="auto" w:fill="auto"/>
            <w:vAlign w:val="center"/>
            <w:hideMark/>
          </w:tcPr>
          <w:p w14:paraId="19B117E8" w14:textId="0BD54771"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Number of BMD tests ordered </w:t>
            </w:r>
          </w:p>
        </w:tc>
        <w:tc>
          <w:tcPr>
            <w:tcW w:w="3209" w:type="dxa"/>
            <w:tcBorders>
              <w:top w:val="nil"/>
              <w:left w:val="nil"/>
              <w:bottom w:val="single" w:sz="4" w:space="0" w:color="auto"/>
              <w:right w:val="nil"/>
            </w:tcBorders>
            <w:shd w:val="clear" w:color="auto" w:fill="auto"/>
            <w:vAlign w:val="center"/>
            <w:hideMark/>
          </w:tcPr>
          <w:p w14:paraId="39EEDFC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208B3A2C"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8610BAC" w14:textId="77777777" w:rsidTr="008819CF">
        <w:trPr>
          <w:trHeight w:val="274"/>
        </w:trPr>
        <w:tc>
          <w:tcPr>
            <w:tcW w:w="1524" w:type="dxa"/>
            <w:tcBorders>
              <w:top w:val="nil"/>
              <w:left w:val="nil"/>
              <w:bottom w:val="single" w:sz="4" w:space="0" w:color="auto"/>
              <w:right w:val="nil"/>
            </w:tcBorders>
            <w:shd w:val="clear" w:color="auto" w:fill="auto"/>
            <w:vAlign w:val="center"/>
            <w:hideMark/>
          </w:tcPr>
          <w:p w14:paraId="6DACCF49" w14:textId="4BE3EBE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Suwangool 1991</w:t>
            </w:r>
          </w:p>
        </w:tc>
        <w:tc>
          <w:tcPr>
            <w:tcW w:w="802" w:type="dxa"/>
            <w:tcBorders>
              <w:top w:val="nil"/>
              <w:left w:val="nil"/>
              <w:bottom w:val="single" w:sz="4" w:space="0" w:color="auto"/>
              <w:right w:val="nil"/>
            </w:tcBorders>
            <w:shd w:val="clear" w:color="auto" w:fill="auto"/>
            <w:vAlign w:val="center"/>
            <w:hideMark/>
          </w:tcPr>
          <w:p w14:paraId="1999045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1E47D81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538DDF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antibiotic prescribing</w:t>
            </w:r>
          </w:p>
        </w:tc>
        <w:tc>
          <w:tcPr>
            <w:tcW w:w="4364" w:type="dxa"/>
            <w:tcBorders>
              <w:top w:val="nil"/>
              <w:left w:val="nil"/>
              <w:bottom w:val="single" w:sz="4" w:space="0" w:color="auto"/>
              <w:right w:val="nil"/>
            </w:tcBorders>
            <w:shd w:val="clear" w:color="auto" w:fill="auto"/>
            <w:vAlign w:val="center"/>
            <w:hideMark/>
          </w:tcPr>
          <w:p w14:paraId="31A7314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Cost of antibiotics</w:t>
            </w:r>
          </w:p>
        </w:tc>
        <w:tc>
          <w:tcPr>
            <w:tcW w:w="3209" w:type="dxa"/>
            <w:tcBorders>
              <w:top w:val="nil"/>
              <w:left w:val="nil"/>
              <w:bottom w:val="single" w:sz="4" w:space="0" w:color="auto"/>
              <w:right w:val="nil"/>
            </w:tcBorders>
            <w:shd w:val="clear" w:color="auto" w:fill="auto"/>
            <w:vAlign w:val="center"/>
            <w:hideMark/>
          </w:tcPr>
          <w:p w14:paraId="7619681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Physicians in Dept. Medicine</w:t>
            </w:r>
          </w:p>
        </w:tc>
        <w:tc>
          <w:tcPr>
            <w:tcW w:w="709" w:type="dxa"/>
            <w:tcBorders>
              <w:top w:val="nil"/>
              <w:left w:val="nil"/>
              <w:bottom w:val="single" w:sz="4" w:space="0" w:color="auto"/>
              <w:right w:val="nil"/>
            </w:tcBorders>
            <w:shd w:val="clear" w:color="auto" w:fill="auto"/>
            <w:vAlign w:val="center"/>
            <w:hideMark/>
          </w:tcPr>
          <w:p w14:paraId="20F454A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7EDBD3B2" w14:textId="77777777" w:rsidTr="008819CF">
        <w:trPr>
          <w:trHeight w:val="416"/>
        </w:trPr>
        <w:tc>
          <w:tcPr>
            <w:tcW w:w="1524" w:type="dxa"/>
            <w:tcBorders>
              <w:top w:val="nil"/>
              <w:left w:val="nil"/>
              <w:bottom w:val="single" w:sz="4" w:space="0" w:color="auto"/>
              <w:right w:val="nil"/>
            </w:tcBorders>
            <w:shd w:val="clear" w:color="auto" w:fill="auto"/>
            <w:vAlign w:val="center"/>
            <w:hideMark/>
          </w:tcPr>
          <w:p w14:paraId="1E09A060" w14:textId="0834130A"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lastRenderedPageBreak/>
              <w:t>Thomas 2006</w:t>
            </w:r>
          </w:p>
        </w:tc>
        <w:tc>
          <w:tcPr>
            <w:tcW w:w="802" w:type="dxa"/>
            <w:tcBorders>
              <w:top w:val="nil"/>
              <w:left w:val="nil"/>
              <w:bottom w:val="single" w:sz="4" w:space="0" w:color="auto"/>
              <w:right w:val="nil"/>
            </w:tcBorders>
            <w:shd w:val="clear" w:color="auto" w:fill="auto"/>
            <w:vAlign w:val="center"/>
            <w:hideMark/>
          </w:tcPr>
          <w:p w14:paraId="725A4303"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BC9B68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546B932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laboratory tests (9 tests targeted)</w:t>
            </w:r>
          </w:p>
        </w:tc>
        <w:tc>
          <w:tcPr>
            <w:tcW w:w="4364" w:type="dxa"/>
            <w:tcBorders>
              <w:top w:val="nil"/>
              <w:left w:val="nil"/>
              <w:bottom w:val="single" w:sz="4" w:space="0" w:color="auto"/>
              <w:right w:val="nil"/>
            </w:tcBorders>
            <w:shd w:val="clear" w:color="auto" w:fill="auto"/>
            <w:vAlign w:val="center"/>
            <w:hideMark/>
          </w:tcPr>
          <w:p w14:paraId="3DF86D7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Number of each target test requested per practice - 12 months before and after intervention</w:t>
            </w:r>
          </w:p>
        </w:tc>
        <w:tc>
          <w:tcPr>
            <w:tcW w:w="3209" w:type="dxa"/>
            <w:tcBorders>
              <w:top w:val="nil"/>
              <w:left w:val="nil"/>
              <w:bottom w:val="single" w:sz="4" w:space="0" w:color="auto"/>
              <w:right w:val="nil"/>
            </w:tcBorders>
            <w:shd w:val="clear" w:color="auto" w:fill="auto"/>
            <w:vAlign w:val="center"/>
            <w:hideMark/>
          </w:tcPr>
          <w:p w14:paraId="7E8D7B6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Practitioners</w:t>
            </w:r>
          </w:p>
        </w:tc>
        <w:tc>
          <w:tcPr>
            <w:tcW w:w="709" w:type="dxa"/>
            <w:tcBorders>
              <w:top w:val="nil"/>
              <w:left w:val="nil"/>
              <w:bottom w:val="single" w:sz="4" w:space="0" w:color="auto"/>
              <w:right w:val="nil"/>
            </w:tcBorders>
            <w:shd w:val="clear" w:color="auto" w:fill="auto"/>
            <w:vAlign w:val="center"/>
            <w:hideMark/>
          </w:tcPr>
          <w:p w14:paraId="5EE12881"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14D1907" w14:textId="77777777" w:rsidTr="008819CF">
        <w:trPr>
          <w:trHeight w:val="422"/>
        </w:trPr>
        <w:tc>
          <w:tcPr>
            <w:tcW w:w="1524" w:type="dxa"/>
            <w:tcBorders>
              <w:top w:val="nil"/>
              <w:left w:val="nil"/>
              <w:bottom w:val="single" w:sz="4" w:space="0" w:color="auto"/>
              <w:right w:val="nil"/>
            </w:tcBorders>
            <w:shd w:val="clear" w:color="auto" w:fill="auto"/>
            <w:vAlign w:val="center"/>
            <w:hideMark/>
          </w:tcPr>
          <w:p w14:paraId="52555703" w14:textId="7D4B7B7C"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Thomas 2007</w:t>
            </w:r>
          </w:p>
        </w:tc>
        <w:tc>
          <w:tcPr>
            <w:tcW w:w="802" w:type="dxa"/>
            <w:tcBorders>
              <w:top w:val="nil"/>
              <w:left w:val="nil"/>
              <w:bottom w:val="single" w:sz="4" w:space="0" w:color="auto"/>
              <w:right w:val="nil"/>
            </w:tcBorders>
            <w:shd w:val="clear" w:color="auto" w:fill="auto"/>
            <w:vAlign w:val="center"/>
            <w:hideMark/>
          </w:tcPr>
          <w:p w14:paraId="2EF7F7F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79F08B7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C22E15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diabetes care processes</w:t>
            </w:r>
          </w:p>
        </w:tc>
        <w:tc>
          <w:tcPr>
            <w:tcW w:w="4364" w:type="dxa"/>
            <w:tcBorders>
              <w:top w:val="nil"/>
              <w:left w:val="nil"/>
              <w:bottom w:val="single" w:sz="4" w:space="0" w:color="auto"/>
              <w:right w:val="nil"/>
            </w:tcBorders>
            <w:shd w:val="clear" w:color="auto" w:fill="auto"/>
            <w:vAlign w:val="center"/>
            <w:hideMark/>
          </w:tcPr>
          <w:p w14:paraId="012BBEB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haemoglobin A1c (within 6mos) or cholesterol testing (within 1 year).</w:t>
            </w:r>
          </w:p>
        </w:tc>
        <w:tc>
          <w:tcPr>
            <w:tcW w:w="3209" w:type="dxa"/>
            <w:tcBorders>
              <w:top w:val="nil"/>
              <w:left w:val="nil"/>
              <w:bottom w:val="single" w:sz="4" w:space="0" w:color="auto"/>
              <w:right w:val="nil"/>
            </w:tcBorders>
            <w:shd w:val="clear" w:color="auto" w:fill="auto"/>
            <w:vAlign w:val="center"/>
            <w:hideMark/>
          </w:tcPr>
          <w:p w14:paraId="064052D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Internists</w:t>
            </w:r>
          </w:p>
        </w:tc>
        <w:tc>
          <w:tcPr>
            <w:tcW w:w="709" w:type="dxa"/>
            <w:tcBorders>
              <w:top w:val="nil"/>
              <w:left w:val="nil"/>
              <w:bottom w:val="single" w:sz="4" w:space="0" w:color="auto"/>
              <w:right w:val="nil"/>
            </w:tcBorders>
            <w:shd w:val="clear" w:color="auto" w:fill="auto"/>
            <w:vAlign w:val="center"/>
            <w:hideMark/>
          </w:tcPr>
          <w:p w14:paraId="3BC50B3E"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90A977A" w14:textId="77777777" w:rsidTr="008819CF">
        <w:trPr>
          <w:trHeight w:val="133"/>
        </w:trPr>
        <w:tc>
          <w:tcPr>
            <w:tcW w:w="1524" w:type="dxa"/>
            <w:tcBorders>
              <w:top w:val="nil"/>
              <w:left w:val="nil"/>
              <w:bottom w:val="single" w:sz="4" w:space="0" w:color="auto"/>
              <w:right w:val="nil"/>
            </w:tcBorders>
            <w:shd w:val="clear" w:color="auto" w:fill="auto"/>
            <w:vAlign w:val="center"/>
            <w:hideMark/>
          </w:tcPr>
          <w:p w14:paraId="55C5CA4E" w14:textId="1EA3F07A"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Tierney 1986</w:t>
            </w:r>
          </w:p>
        </w:tc>
        <w:tc>
          <w:tcPr>
            <w:tcW w:w="802" w:type="dxa"/>
            <w:tcBorders>
              <w:top w:val="nil"/>
              <w:left w:val="nil"/>
              <w:bottom w:val="single" w:sz="4" w:space="0" w:color="auto"/>
              <w:right w:val="nil"/>
            </w:tcBorders>
            <w:shd w:val="clear" w:color="auto" w:fill="auto"/>
            <w:vAlign w:val="center"/>
            <w:hideMark/>
          </w:tcPr>
          <w:p w14:paraId="1FEEE4F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AD35870"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8F47FB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Orde preventative care measures (13 protocols developed)</w:t>
            </w:r>
          </w:p>
        </w:tc>
        <w:tc>
          <w:tcPr>
            <w:tcW w:w="4364" w:type="dxa"/>
            <w:tcBorders>
              <w:top w:val="nil"/>
              <w:left w:val="nil"/>
              <w:bottom w:val="single" w:sz="4" w:space="0" w:color="auto"/>
              <w:right w:val="nil"/>
            </w:tcBorders>
            <w:shd w:val="clear" w:color="auto" w:fill="auto"/>
            <w:vAlign w:val="center"/>
            <w:hideMark/>
          </w:tcPr>
          <w:p w14:paraId="26D3ED04"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Fecal</w:t>
            </w:r>
            <w:proofErr w:type="spellEnd"/>
            <w:r w:rsidRPr="003E6B1E">
              <w:rPr>
                <w:rFonts w:ascii="Arial Narrow" w:hAnsi="Arial Narrow"/>
                <w:sz w:val="18"/>
                <w:szCs w:val="18"/>
                <w:lang w:val="en-GB"/>
              </w:rPr>
              <w:t xml:space="preserve"> Blood Testing; Pneumococcal Vaccination; Antacids; TB Skin Testing; Beta blocker; Nitrates; Antidepressant; Calcium Supplements; Cervical Cytology; Mammography; Metronidazole; Digitalis; Salicylates</w:t>
            </w:r>
          </w:p>
        </w:tc>
        <w:tc>
          <w:tcPr>
            <w:tcW w:w="3209" w:type="dxa"/>
            <w:tcBorders>
              <w:top w:val="nil"/>
              <w:left w:val="nil"/>
              <w:bottom w:val="single" w:sz="4" w:space="0" w:color="auto"/>
              <w:right w:val="nil"/>
            </w:tcBorders>
            <w:shd w:val="clear" w:color="auto" w:fill="auto"/>
            <w:vAlign w:val="center"/>
            <w:hideMark/>
          </w:tcPr>
          <w:p w14:paraId="2B38770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Internists</w:t>
            </w:r>
          </w:p>
        </w:tc>
        <w:tc>
          <w:tcPr>
            <w:tcW w:w="709" w:type="dxa"/>
            <w:tcBorders>
              <w:top w:val="nil"/>
              <w:left w:val="nil"/>
              <w:bottom w:val="single" w:sz="4" w:space="0" w:color="auto"/>
              <w:right w:val="nil"/>
            </w:tcBorders>
            <w:shd w:val="clear" w:color="auto" w:fill="auto"/>
            <w:vAlign w:val="center"/>
            <w:hideMark/>
          </w:tcPr>
          <w:p w14:paraId="51A599D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2B33B493" w14:textId="77777777" w:rsidTr="00ED614F">
        <w:trPr>
          <w:trHeight w:val="225"/>
        </w:trPr>
        <w:tc>
          <w:tcPr>
            <w:tcW w:w="1524" w:type="dxa"/>
            <w:tcBorders>
              <w:top w:val="nil"/>
              <w:left w:val="nil"/>
              <w:bottom w:val="single" w:sz="4" w:space="0" w:color="auto"/>
              <w:right w:val="nil"/>
            </w:tcBorders>
            <w:shd w:val="clear" w:color="auto" w:fill="auto"/>
            <w:vAlign w:val="center"/>
            <w:hideMark/>
          </w:tcPr>
          <w:p w14:paraId="06621823" w14:textId="556B7DF8"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Toltzis</w:t>
            </w:r>
            <w:proofErr w:type="spellEnd"/>
            <w:r w:rsidRPr="003E6B1E">
              <w:rPr>
                <w:rFonts w:ascii="Arial Narrow" w:hAnsi="Arial Narrow"/>
                <w:sz w:val="18"/>
                <w:szCs w:val="18"/>
                <w:lang w:val="en-GB"/>
              </w:rPr>
              <w:t xml:space="preserve"> 1998</w:t>
            </w:r>
          </w:p>
        </w:tc>
        <w:tc>
          <w:tcPr>
            <w:tcW w:w="802" w:type="dxa"/>
            <w:tcBorders>
              <w:top w:val="nil"/>
              <w:left w:val="nil"/>
              <w:bottom w:val="single" w:sz="4" w:space="0" w:color="auto"/>
              <w:right w:val="nil"/>
            </w:tcBorders>
            <w:shd w:val="clear" w:color="auto" w:fill="auto"/>
            <w:vAlign w:val="center"/>
            <w:hideMark/>
          </w:tcPr>
          <w:p w14:paraId="7C44B10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72477FB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BFAFE7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w:t>
            </w:r>
            <w:r>
              <w:rPr>
                <w:rFonts w:ascii="Arial Narrow" w:hAnsi="Arial Narrow"/>
                <w:sz w:val="18"/>
                <w:szCs w:val="18"/>
                <w:lang w:val="en-GB"/>
              </w:rPr>
              <w:t>ce</w:t>
            </w:r>
            <w:r w:rsidRPr="003E6B1E">
              <w:rPr>
                <w:rFonts w:ascii="Arial Narrow" w:hAnsi="Arial Narrow"/>
                <w:sz w:val="18"/>
                <w:szCs w:val="18"/>
                <w:lang w:val="en-GB"/>
              </w:rPr>
              <w:t xml:space="preserve"> ceftazidime prescribing</w:t>
            </w:r>
          </w:p>
        </w:tc>
        <w:tc>
          <w:tcPr>
            <w:tcW w:w="4364" w:type="dxa"/>
            <w:tcBorders>
              <w:top w:val="nil"/>
              <w:left w:val="nil"/>
              <w:bottom w:val="single" w:sz="4" w:space="0" w:color="auto"/>
              <w:right w:val="nil"/>
            </w:tcBorders>
            <w:shd w:val="clear" w:color="auto" w:fill="auto"/>
            <w:vAlign w:val="center"/>
            <w:hideMark/>
          </w:tcPr>
          <w:p w14:paraId="270138F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Ceftazidime doses</w:t>
            </w:r>
          </w:p>
        </w:tc>
        <w:tc>
          <w:tcPr>
            <w:tcW w:w="3209" w:type="dxa"/>
            <w:tcBorders>
              <w:top w:val="nil"/>
              <w:left w:val="nil"/>
              <w:bottom w:val="single" w:sz="4" w:space="0" w:color="auto"/>
              <w:right w:val="nil"/>
            </w:tcBorders>
            <w:shd w:val="clear" w:color="auto" w:fill="auto"/>
            <w:vAlign w:val="center"/>
            <w:hideMark/>
          </w:tcPr>
          <w:p w14:paraId="74F2D00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All physicians in a mixed medical and surgical paediatric ICU </w:t>
            </w:r>
          </w:p>
        </w:tc>
        <w:tc>
          <w:tcPr>
            <w:tcW w:w="709" w:type="dxa"/>
            <w:tcBorders>
              <w:top w:val="nil"/>
              <w:left w:val="nil"/>
              <w:bottom w:val="single" w:sz="4" w:space="0" w:color="auto"/>
              <w:right w:val="nil"/>
            </w:tcBorders>
            <w:shd w:val="clear" w:color="auto" w:fill="auto"/>
            <w:vAlign w:val="center"/>
            <w:hideMark/>
          </w:tcPr>
          <w:p w14:paraId="5A91ECB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71440474" w14:textId="77777777" w:rsidTr="008819CF">
        <w:trPr>
          <w:trHeight w:val="407"/>
        </w:trPr>
        <w:tc>
          <w:tcPr>
            <w:tcW w:w="1524" w:type="dxa"/>
            <w:tcBorders>
              <w:top w:val="nil"/>
              <w:left w:val="nil"/>
              <w:bottom w:val="single" w:sz="4" w:space="0" w:color="auto"/>
              <w:right w:val="nil"/>
            </w:tcBorders>
            <w:shd w:val="clear" w:color="auto" w:fill="auto"/>
            <w:vAlign w:val="center"/>
            <w:hideMark/>
          </w:tcPr>
          <w:p w14:paraId="79A341CB" w14:textId="3A28E05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Tu 2009</w:t>
            </w:r>
          </w:p>
        </w:tc>
        <w:tc>
          <w:tcPr>
            <w:tcW w:w="802" w:type="dxa"/>
            <w:tcBorders>
              <w:top w:val="nil"/>
              <w:left w:val="nil"/>
              <w:bottom w:val="single" w:sz="4" w:space="0" w:color="auto"/>
              <w:right w:val="nil"/>
            </w:tcBorders>
            <w:shd w:val="clear" w:color="auto" w:fill="auto"/>
            <w:vAlign w:val="center"/>
            <w:hideMark/>
          </w:tcPr>
          <w:p w14:paraId="071FF32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FBFA995"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26D99C7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Improve the quality of cardiac care </w:t>
            </w:r>
          </w:p>
        </w:tc>
        <w:tc>
          <w:tcPr>
            <w:tcW w:w="4364" w:type="dxa"/>
            <w:tcBorders>
              <w:top w:val="nil"/>
              <w:left w:val="nil"/>
              <w:bottom w:val="single" w:sz="4" w:space="0" w:color="auto"/>
              <w:right w:val="nil"/>
            </w:tcBorders>
            <w:shd w:val="clear" w:color="auto" w:fill="auto"/>
            <w:vAlign w:val="center"/>
            <w:hideMark/>
          </w:tcPr>
          <w:p w14:paraId="0555157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12 indicators for acute myocardial infarction and 6 for Congestive Heart Failure</w:t>
            </w:r>
          </w:p>
        </w:tc>
        <w:tc>
          <w:tcPr>
            <w:tcW w:w="3209" w:type="dxa"/>
            <w:tcBorders>
              <w:top w:val="nil"/>
              <w:left w:val="nil"/>
              <w:bottom w:val="single" w:sz="4" w:space="0" w:color="auto"/>
              <w:right w:val="nil"/>
            </w:tcBorders>
            <w:shd w:val="clear" w:color="auto" w:fill="auto"/>
            <w:vAlign w:val="center"/>
            <w:hideMark/>
          </w:tcPr>
          <w:p w14:paraId="2C26517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Internists</w:t>
            </w:r>
          </w:p>
        </w:tc>
        <w:tc>
          <w:tcPr>
            <w:tcW w:w="709" w:type="dxa"/>
            <w:tcBorders>
              <w:top w:val="nil"/>
              <w:left w:val="nil"/>
              <w:bottom w:val="single" w:sz="4" w:space="0" w:color="auto"/>
              <w:right w:val="nil"/>
            </w:tcBorders>
            <w:shd w:val="clear" w:color="auto" w:fill="auto"/>
            <w:vAlign w:val="center"/>
            <w:hideMark/>
          </w:tcPr>
          <w:p w14:paraId="4D7A8B6F"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52554CFB" w14:textId="77777777" w:rsidTr="008819CF">
        <w:trPr>
          <w:trHeight w:val="487"/>
        </w:trPr>
        <w:tc>
          <w:tcPr>
            <w:tcW w:w="1524" w:type="dxa"/>
            <w:tcBorders>
              <w:top w:val="nil"/>
              <w:left w:val="nil"/>
              <w:bottom w:val="single" w:sz="4" w:space="0" w:color="auto"/>
              <w:right w:val="nil"/>
            </w:tcBorders>
            <w:shd w:val="clear" w:color="auto" w:fill="auto"/>
            <w:vAlign w:val="center"/>
            <w:hideMark/>
          </w:tcPr>
          <w:p w14:paraId="596BBBE4" w14:textId="7724F373"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Van Kasteren 2005 </w:t>
            </w:r>
          </w:p>
        </w:tc>
        <w:tc>
          <w:tcPr>
            <w:tcW w:w="802" w:type="dxa"/>
            <w:tcBorders>
              <w:top w:val="nil"/>
              <w:left w:val="nil"/>
              <w:bottom w:val="single" w:sz="4" w:space="0" w:color="auto"/>
              <w:right w:val="nil"/>
            </w:tcBorders>
            <w:shd w:val="clear" w:color="auto" w:fill="auto"/>
            <w:vAlign w:val="center"/>
            <w:hideMark/>
          </w:tcPr>
          <w:p w14:paraId="15140D7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3D548C4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6F97678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the quantity of surgical prophylaxis</w:t>
            </w:r>
          </w:p>
        </w:tc>
        <w:tc>
          <w:tcPr>
            <w:tcW w:w="4364" w:type="dxa"/>
            <w:tcBorders>
              <w:top w:val="nil"/>
              <w:left w:val="nil"/>
              <w:bottom w:val="single" w:sz="4" w:space="0" w:color="auto"/>
              <w:right w:val="nil"/>
            </w:tcBorders>
            <w:shd w:val="clear" w:color="auto" w:fill="auto"/>
            <w:vAlign w:val="center"/>
            <w:hideMark/>
          </w:tcPr>
          <w:p w14:paraId="1E6B5BB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Process outcome parameters were antibiotic choice, duration, timing, antibiotic volume and costs. </w:t>
            </w:r>
          </w:p>
        </w:tc>
        <w:tc>
          <w:tcPr>
            <w:tcW w:w="3209" w:type="dxa"/>
            <w:tcBorders>
              <w:top w:val="nil"/>
              <w:left w:val="nil"/>
              <w:bottom w:val="single" w:sz="4" w:space="0" w:color="auto"/>
              <w:right w:val="nil"/>
            </w:tcBorders>
            <w:shd w:val="clear" w:color="auto" w:fill="auto"/>
            <w:vAlign w:val="center"/>
            <w:hideMark/>
          </w:tcPr>
          <w:p w14:paraId="17A9713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Health professionals within 13 hospitals in Netherlands </w:t>
            </w:r>
          </w:p>
        </w:tc>
        <w:tc>
          <w:tcPr>
            <w:tcW w:w="709" w:type="dxa"/>
            <w:tcBorders>
              <w:top w:val="nil"/>
              <w:left w:val="nil"/>
              <w:bottom w:val="single" w:sz="4" w:space="0" w:color="auto"/>
              <w:right w:val="nil"/>
            </w:tcBorders>
            <w:shd w:val="clear" w:color="auto" w:fill="auto"/>
            <w:vAlign w:val="center"/>
            <w:hideMark/>
          </w:tcPr>
          <w:p w14:paraId="3079F91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3D3A5883" w14:textId="77777777" w:rsidTr="00ED614F">
        <w:trPr>
          <w:trHeight w:val="442"/>
        </w:trPr>
        <w:tc>
          <w:tcPr>
            <w:tcW w:w="1524" w:type="dxa"/>
            <w:tcBorders>
              <w:top w:val="nil"/>
              <w:left w:val="nil"/>
              <w:bottom w:val="single" w:sz="4" w:space="0" w:color="auto"/>
              <w:right w:val="nil"/>
            </w:tcBorders>
            <w:shd w:val="clear" w:color="auto" w:fill="auto"/>
            <w:vAlign w:val="center"/>
            <w:hideMark/>
          </w:tcPr>
          <w:p w14:paraId="2D77156C" w14:textId="50854C6A"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Veninga 1999</w:t>
            </w:r>
          </w:p>
        </w:tc>
        <w:tc>
          <w:tcPr>
            <w:tcW w:w="802" w:type="dxa"/>
            <w:tcBorders>
              <w:top w:val="nil"/>
              <w:left w:val="nil"/>
              <w:bottom w:val="single" w:sz="4" w:space="0" w:color="auto"/>
              <w:right w:val="nil"/>
            </w:tcBorders>
            <w:shd w:val="clear" w:color="auto" w:fill="auto"/>
            <w:vAlign w:val="center"/>
            <w:hideMark/>
          </w:tcPr>
          <w:p w14:paraId="4C7D9AB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09A5271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1FD9513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treatment of asthma</w:t>
            </w:r>
          </w:p>
        </w:tc>
        <w:tc>
          <w:tcPr>
            <w:tcW w:w="4364" w:type="dxa"/>
            <w:tcBorders>
              <w:top w:val="nil"/>
              <w:left w:val="nil"/>
              <w:bottom w:val="single" w:sz="4" w:space="0" w:color="auto"/>
              <w:right w:val="nil"/>
            </w:tcBorders>
            <w:shd w:val="clear" w:color="auto" w:fill="auto"/>
            <w:vAlign w:val="center"/>
            <w:hideMark/>
          </w:tcPr>
          <w:p w14:paraId="6F0D2C6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Prescribing inhaled corticosteroids; continuous bronchodilator monotherapy; inadequate level of inhaled corticosteroids; oral corticosteroids for exacerbations</w:t>
            </w:r>
          </w:p>
        </w:tc>
        <w:tc>
          <w:tcPr>
            <w:tcW w:w="3209" w:type="dxa"/>
            <w:tcBorders>
              <w:top w:val="nil"/>
              <w:left w:val="nil"/>
              <w:bottom w:val="single" w:sz="4" w:space="0" w:color="auto"/>
              <w:right w:val="nil"/>
            </w:tcBorders>
            <w:shd w:val="clear" w:color="auto" w:fill="auto"/>
            <w:vAlign w:val="center"/>
            <w:hideMark/>
          </w:tcPr>
          <w:p w14:paraId="676D569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physicians/ GP</w:t>
            </w:r>
          </w:p>
        </w:tc>
        <w:tc>
          <w:tcPr>
            <w:tcW w:w="709" w:type="dxa"/>
            <w:tcBorders>
              <w:top w:val="nil"/>
              <w:left w:val="nil"/>
              <w:bottom w:val="single" w:sz="4" w:space="0" w:color="auto"/>
              <w:right w:val="nil"/>
            </w:tcBorders>
            <w:shd w:val="clear" w:color="auto" w:fill="auto"/>
            <w:vAlign w:val="center"/>
            <w:hideMark/>
          </w:tcPr>
          <w:p w14:paraId="2E8EF42E"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0A63B00" w14:textId="77777777" w:rsidTr="008819CF">
        <w:trPr>
          <w:trHeight w:val="415"/>
        </w:trPr>
        <w:tc>
          <w:tcPr>
            <w:tcW w:w="1524" w:type="dxa"/>
            <w:tcBorders>
              <w:top w:val="nil"/>
              <w:left w:val="nil"/>
              <w:bottom w:val="single" w:sz="4" w:space="0" w:color="auto"/>
              <w:right w:val="nil"/>
            </w:tcBorders>
            <w:shd w:val="clear" w:color="auto" w:fill="auto"/>
            <w:vAlign w:val="center"/>
            <w:hideMark/>
          </w:tcPr>
          <w:p w14:paraId="2C09116A" w14:textId="179285C0"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Verstappen 2003 </w:t>
            </w:r>
          </w:p>
        </w:tc>
        <w:tc>
          <w:tcPr>
            <w:tcW w:w="802" w:type="dxa"/>
            <w:tcBorders>
              <w:top w:val="nil"/>
              <w:left w:val="nil"/>
              <w:bottom w:val="single" w:sz="4" w:space="0" w:color="auto"/>
              <w:right w:val="nil"/>
            </w:tcBorders>
            <w:shd w:val="clear" w:color="auto" w:fill="auto"/>
            <w:vAlign w:val="center"/>
            <w:hideMark/>
          </w:tcPr>
          <w:p w14:paraId="72EDEAEB" w14:textId="3F2E156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2C5A2A4A"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A15288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unnecessary test ordering according to evidence</w:t>
            </w:r>
            <w:r>
              <w:rPr>
                <w:rFonts w:ascii="Arial Narrow" w:hAnsi="Arial Narrow"/>
                <w:sz w:val="18"/>
                <w:szCs w:val="18"/>
                <w:lang w:val="en-GB"/>
              </w:rPr>
              <w:t>-</w:t>
            </w:r>
            <w:r w:rsidRPr="003E6B1E">
              <w:rPr>
                <w:rFonts w:ascii="Arial Narrow" w:hAnsi="Arial Narrow"/>
                <w:sz w:val="18"/>
                <w:szCs w:val="18"/>
                <w:lang w:val="en-GB"/>
              </w:rPr>
              <w:t>based guidelines</w:t>
            </w:r>
          </w:p>
        </w:tc>
        <w:tc>
          <w:tcPr>
            <w:tcW w:w="4364" w:type="dxa"/>
            <w:tcBorders>
              <w:top w:val="nil"/>
              <w:left w:val="nil"/>
              <w:bottom w:val="single" w:sz="4" w:space="0" w:color="auto"/>
              <w:right w:val="nil"/>
            </w:tcBorders>
            <w:shd w:val="clear" w:color="auto" w:fill="auto"/>
            <w:vAlign w:val="center"/>
            <w:hideMark/>
          </w:tcPr>
          <w:p w14:paraId="38C0C67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Total numbered of tests ordered per clinical condition</w:t>
            </w:r>
          </w:p>
        </w:tc>
        <w:tc>
          <w:tcPr>
            <w:tcW w:w="3209" w:type="dxa"/>
            <w:tcBorders>
              <w:top w:val="nil"/>
              <w:left w:val="nil"/>
              <w:bottom w:val="single" w:sz="4" w:space="0" w:color="auto"/>
              <w:right w:val="nil"/>
            </w:tcBorders>
            <w:shd w:val="clear" w:color="auto" w:fill="auto"/>
            <w:vAlign w:val="center"/>
            <w:hideMark/>
          </w:tcPr>
          <w:p w14:paraId="568AB3F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7938BC8C"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A95308" w:rsidRPr="003E6B1E" w14:paraId="59E66FC2" w14:textId="77777777" w:rsidTr="00EF107A">
        <w:trPr>
          <w:trHeight w:val="415"/>
        </w:trPr>
        <w:tc>
          <w:tcPr>
            <w:tcW w:w="1524" w:type="dxa"/>
            <w:tcBorders>
              <w:top w:val="nil"/>
              <w:left w:val="nil"/>
              <w:bottom w:val="single" w:sz="4" w:space="0" w:color="auto"/>
              <w:right w:val="nil"/>
            </w:tcBorders>
            <w:shd w:val="clear" w:color="auto" w:fill="auto"/>
            <w:vAlign w:val="center"/>
            <w:hideMark/>
          </w:tcPr>
          <w:p w14:paraId="333F4BA2" w14:textId="7265F0C7" w:rsidR="00A95308" w:rsidRPr="003E6B1E" w:rsidRDefault="00A95308" w:rsidP="00A95308">
            <w:pPr>
              <w:spacing w:line="240" w:lineRule="auto"/>
              <w:rPr>
                <w:rFonts w:ascii="Arial Narrow" w:hAnsi="Arial Narrow"/>
                <w:sz w:val="18"/>
                <w:szCs w:val="18"/>
                <w:lang w:val="en-GB"/>
              </w:rPr>
            </w:pPr>
            <w:r w:rsidRPr="003E6B1E">
              <w:rPr>
                <w:rFonts w:ascii="Arial Narrow" w:hAnsi="Arial Narrow"/>
                <w:sz w:val="18"/>
                <w:szCs w:val="18"/>
                <w:lang w:val="en-GB"/>
              </w:rPr>
              <w:t>Verstappen 200</w:t>
            </w:r>
            <w:r>
              <w:rPr>
                <w:rFonts w:ascii="Arial Narrow" w:hAnsi="Arial Narrow"/>
                <w:sz w:val="18"/>
                <w:szCs w:val="18"/>
                <w:lang w:val="en-GB"/>
              </w:rPr>
              <w:t>4</w:t>
            </w:r>
          </w:p>
        </w:tc>
        <w:tc>
          <w:tcPr>
            <w:tcW w:w="802" w:type="dxa"/>
            <w:tcBorders>
              <w:top w:val="nil"/>
              <w:left w:val="nil"/>
              <w:bottom w:val="single" w:sz="4" w:space="0" w:color="auto"/>
              <w:right w:val="nil"/>
            </w:tcBorders>
            <w:shd w:val="clear" w:color="auto" w:fill="auto"/>
            <w:vAlign w:val="center"/>
            <w:hideMark/>
          </w:tcPr>
          <w:p w14:paraId="1E455F51" w14:textId="7633B4FD" w:rsidR="00A95308" w:rsidRPr="003E6B1E" w:rsidRDefault="00A95308" w:rsidP="00A95308">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6667B9E" w14:textId="77777777" w:rsidR="00A95308" w:rsidRPr="003E6B1E" w:rsidRDefault="00A95308" w:rsidP="00A95308">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04A14A66" w14:textId="414BD955" w:rsidR="00A95308" w:rsidRPr="003E6B1E" w:rsidRDefault="00A95308" w:rsidP="00A95308">
            <w:pPr>
              <w:spacing w:line="240" w:lineRule="auto"/>
              <w:rPr>
                <w:rFonts w:ascii="Arial Narrow" w:hAnsi="Arial Narrow"/>
                <w:sz w:val="18"/>
                <w:szCs w:val="18"/>
                <w:lang w:val="en-GB"/>
              </w:rPr>
            </w:pPr>
            <w:r w:rsidRPr="003E6B1E">
              <w:rPr>
                <w:rFonts w:ascii="Arial Narrow" w:hAnsi="Arial Narrow"/>
                <w:sz w:val="18"/>
                <w:szCs w:val="18"/>
                <w:lang w:val="en-GB"/>
              </w:rPr>
              <w:t xml:space="preserve">Decrease unnecessary test ordering </w:t>
            </w:r>
          </w:p>
        </w:tc>
        <w:tc>
          <w:tcPr>
            <w:tcW w:w="4364" w:type="dxa"/>
            <w:tcBorders>
              <w:top w:val="nil"/>
              <w:left w:val="nil"/>
              <w:bottom w:val="single" w:sz="4" w:space="0" w:color="auto"/>
              <w:right w:val="nil"/>
            </w:tcBorders>
            <w:shd w:val="clear" w:color="auto" w:fill="auto"/>
            <w:vAlign w:val="center"/>
            <w:hideMark/>
          </w:tcPr>
          <w:p w14:paraId="3AAFD10B" w14:textId="15DD5850" w:rsidR="00A95308" w:rsidRPr="003E6B1E" w:rsidRDefault="00A95308" w:rsidP="00A95308">
            <w:pPr>
              <w:spacing w:line="240" w:lineRule="auto"/>
              <w:rPr>
                <w:rFonts w:ascii="Arial Narrow" w:hAnsi="Arial Narrow"/>
                <w:sz w:val="18"/>
                <w:szCs w:val="18"/>
                <w:lang w:val="en-GB"/>
              </w:rPr>
            </w:pPr>
            <w:r w:rsidRPr="003E6B1E">
              <w:rPr>
                <w:rFonts w:ascii="Arial Narrow" w:hAnsi="Arial Narrow"/>
                <w:sz w:val="18"/>
                <w:szCs w:val="18"/>
                <w:lang w:val="en-GB"/>
              </w:rPr>
              <w:t xml:space="preserve">Total numbered of tests ordered </w:t>
            </w:r>
          </w:p>
        </w:tc>
        <w:tc>
          <w:tcPr>
            <w:tcW w:w="3209" w:type="dxa"/>
            <w:tcBorders>
              <w:top w:val="nil"/>
              <w:left w:val="nil"/>
              <w:bottom w:val="single" w:sz="4" w:space="0" w:color="auto"/>
              <w:right w:val="nil"/>
            </w:tcBorders>
            <w:shd w:val="clear" w:color="auto" w:fill="auto"/>
            <w:vAlign w:val="center"/>
            <w:hideMark/>
          </w:tcPr>
          <w:p w14:paraId="05F3705C" w14:textId="77777777" w:rsidR="00A95308" w:rsidRPr="003E6B1E" w:rsidRDefault="00A95308" w:rsidP="00A95308">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672A3955" w14:textId="77777777" w:rsidR="00A95308" w:rsidRPr="003E6B1E" w:rsidRDefault="00A95308" w:rsidP="00A95308">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6AEBA8C" w14:textId="77777777" w:rsidTr="008819CF">
        <w:trPr>
          <w:trHeight w:val="353"/>
        </w:trPr>
        <w:tc>
          <w:tcPr>
            <w:tcW w:w="1524" w:type="dxa"/>
            <w:tcBorders>
              <w:top w:val="nil"/>
              <w:left w:val="nil"/>
              <w:bottom w:val="single" w:sz="4" w:space="0" w:color="auto"/>
              <w:right w:val="nil"/>
            </w:tcBorders>
            <w:shd w:val="clear" w:color="auto" w:fill="auto"/>
            <w:vAlign w:val="center"/>
            <w:hideMark/>
          </w:tcPr>
          <w:p w14:paraId="54323774" w14:textId="4BD2EF50"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Verstappen 2004</w:t>
            </w:r>
            <w:r w:rsidR="00A95308">
              <w:rPr>
                <w:rFonts w:ascii="Arial Narrow" w:hAnsi="Arial Narrow"/>
                <w:sz w:val="18"/>
                <w:szCs w:val="18"/>
                <w:lang w:val="en-GB"/>
              </w:rPr>
              <w:t>a</w:t>
            </w:r>
          </w:p>
        </w:tc>
        <w:tc>
          <w:tcPr>
            <w:tcW w:w="802" w:type="dxa"/>
            <w:tcBorders>
              <w:top w:val="nil"/>
              <w:left w:val="nil"/>
              <w:bottom w:val="single" w:sz="4" w:space="0" w:color="auto"/>
              <w:right w:val="nil"/>
            </w:tcBorders>
            <w:shd w:val="clear" w:color="auto" w:fill="auto"/>
            <w:vAlign w:val="center"/>
            <w:hideMark/>
          </w:tcPr>
          <w:p w14:paraId="25864FC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CAF820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641CF0C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test ordering</w:t>
            </w:r>
          </w:p>
        </w:tc>
        <w:tc>
          <w:tcPr>
            <w:tcW w:w="4364" w:type="dxa"/>
            <w:tcBorders>
              <w:top w:val="nil"/>
              <w:left w:val="nil"/>
              <w:bottom w:val="single" w:sz="4" w:space="0" w:color="auto"/>
              <w:right w:val="nil"/>
            </w:tcBorders>
            <w:shd w:val="clear" w:color="auto" w:fill="auto"/>
            <w:vAlign w:val="center"/>
            <w:hideMark/>
          </w:tcPr>
          <w:p w14:paraId="454D199E"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The mean number of tests per physician per 6 months was the dependent variable.</w:t>
            </w:r>
          </w:p>
        </w:tc>
        <w:tc>
          <w:tcPr>
            <w:tcW w:w="3209" w:type="dxa"/>
            <w:tcBorders>
              <w:top w:val="nil"/>
              <w:left w:val="nil"/>
              <w:bottom w:val="single" w:sz="4" w:space="0" w:color="auto"/>
              <w:right w:val="nil"/>
            </w:tcBorders>
            <w:shd w:val="clear" w:color="auto" w:fill="auto"/>
            <w:vAlign w:val="center"/>
            <w:hideMark/>
          </w:tcPr>
          <w:p w14:paraId="39DCA5C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1AD5C9E3"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02411F24" w14:textId="77777777" w:rsidTr="00CF45F3">
        <w:trPr>
          <w:trHeight w:val="166"/>
        </w:trPr>
        <w:tc>
          <w:tcPr>
            <w:tcW w:w="1524" w:type="dxa"/>
            <w:tcBorders>
              <w:top w:val="nil"/>
              <w:left w:val="nil"/>
              <w:bottom w:val="single" w:sz="4" w:space="0" w:color="auto"/>
              <w:right w:val="nil"/>
            </w:tcBorders>
            <w:shd w:val="clear" w:color="auto" w:fill="auto"/>
            <w:vAlign w:val="center"/>
            <w:hideMark/>
          </w:tcPr>
          <w:p w14:paraId="48373F5C" w14:textId="7CC75504"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Wadland 2007</w:t>
            </w:r>
          </w:p>
        </w:tc>
        <w:tc>
          <w:tcPr>
            <w:tcW w:w="802" w:type="dxa"/>
            <w:tcBorders>
              <w:top w:val="nil"/>
              <w:left w:val="nil"/>
              <w:bottom w:val="single" w:sz="4" w:space="0" w:color="auto"/>
              <w:right w:val="nil"/>
            </w:tcBorders>
            <w:shd w:val="clear" w:color="auto" w:fill="auto"/>
            <w:vAlign w:val="center"/>
            <w:hideMark/>
          </w:tcPr>
          <w:p w14:paraId="0A869699"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84C2DD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4D869AA5"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referral to a tobacco cessation quit line</w:t>
            </w:r>
          </w:p>
        </w:tc>
        <w:tc>
          <w:tcPr>
            <w:tcW w:w="4364" w:type="dxa"/>
            <w:tcBorders>
              <w:top w:val="nil"/>
              <w:left w:val="nil"/>
              <w:bottom w:val="single" w:sz="4" w:space="0" w:color="auto"/>
              <w:right w:val="nil"/>
            </w:tcBorders>
            <w:shd w:val="clear" w:color="auto" w:fill="auto"/>
            <w:vAlign w:val="center"/>
            <w:hideMark/>
          </w:tcPr>
          <w:p w14:paraId="3FE77F1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Number of referrals to a tobacco cessation quit line</w:t>
            </w:r>
          </w:p>
        </w:tc>
        <w:tc>
          <w:tcPr>
            <w:tcW w:w="3209" w:type="dxa"/>
            <w:tcBorders>
              <w:top w:val="nil"/>
              <w:left w:val="nil"/>
              <w:bottom w:val="single" w:sz="4" w:space="0" w:color="auto"/>
              <w:right w:val="nil"/>
            </w:tcBorders>
            <w:shd w:val="clear" w:color="auto" w:fill="auto"/>
            <w:vAlign w:val="center"/>
            <w:hideMark/>
          </w:tcPr>
          <w:p w14:paraId="2F0446D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171 family medicine, 88 internal medicine, 49 obstetrics-gynaecology from 87 primary care practices</w:t>
            </w:r>
          </w:p>
        </w:tc>
        <w:tc>
          <w:tcPr>
            <w:tcW w:w="709" w:type="dxa"/>
            <w:tcBorders>
              <w:top w:val="nil"/>
              <w:left w:val="nil"/>
              <w:bottom w:val="single" w:sz="4" w:space="0" w:color="auto"/>
              <w:right w:val="nil"/>
            </w:tcBorders>
            <w:shd w:val="clear" w:color="auto" w:fill="auto"/>
            <w:vAlign w:val="center"/>
            <w:hideMark/>
          </w:tcPr>
          <w:p w14:paraId="74873675"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A55420E" w14:textId="77777777" w:rsidTr="008819CF">
        <w:trPr>
          <w:trHeight w:val="557"/>
        </w:trPr>
        <w:tc>
          <w:tcPr>
            <w:tcW w:w="1524" w:type="dxa"/>
            <w:tcBorders>
              <w:top w:val="nil"/>
              <w:left w:val="nil"/>
              <w:bottom w:val="single" w:sz="4" w:space="0" w:color="auto"/>
              <w:right w:val="nil"/>
            </w:tcBorders>
            <w:shd w:val="clear" w:color="auto" w:fill="auto"/>
            <w:vAlign w:val="center"/>
            <w:hideMark/>
          </w:tcPr>
          <w:p w14:paraId="17546CA4" w14:textId="05578015"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Weinberg 2001</w:t>
            </w:r>
          </w:p>
        </w:tc>
        <w:tc>
          <w:tcPr>
            <w:tcW w:w="802" w:type="dxa"/>
            <w:tcBorders>
              <w:top w:val="nil"/>
              <w:left w:val="nil"/>
              <w:bottom w:val="single" w:sz="4" w:space="0" w:color="auto"/>
              <w:right w:val="nil"/>
            </w:tcBorders>
            <w:shd w:val="clear" w:color="auto" w:fill="auto"/>
            <w:vAlign w:val="center"/>
            <w:hideMark/>
          </w:tcPr>
          <w:p w14:paraId="1CD88AC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3A50AB7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43CDDBE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antibiotic prescribing so that all women receive prophylaxis</w:t>
            </w:r>
          </w:p>
        </w:tc>
        <w:tc>
          <w:tcPr>
            <w:tcW w:w="4364" w:type="dxa"/>
            <w:tcBorders>
              <w:top w:val="nil"/>
              <w:left w:val="nil"/>
              <w:bottom w:val="single" w:sz="4" w:space="0" w:color="auto"/>
              <w:right w:val="nil"/>
            </w:tcBorders>
            <w:shd w:val="clear" w:color="auto" w:fill="auto"/>
            <w:vAlign w:val="center"/>
            <w:hideMark/>
          </w:tcPr>
          <w:p w14:paraId="4B79FC3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Percentage of women receive prophylaxis; percentage of women who receive prophylaxis within one hour.</w:t>
            </w:r>
          </w:p>
        </w:tc>
        <w:tc>
          <w:tcPr>
            <w:tcW w:w="3209" w:type="dxa"/>
            <w:tcBorders>
              <w:top w:val="nil"/>
              <w:left w:val="nil"/>
              <w:bottom w:val="single" w:sz="4" w:space="0" w:color="auto"/>
              <w:right w:val="nil"/>
            </w:tcBorders>
            <w:shd w:val="clear" w:color="auto" w:fill="auto"/>
            <w:vAlign w:val="center"/>
            <w:hideMark/>
          </w:tcPr>
          <w:p w14:paraId="21CCC46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 in a hospital</w:t>
            </w:r>
          </w:p>
        </w:tc>
        <w:tc>
          <w:tcPr>
            <w:tcW w:w="709" w:type="dxa"/>
            <w:tcBorders>
              <w:top w:val="nil"/>
              <w:left w:val="nil"/>
              <w:bottom w:val="single" w:sz="4" w:space="0" w:color="auto"/>
              <w:right w:val="nil"/>
            </w:tcBorders>
            <w:shd w:val="clear" w:color="auto" w:fill="auto"/>
            <w:vAlign w:val="center"/>
            <w:hideMark/>
          </w:tcPr>
          <w:p w14:paraId="7DB4C0C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ITS </w:t>
            </w:r>
          </w:p>
        </w:tc>
      </w:tr>
      <w:tr w:rsidR="0098086A" w:rsidRPr="003E6B1E" w14:paraId="4E97C969" w14:textId="77777777" w:rsidTr="008819CF">
        <w:trPr>
          <w:trHeight w:val="402"/>
        </w:trPr>
        <w:tc>
          <w:tcPr>
            <w:tcW w:w="1524" w:type="dxa"/>
            <w:tcBorders>
              <w:top w:val="nil"/>
              <w:left w:val="nil"/>
              <w:bottom w:val="single" w:sz="4" w:space="0" w:color="auto"/>
              <w:right w:val="nil"/>
            </w:tcBorders>
            <w:shd w:val="clear" w:color="auto" w:fill="auto"/>
            <w:vAlign w:val="center"/>
            <w:hideMark/>
          </w:tcPr>
          <w:p w14:paraId="53D3D4F2" w14:textId="17F27AE2"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Wilson 1991</w:t>
            </w:r>
          </w:p>
        </w:tc>
        <w:tc>
          <w:tcPr>
            <w:tcW w:w="802" w:type="dxa"/>
            <w:tcBorders>
              <w:top w:val="nil"/>
              <w:left w:val="nil"/>
              <w:bottom w:val="single" w:sz="4" w:space="0" w:color="auto"/>
              <w:right w:val="nil"/>
            </w:tcBorders>
            <w:shd w:val="clear" w:color="auto" w:fill="auto"/>
            <w:vAlign w:val="center"/>
            <w:hideMark/>
          </w:tcPr>
          <w:p w14:paraId="009D3B28"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2AF32EF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 xml:space="preserve">Decrease </w:t>
            </w:r>
          </w:p>
        </w:tc>
        <w:tc>
          <w:tcPr>
            <w:tcW w:w="2524" w:type="dxa"/>
            <w:tcBorders>
              <w:top w:val="nil"/>
              <w:left w:val="nil"/>
              <w:bottom w:val="single" w:sz="4" w:space="0" w:color="auto"/>
              <w:right w:val="nil"/>
            </w:tcBorders>
            <w:shd w:val="clear" w:color="auto" w:fill="auto"/>
            <w:vAlign w:val="center"/>
            <w:hideMark/>
          </w:tcPr>
          <w:p w14:paraId="4E5CC35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Change one drug for another </w:t>
            </w:r>
          </w:p>
        </w:tc>
        <w:tc>
          <w:tcPr>
            <w:tcW w:w="4364" w:type="dxa"/>
            <w:tcBorders>
              <w:top w:val="nil"/>
              <w:left w:val="nil"/>
              <w:bottom w:val="single" w:sz="4" w:space="0" w:color="auto"/>
              <w:right w:val="nil"/>
            </w:tcBorders>
            <w:shd w:val="clear" w:color="auto" w:fill="auto"/>
            <w:vAlign w:val="center"/>
            <w:hideMark/>
          </w:tcPr>
          <w:p w14:paraId="57BEEC9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Use of amoxicillin and pivampicillin</w:t>
            </w:r>
          </w:p>
        </w:tc>
        <w:tc>
          <w:tcPr>
            <w:tcW w:w="3209" w:type="dxa"/>
            <w:tcBorders>
              <w:top w:val="nil"/>
              <w:left w:val="nil"/>
              <w:bottom w:val="single" w:sz="4" w:space="0" w:color="auto"/>
              <w:right w:val="nil"/>
            </w:tcBorders>
            <w:shd w:val="clear" w:color="auto" w:fill="auto"/>
            <w:vAlign w:val="center"/>
            <w:hideMark/>
          </w:tcPr>
          <w:p w14:paraId="5287F28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 in a hospital</w:t>
            </w:r>
          </w:p>
        </w:tc>
        <w:tc>
          <w:tcPr>
            <w:tcW w:w="709" w:type="dxa"/>
            <w:tcBorders>
              <w:top w:val="nil"/>
              <w:left w:val="nil"/>
              <w:bottom w:val="single" w:sz="4" w:space="0" w:color="auto"/>
              <w:right w:val="nil"/>
            </w:tcBorders>
            <w:shd w:val="clear" w:color="auto" w:fill="auto"/>
            <w:vAlign w:val="center"/>
            <w:hideMark/>
          </w:tcPr>
          <w:p w14:paraId="29BCE48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692BC35A" w14:textId="77777777" w:rsidTr="008819CF">
        <w:trPr>
          <w:trHeight w:val="280"/>
        </w:trPr>
        <w:tc>
          <w:tcPr>
            <w:tcW w:w="1524" w:type="dxa"/>
            <w:tcBorders>
              <w:top w:val="nil"/>
              <w:left w:val="nil"/>
              <w:bottom w:val="single" w:sz="4" w:space="0" w:color="auto"/>
              <w:right w:val="nil"/>
            </w:tcBorders>
            <w:shd w:val="clear" w:color="auto" w:fill="auto"/>
            <w:vAlign w:val="center"/>
            <w:hideMark/>
          </w:tcPr>
          <w:p w14:paraId="3016AE17" w14:textId="3F4D2E1E"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Winickoff 1984 </w:t>
            </w:r>
          </w:p>
        </w:tc>
        <w:tc>
          <w:tcPr>
            <w:tcW w:w="802" w:type="dxa"/>
            <w:tcBorders>
              <w:top w:val="nil"/>
              <w:left w:val="nil"/>
              <w:bottom w:val="single" w:sz="4" w:space="0" w:color="auto"/>
              <w:right w:val="nil"/>
            </w:tcBorders>
            <w:shd w:val="clear" w:color="auto" w:fill="auto"/>
            <w:vAlign w:val="center"/>
            <w:hideMark/>
          </w:tcPr>
          <w:p w14:paraId="7121863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2E27C2D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466B063A"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Improve colorectal cancer screening</w:t>
            </w:r>
          </w:p>
        </w:tc>
        <w:tc>
          <w:tcPr>
            <w:tcW w:w="4364" w:type="dxa"/>
            <w:tcBorders>
              <w:top w:val="nil"/>
              <w:left w:val="nil"/>
              <w:bottom w:val="single" w:sz="4" w:space="0" w:color="auto"/>
              <w:right w:val="nil"/>
            </w:tcBorders>
            <w:shd w:val="clear" w:color="auto" w:fill="auto"/>
            <w:vAlign w:val="center"/>
            <w:hideMark/>
          </w:tcPr>
          <w:p w14:paraId="12DAC18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Rate of colorectal screening </w:t>
            </w:r>
          </w:p>
        </w:tc>
        <w:tc>
          <w:tcPr>
            <w:tcW w:w="3209" w:type="dxa"/>
            <w:tcBorders>
              <w:top w:val="nil"/>
              <w:left w:val="nil"/>
              <w:bottom w:val="single" w:sz="4" w:space="0" w:color="auto"/>
              <w:right w:val="nil"/>
            </w:tcBorders>
            <w:shd w:val="clear" w:color="auto" w:fill="auto"/>
            <w:vAlign w:val="center"/>
            <w:hideMark/>
          </w:tcPr>
          <w:p w14:paraId="6D3F257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Internal Medicine physicians</w:t>
            </w:r>
          </w:p>
        </w:tc>
        <w:tc>
          <w:tcPr>
            <w:tcW w:w="709" w:type="dxa"/>
            <w:tcBorders>
              <w:top w:val="nil"/>
              <w:left w:val="nil"/>
              <w:bottom w:val="single" w:sz="4" w:space="0" w:color="auto"/>
              <w:right w:val="nil"/>
            </w:tcBorders>
            <w:shd w:val="clear" w:color="auto" w:fill="auto"/>
            <w:vAlign w:val="center"/>
            <w:hideMark/>
          </w:tcPr>
          <w:p w14:paraId="643BE778"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83E596A" w14:textId="77777777" w:rsidTr="008819CF">
        <w:trPr>
          <w:trHeight w:val="285"/>
        </w:trPr>
        <w:tc>
          <w:tcPr>
            <w:tcW w:w="1524" w:type="dxa"/>
            <w:tcBorders>
              <w:top w:val="nil"/>
              <w:left w:val="nil"/>
              <w:bottom w:val="single" w:sz="4" w:space="0" w:color="auto"/>
              <w:right w:val="nil"/>
            </w:tcBorders>
            <w:shd w:val="clear" w:color="auto" w:fill="auto"/>
            <w:vAlign w:val="center"/>
            <w:hideMark/>
          </w:tcPr>
          <w:p w14:paraId="4EF24EF4" w14:textId="594A2635"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Winkens 1995 </w:t>
            </w:r>
          </w:p>
        </w:tc>
        <w:tc>
          <w:tcPr>
            <w:tcW w:w="802" w:type="dxa"/>
            <w:tcBorders>
              <w:top w:val="nil"/>
              <w:left w:val="nil"/>
              <w:bottom w:val="single" w:sz="4" w:space="0" w:color="auto"/>
              <w:right w:val="nil"/>
            </w:tcBorders>
            <w:shd w:val="clear" w:color="auto" w:fill="auto"/>
            <w:vAlign w:val="center"/>
            <w:hideMark/>
          </w:tcPr>
          <w:p w14:paraId="40CBB8C3" w14:textId="4E5F261C"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627BEDAD"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4759E1B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numbers of test requests</w:t>
            </w:r>
          </w:p>
        </w:tc>
        <w:tc>
          <w:tcPr>
            <w:tcW w:w="4364" w:type="dxa"/>
            <w:tcBorders>
              <w:top w:val="nil"/>
              <w:left w:val="nil"/>
              <w:bottom w:val="single" w:sz="4" w:space="0" w:color="auto"/>
              <w:right w:val="nil"/>
            </w:tcBorders>
            <w:shd w:val="clear" w:color="auto" w:fill="auto"/>
            <w:vAlign w:val="center"/>
            <w:hideMark/>
          </w:tcPr>
          <w:p w14:paraId="5E34D11E" w14:textId="0DEDDCC1"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Proportion o</w:t>
            </w:r>
            <w:r w:rsidR="000226FC">
              <w:rPr>
                <w:rFonts w:ascii="Arial Narrow" w:hAnsi="Arial Narrow"/>
                <w:sz w:val="18"/>
                <w:szCs w:val="18"/>
                <w:lang w:val="en-GB"/>
              </w:rPr>
              <w:t xml:space="preserve">f </w:t>
            </w:r>
            <w:r w:rsidRPr="003E6B1E">
              <w:rPr>
                <w:rFonts w:ascii="Arial Narrow" w:hAnsi="Arial Narrow"/>
                <w:sz w:val="18"/>
                <w:szCs w:val="18"/>
                <w:lang w:val="en-GB"/>
              </w:rPr>
              <w:t>requests</w:t>
            </w:r>
          </w:p>
        </w:tc>
        <w:tc>
          <w:tcPr>
            <w:tcW w:w="3209" w:type="dxa"/>
            <w:tcBorders>
              <w:top w:val="nil"/>
              <w:left w:val="nil"/>
              <w:bottom w:val="single" w:sz="4" w:space="0" w:color="auto"/>
              <w:right w:val="nil"/>
            </w:tcBorders>
            <w:shd w:val="clear" w:color="auto" w:fill="auto"/>
            <w:vAlign w:val="center"/>
            <w:hideMark/>
          </w:tcPr>
          <w:p w14:paraId="2B47491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Family doctors</w:t>
            </w:r>
          </w:p>
        </w:tc>
        <w:tc>
          <w:tcPr>
            <w:tcW w:w="709" w:type="dxa"/>
            <w:tcBorders>
              <w:top w:val="nil"/>
              <w:left w:val="nil"/>
              <w:bottom w:val="single" w:sz="4" w:space="0" w:color="auto"/>
              <w:right w:val="nil"/>
            </w:tcBorders>
            <w:shd w:val="clear" w:color="auto" w:fill="auto"/>
            <w:vAlign w:val="center"/>
            <w:hideMark/>
          </w:tcPr>
          <w:p w14:paraId="0AAA745A"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0226FC" w:rsidRPr="003E6B1E" w14:paraId="0F5C0665" w14:textId="77777777" w:rsidTr="00EF107A">
        <w:trPr>
          <w:trHeight w:val="285"/>
        </w:trPr>
        <w:tc>
          <w:tcPr>
            <w:tcW w:w="1524" w:type="dxa"/>
            <w:tcBorders>
              <w:top w:val="nil"/>
              <w:left w:val="nil"/>
              <w:bottom w:val="single" w:sz="4" w:space="0" w:color="auto"/>
              <w:right w:val="nil"/>
            </w:tcBorders>
            <w:shd w:val="clear" w:color="auto" w:fill="auto"/>
            <w:vAlign w:val="center"/>
            <w:hideMark/>
          </w:tcPr>
          <w:p w14:paraId="64DF4C8C" w14:textId="77777777" w:rsidR="000226FC" w:rsidRPr="003E6B1E" w:rsidRDefault="000226FC" w:rsidP="000226FC">
            <w:pPr>
              <w:spacing w:line="240" w:lineRule="auto"/>
              <w:rPr>
                <w:rFonts w:ascii="Arial Narrow" w:hAnsi="Arial Narrow"/>
                <w:sz w:val="18"/>
                <w:szCs w:val="18"/>
                <w:lang w:val="en-GB"/>
              </w:rPr>
            </w:pPr>
            <w:r w:rsidRPr="003E6B1E">
              <w:rPr>
                <w:rFonts w:ascii="Arial Narrow" w:hAnsi="Arial Narrow"/>
                <w:sz w:val="18"/>
                <w:szCs w:val="18"/>
                <w:lang w:val="en-GB"/>
              </w:rPr>
              <w:t xml:space="preserve">Winkens 1995 </w:t>
            </w:r>
          </w:p>
        </w:tc>
        <w:tc>
          <w:tcPr>
            <w:tcW w:w="802" w:type="dxa"/>
            <w:tcBorders>
              <w:top w:val="nil"/>
              <w:left w:val="nil"/>
              <w:bottom w:val="single" w:sz="4" w:space="0" w:color="auto"/>
              <w:right w:val="nil"/>
            </w:tcBorders>
            <w:shd w:val="clear" w:color="auto" w:fill="auto"/>
            <w:vAlign w:val="center"/>
            <w:hideMark/>
          </w:tcPr>
          <w:p w14:paraId="658876D7" w14:textId="53E909D9" w:rsidR="000226FC" w:rsidRPr="003E6B1E" w:rsidRDefault="000226FC" w:rsidP="000226FC">
            <w:pPr>
              <w:spacing w:line="240" w:lineRule="auto"/>
              <w:jc w:val="center"/>
              <w:rPr>
                <w:rFonts w:ascii="Arial Narrow" w:hAnsi="Arial Narrow"/>
                <w:sz w:val="18"/>
                <w:szCs w:val="18"/>
                <w:lang w:val="en-GB"/>
              </w:rPr>
            </w:pPr>
            <w:r w:rsidRPr="003E6B1E">
              <w:rPr>
                <w:rFonts w:ascii="Arial Narrow" w:hAnsi="Arial Narrow"/>
                <w:sz w:val="18"/>
                <w:szCs w:val="18"/>
                <w:lang w:val="en-GB"/>
              </w:rPr>
              <w:t>IM</w:t>
            </w:r>
          </w:p>
        </w:tc>
        <w:tc>
          <w:tcPr>
            <w:tcW w:w="1051" w:type="dxa"/>
            <w:tcBorders>
              <w:top w:val="nil"/>
              <w:left w:val="nil"/>
              <w:bottom w:val="single" w:sz="4" w:space="0" w:color="auto"/>
              <w:right w:val="nil"/>
            </w:tcBorders>
            <w:shd w:val="clear" w:color="auto" w:fill="auto"/>
            <w:vAlign w:val="center"/>
            <w:hideMark/>
          </w:tcPr>
          <w:p w14:paraId="3F440A18" w14:textId="77777777" w:rsidR="000226FC" w:rsidRPr="003E6B1E" w:rsidRDefault="000226FC" w:rsidP="000226FC">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0441B74" w14:textId="72361544" w:rsidR="000226FC" w:rsidRPr="003E6B1E" w:rsidRDefault="000226FC" w:rsidP="000226FC">
            <w:pPr>
              <w:spacing w:line="240" w:lineRule="auto"/>
              <w:rPr>
                <w:rFonts w:ascii="Arial Narrow" w:hAnsi="Arial Narrow"/>
                <w:sz w:val="18"/>
                <w:szCs w:val="18"/>
                <w:lang w:val="en-GB"/>
              </w:rPr>
            </w:pPr>
            <w:r w:rsidRPr="003E6B1E">
              <w:rPr>
                <w:rFonts w:ascii="Arial Narrow" w:hAnsi="Arial Narrow"/>
                <w:sz w:val="18"/>
                <w:szCs w:val="18"/>
                <w:lang w:val="en-GB"/>
              </w:rPr>
              <w:t>Reduce numbers of tes</w:t>
            </w:r>
            <w:r w:rsidR="00ED614F">
              <w:rPr>
                <w:rFonts w:ascii="Arial Narrow" w:hAnsi="Arial Narrow"/>
                <w:sz w:val="18"/>
                <w:szCs w:val="18"/>
                <w:lang w:val="en-GB"/>
              </w:rPr>
              <w:t>ts</w:t>
            </w:r>
          </w:p>
        </w:tc>
        <w:tc>
          <w:tcPr>
            <w:tcW w:w="4364" w:type="dxa"/>
            <w:tcBorders>
              <w:top w:val="nil"/>
              <w:left w:val="nil"/>
              <w:bottom w:val="single" w:sz="4" w:space="0" w:color="auto"/>
              <w:right w:val="nil"/>
            </w:tcBorders>
            <w:shd w:val="clear" w:color="auto" w:fill="auto"/>
            <w:vAlign w:val="center"/>
            <w:hideMark/>
          </w:tcPr>
          <w:p w14:paraId="3FDDF7B9" w14:textId="163ECEB3" w:rsidR="000226FC" w:rsidRPr="003E6B1E" w:rsidRDefault="000226FC" w:rsidP="000226FC">
            <w:pPr>
              <w:spacing w:line="240" w:lineRule="auto"/>
              <w:rPr>
                <w:rFonts w:ascii="Arial Narrow" w:hAnsi="Arial Narrow"/>
                <w:sz w:val="18"/>
                <w:szCs w:val="18"/>
                <w:lang w:val="en-GB"/>
              </w:rPr>
            </w:pPr>
            <w:r w:rsidRPr="003E6B1E">
              <w:rPr>
                <w:rFonts w:ascii="Arial Narrow" w:hAnsi="Arial Narrow"/>
                <w:sz w:val="18"/>
                <w:szCs w:val="18"/>
                <w:lang w:val="en-GB"/>
              </w:rPr>
              <w:t>Proportion o</w:t>
            </w:r>
            <w:r>
              <w:rPr>
                <w:rFonts w:ascii="Arial Narrow" w:hAnsi="Arial Narrow"/>
                <w:sz w:val="18"/>
                <w:szCs w:val="18"/>
                <w:lang w:val="en-GB"/>
              </w:rPr>
              <w:t xml:space="preserve">f </w:t>
            </w:r>
            <w:r w:rsidR="00ED614F">
              <w:rPr>
                <w:rFonts w:ascii="Arial Narrow" w:hAnsi="Arial Narrow"/>
                <w:sz w:val="18"/>
                <w:szCs w:val="18"/>
                <w:lang w:val="en-GB"/>
              </w:rPr>
              <w:t>tests ordered</w:t>
            </w:r>
          </w:p>
        </w:tc>
        <w:tc>
          <w:tcPr>
            <w:tcW w:w="3209" w:type="dxa"/>
            <w:tcBorders>
              <w:top w:val="nil"/>
              <w:left w:val="nil"/>
              <w:bottom w:val="single" w:sz="4" w:space="0" w:color="auto"/>
              <w:right w:val="nil"/>
            </w:tcBorders>
            <w:shd w:val="clear" w:color="auto" w:fill="auto"/>
            <w:vAlign w:val="center"/>
            <w:hideMark/>
          </w:tcPr>
          <w:p w14:paraId="41755218" w14:textId="196505F5" w:rsidR="000226FC" w:rsidRPr="003E6B1E" w:rsidRDefault="00ED614F" w:rsidP="000226FC">
            <w:pPr>
              <w:spacing w:line="240" w:lineRule="auto"/>
              <w:rPr>
                <w:rFonts w:ascii="Arial Narrow" w:hAnsi="Arial Narrow"/>
                <w:sz w:val="18"/>
                <w:szCs w:val="18"/>
                <w:lang w:val="en-GB"/>
              </w:rPr>
            </w:pPr>
            <w:r w:rsidRPr="003E6B1E">
              <w:rPr>
                <w:rFonts w:ascii="Arial Narrow" w:hAnsi="Arial Narrow"/>
                <w:sz w:val="18"/>
                <w:szCs w:val="18"/>
                <w:lang w:val="en-GB"/>
              </w:rPr>
              <w:t>Primary care physicians</w:t>
            </w:r>
          </w:p>
        </w:tc>
        <w:tc>
          <w:tcPr>
            <w:tcW w:w="709" w:type="dxa"/>
            <w:tcBorders>
              <w:top w:val="nil"/>
              <w:left w:val="nil"/>
              <w:bottom w:val="single" w:sz="4" w:space="0" w:color="auto"/>
              <w:right w:val="nil"/>
            </w:tcBorders>
            <w:shd w:val="clear" w:color="auto" w:fill="auto"/>
            <w:vAlign w:val="center"/>
            <w:hideMark/>
          </w:tcPr>
          <w:p w14:paraId="4CDB2D0C" w14:textId="77777777" w:rsidR="000226FC" w:rsidRPr="003E6B1E" w:rsidRDefault="000226FC" w:rsidP="000226FC">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4F857770" w14:textId="77777777" w:rsidTr="00ED614F">
        <w:trPr>
          <w:trHeight w:val="232"/>
        </w:trPr>
        <w:tc>
          <w:tcPr>
            <w:tcW w:w="1524" w:type="dxa"/>
            <w:tcBorders>
              <w:top w:val="nil"/>
              <w:left w:val="nil"/>
              <w:bottom w:val="single" w:sz="4" w:space="0" w:color="auto"/>
              <w:right w:val="nil"/>
            </w:tcBorders>
            <w:shd w:val="clear" w:color="auto" w:fill="auto"/>
            <w:vAlign w:val="center"/>
            <w:hideMark/>
          </w:tcPr>
          <w:p w14:paraId="1AF9249B" w14:textId="420204BC"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Wones 1987 </w:t>
            </w:r>
          </w:p>
        </w:tc>
        <w:tc>
          <w:tcPr>
            <w:tcW w:w="802" w:type="dxa"/>
            <w:tcBorders>
              <w:top w:val="nil"/>
              <w:left w:val="nil"/>
              <w:bottom w:val="single" w:sz="4" w:space="0" w:color="auto"/>
              <w:right w:val="nil"/>
            </w:tcBorders>
            <w:shd w:val="clear" w:color="auto" w:fill="auto"/>
            <w:vAlign w:val="center"/>
            <w:hideMark/>
          </w:tcPr>
          <w:p w14:paraId="62FE13C4"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4" w:space="0" w:color="auto"/>
              <w:right w:val="nil"/>
            </w:tcBorders>
            <w:shd w:val="clear" w:color="auto" w:fill="auto"/>
            <w:vAlign w:val="center"/>
            <w:hideMark/>
          </w:tcPr>
          <w:p w14:paraId="48492EA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3A8F9E7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w:t>
            </w:r>
            <w:r>
              <w:rPr>
                <w:rFonts w:ascii="Arial Narrow" w:hAnsi="Arial Narrow"/>
                <w:sz w:val="18"/>
                <w:szCs w:val="18"/>
                <w:lang w:val="en-GB"/>
              </w:rPr>
              <w:t>ce</w:t>
            </w:r>
            <w:r w:rsidRPr="003E6B1E">
              <w:rPr>
                <w:rFonts w:ascii="Arial Narrow" w:hAnsi="Arial Narrow"/>
                <w:sz w:val="18"/>
                <w:szCs w:val="18"/>
                <w:lang w:val="en-GB"/>
              </w:rPr>
              <w:t xml:space="preserve"> laboratory test utilization</w:t>
            </w:r>
          </w:p>
        </w:tc>
        <w:tc>
          <w:tcPr>
            <w:tcW w:w="4364" w:type="dxa"/>
            <w:tcBorders>
              <w:top w:val="nil"/>
              <w:left w:val="nil"/>
              <w:bottom w:val="single" w:sz="4" w:space="0" w:color="auto"/>
              <w:right w:val="nil"/>
            </w:tcBorders>
            <w:shd w:val="clear" w:color="auto" w:fill="auto"/>
            <w:vAlign w:val="center"/>
            <w:hideMark/>
          </w:tcPr>
          <w:p w14:paraId="32BE7D31" w14:textId="24D1713A"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Number of test</w:t>
            </w:r>
            <w:r>
              <w:rPr>
                <w:rFonts w:ascii="Arial Narrow" w:hAnsi="Arial Narrow"/>
                <w:sz w:val="18"/>
                <w:szCs w:val="18"/>
                <w:lang w:val="en-GB"/>
              </w:rPr>
              <w:t>s</w:t>
            </w:r>
            <w:r w:rsidRPr="003E6B1E">
              <w:rPr>
                <w:rFonts w:ascii="Arial Narrow" w:hAnsi="Arial Narrow"/>
                <w:sz w:val="18"/>
                <w:szCs w:val="18"/>
                <w:lang w:val="en-GB"/>
              </w:rPr>
              <w:t xml:space="preserve"> per patient-day</w:t>
            </w:r>
          </w:p>
        </w:tc>
        <w:tc>
          <w:tcPr>
            <w:tcW w:w="3209" w:type="dxa"/>
            <w:tcBorders>
              <w:top w:val="nil"/>
              <w:left w:val="nil"/>
              <w:bottom w:val="single" w:sz="4" w:space="0" w:color="auto"/>
              <w:right w:val="nil"/>
            </w:tcBorders>
            <w:shd w:val="clear" w:color="auto" w:fill="auto"/>
            <w:vAlign w:val="center"/>
            <w:hideMark/>
          </w:tcPr>
          <w:p w14:paraId="50D58B5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Internists</w:t>
            </w:r>
          </w:p>
        </w:tc>
        <w:tc>
          <w:tcPr>
            <w:tcW w:w="709" w:type="dxa"/>
            <w:tcBorders>
              <w:top w:val="nil"/>
              <w:left w:val="nil"/>
              <w:bottom w:val="single" w:sz="4" w:space="0" w:color="auto"/>
              <w:right w:val="nil"/>
            </w:tcBorders>
            <w:shd w:val="clear" w:color="auto" w:fill="auto"/>
            <w:vAlign w:val="center"/>
            <w:hideMark/>
          </w:tcPr>
          <w:p w14:paraId="34F5A9F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RCT </w:t>
            </w:r>
          </w:p>
        </w:tc>
      </w:tr>
      <w:tr w:rsidR="0098086A" w:rsidRPr="003E6B1E" w14:paraId="49572920" w14:textId="77777777" w:rsidTr="008819CF">
        <w:trPr>
          <w:trHeight w:val="306"/>
        </w:trPr>
        <w:tc>
          <w:tcPr>
            <w:tcW w:w="1524" w:type="dxa"/>
            <w:tcBorders>
              <w:top w:val="nil"/>
              <w:left w:val="nil"/>
              <w:bottom w:val="single" w:sz="4" w:space="0" w:color="auto"/>
              <w:right w:val="nil"/>
            </w:tcBorders>
            <w:shd w:val="clear" w:color="auto" w:fill="auto"/>
            <w:vAlign w:val="center"/>
            <w:hideMark/>
          </w:tcPr>
          <w:p w14:paraId="4E43EB50" w14:textId="1CE30CA4"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Woodward 1987 </w:t>
            </w:r>
          </w:p>
        </w:tc>
        <w:tc>
          <w:tcPr>
            <w:tcW w:w="802" w:type="dxa"/>
            <w:tcBorders>
              <w:top w:val="nil"/>
              <w:left w:val="nil"/>
              <w:bottom w:val="single" w:sz="4" w:space="0" w:color="auto"/>
              <w:right w:val="nil"/>
            </w:tcBorders>
            <w:shd w:val="clear" w:color="auto" w:fill="auto"/>
            <w:vAlign w:val="center"/>
            <w:hideMark/>
          </w:tcPr>
          <w:p w14:paraId="1EA73DE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10FF42C1"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2BB0AC8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Reduce antibiotic prescribing</w:t>
            </w:r>
          </w:p>
        </w:tc>
        <w:tc>
          <w:tcPr>
            <w:tcW w:w="4364" w:type="dxa"/>
            <w:tcBorders>
              <w:top w:val="nil"/>
              <w:left w:val="nil"/>
              <w:bottom w:val="single" w:sz="4" w:space="0" w:color="auto"/>
              <w:right w:val="nil"/>
            </w:tcBorders>
            <w:shd w:val="clear" w:color="auto" w:fill="auto"/>
            <w:vAlign w:val="center"/>
            <w:hideMark/>
          </w:tcPr>
          <w:p w14:paraId="33D846CF"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Total antibiotic costs</w:t>
            </w:r>
          </w:p>
        </w:tc>
        <w:tc>
          <w:tcPr>
            <w:tcW w:w="3209" w:type="dxa"/>
            <w:tcBorders>
              <w:top w:val="nil"/>
              <w:left w:val="nil"/>
              <w:bottom w:val="single" w:sz="4" w:space="0" w:color="auto"/>
              <w:right w:val="nil"/>
            </w:tcBorders>
            <w:shd w:val="clear" w:color="auto" w:fill="auto"/>
            <w:vAlign w:val="center"/>
            <w:hideMark/>
          </w:tcPr>
          <w:p w14:paraId="0B2145C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Clinical health professionals in hospital</w:t>
            </w:r>
          </w:p>
        </w:tc>
        <w:tc>
          <w:tcPr>
            <w:tcW w:w="709" w:type="dxa"/>
            <w:tcBorders>
              <w:top w:val="nil"/>
              <w:left w:val="nil"/>
              <w:bottom w:val="single" w:sz="4" w:space="0" w:color="auto"/>
              <w:right w:val="nil"/>
            </w:tcBorders>
            <w:shd w:val="clear" w:color="auto" w:fill="auto"/>
            <w:vAlign w:val="center"/>
            <w:hideMark/>
          </w:tcPr>
          <w:p w14:paraId="0CA24C5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05D11BAC" w14:textId="77777777" w:rsidTr="008819CF">
        <w:trPr>
          <w:trHeight w:val="203"/>
        </w:trPr>
        <w:tc>
          <w:tcPr>
            <w:tcW w:w="1524" w:type="dxa"/>
            <w:tcBorders>
              <w:top w:val="nil"/>
              <w:left w:val="nil"/>
              <w:bottom w:val="single" w:sz="4" w:space="0" w:color="auto"/>
              <w:right w:val="nil"/>
            </w:tcBorders>
            <w:shd w:val="clear" w:color="auto" w:fill="auto"/>
            <w:vAlign w:val="center"/>
            <w:hideMark/>
          </w:tcPr>
          <w:p w14:paraId="2FD19F12" w14:textId="3C6AC11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Wyatt 1998</w:t>
            </w:r>
          </w:p>
        </w:tc>
        <w:tc>
          <w:tcPr>
            <w:tcW w:w="802" w:type="dxa"/>
            <w:tcBorders>
              <w:top w:val="nil"/>
              <w:left w:val="nil"/>
              <w:bottom w:val="single" w:sz="4" w:space="0" w:color="auto"/>
              <w:right w:val="nil"/>
            </w:tcBorders>
            <w:shd w:val="clear" w:color="auto" w:fill="auto"/>
            <w:vAlign w:val="center"/>
            <w:hideMark/>
          </w:tcPr>
          <w:p w14:paraId="17D04557"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2C00DF3E"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38810FB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Increase in use of antibiotic prophylaxis for caesarean section </w:t>
            </w:r>
          </w:p>
        </w:tc>
        <w:tc>
          <w:tcPr>
            <w:tcW w:w="4364" w:type="dxa"/>
            <w:tcBorders>
              <w:top w:val="nil"/>
              <w:left w:val="nil"/>
              <w:bottom w:val="single" w:sz="4" w:space="0" w:color="auto"/>
              <w:right w:val="nil"/>
            </w:tcBorders>
            <w:shd w:val="clear" w:color="auto" w:fill="auto"/>
            <w:vAlign w:val="center"/>
            <w:hideMark/>
          </w:tcPr>
          <w:p w14:paraId="4A439553"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Percentage of caesarean sections that received antibiotic prophylaxis.</w:t>
            </w:r>
          </w:p>
        </w:tc>
        <w:tc>
          <w:tcPr>
            <w:tcW w:w="3209" w:type="dxa"/>
            <w:tcBorders>
              <w:top w:val="nil"/>
              <w:left w:val="nil"/>
              <w:bottom w:val="single" w:sz="4" w:space="0" w:color="auto"/>
              <w:right w:val="nil"/>
            </w:tcBorders>
            <w:shd w:val="clear" w:color="auto" w:fill="auto"/>
            <w:vAlign w:val="center"/>
            <w:hideMark/>
          </w:tcPr>
          <w:p w14:paraId="1DC4687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Lead obstetrician and senior midwife manager in 25 hospitals</w:t>
            </w:r>
          </w:p>
        </w:tc>
        <w:tc>
          <w:tcPr>
            <w:tcW w:w="709" w:type="dxa"/>
            <w:tcBorders>
              <w:top w:val="nil"/>
              <w:left w:val="nil"/>
              <w:bottom w:val="single" w:sz="4" w:space="0" w:color="auto"/>
              <w:right w:val="nil"/>
            </w:tcBorders>
            <w:shd w:val="clear" w:color="auto" w:fill="auto"/>
            <w:vAlign w:val="center"/>
            <w:hideMark/>
          </w:tcPr>
          <w:p w14:paraId="5C320405" w14:textId="77777777" w:rsidR="0098086A" w:rsidRPr="003E6B1E" w:rsidRDefault="0098086A" w:rsidP="00EF107A">
            <w:pPr>
              <w:spacing w:line="240" w:lineRule="auto"/>
              <w:rPr>
                <w:rFonts w:ascii="Arial Narrow" w:hAnsi="Arial Narrow"/>
                <w:sz w:val="18"/>
                <w:szCs w:val="18"/>
                <w:lang w:val="en-GB"/>
              </w:rPr>
            </w:pPr>
            <w:proofErr w:type="spellStart"/>
            <w:r w:rsidRPr="003E6B1E">
              <w:rPr>
                <w:rFonts w:ascii="Arial Narrow" w:hAnsi="Arial Narrow"/>
                <w:sz w:val="18"/>
                <w:szCs w:val="18"/>
                <w:lang w:val="en-GB"/>
              </w:rPr>
              <w:t>cRCT</w:t>
            </w:r>
            <w:proofErr w:type="spellEnd"/>
          </w:p>
        </w:tc>
      </w:tr>
      <w:tr w:rsidR="0098086A" w:rsidRPr="003E6B1E" w14:paraId="1316FC7C" w14:textId="77777777" w:rsidTr="008819CF">
        <w:trPr>
          <w:trHeight w:val="384"/>
        </w:trPr>
        <w:tc>
          <w:tcPr>
            <w:tcW w:w="1524" w:type="dxa"/>
            <w:tcBorders>
              <w:top w:val="nil"/>
              <w:left w:val="nil"/>
              <w:bottom w:val="single" w:sz="4" w:space="0" w:color="auto"/>
              <w:right w:val="nil"/>
            </w:tcBorders>
            <w:shd w:val="clear" w:color="auto" w:fill="auto"/>
            <w:vAlign w:val="center"/>
            <w:hideMark/>
          </w:tcPr>
          <w:p w14:paraId="421F3F85" w14:textId="419D88FF"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Young 1985 </w:t>
            </w:r>
          </w:p>
        </w:tc>
        <w:tc>
          <w:tcPr>
            <w:tcW w:w="802" w:type="dxa"/>
            <w:tcBorders>
              <w:top w:val="nil"/>
              <w:left w:val="nil"/>
              <w:bottom w:val="single" w:sz="4" w:space="0" w:color="auto"/>
              <w:right w:val="nil"/>
            </w:tcBorders>
            <w:shd w:val="clear" w:color="auto" w:fill="auto"/>
            <w:vAlign w:val="center"/>
            <w:hideMark/>
          </w:tcPr>
          <w:p w14:paraId="43D4A756"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502455C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4" w:space="0" w:color="auto"/>
              <w:right w:val="nil"/>
            </w:tcBorders>
            <w:shd w:val="clear" w:color="auto" w:fill="auto"/>
            <w:vAlign w:val="center"/>
            <w:hideMark/>
          </w:tcPr>
          <w:p w14:paraId="1CFC5EDC"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Decrease use of gentamicin </w:t>
            </w:r>
          </w:p>
        </w:tc>
        <w:tc>
          <w:tcPr>
            <w:tcW w:w="4364" w:type="dxa"/>
            <w:tcBorders>
              <w:top w:val="nil"/>
              <w:left w:val="nil"/>
              <w:bottom w:val="single" w:sz="4" w:space="0" w:color="auto"/>
              <w:right w:val="nil"/>
            </w:tcBorders>
            <w:shd w:val="clear" w:color="auto" w:fill="auto"/>
            <w:vAlign w:val="center"/>
            <w:hideMark/>
          </w:tcPr>
          <w:p w14:paraId="18CFD90B"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Aminoglycoside usage</w:t>
            </w:r>
          </w:p>
        </w:tc>
        <w:tc>
          <w:tcPr>
            <w:tcW w:w="3209" w:type="dxa"/>
            <w:tcBorders>
              <w:top w:val="nil"/>
              <w:left w:val="nil"/>
              <w:bottom w:val="single" w:sz="4" w:space="0" w:color="auto"/>
              <w:right w:val="nil"/>
            </w:tcBorders>
            <w:shd w:val="clear" w:color="auto" w:fill="auto"/>
            <w:vAlign w:val="center"/>
            <w:hideMark/>
          </w:tcPr>
          <w:p w14:paraId="78C63A88"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Health professionals responsible for Antibiotic prescribing</w:t>
            </w:r>
          </w:p>
        </w:tc>
        <w:tc>
          <w:tcPr>
            <w:tcW w:w="709" w:type="dxa"/>
            <w:tcBorders>
              <w:top w:val="nil"/>
              <w:left w:val="nil"/>
              <w:bottom w:val="single" w:sz="4" w:space="0" w:color="auto"/>
              <w:right w:val="nil"/>
            </w:tcBorders>
            <w:shd w:val="clear" w:color="auto" w:fill="auto"/>
            <w:vAlign w:val="center"/>
            <w:hideMark/>
          </w:tcPr>
          <w:p w14:paraId="5D4DF759"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ITS</w:t>
            </w:r>
          </w:p>
        </w:tc>
      </w:tr>
      <w:tr w:rsidR="0098086A" w:rsidRPr="003E6B1E" w14:paraId="4C6F5997" w14:textId="77777777" w:rsidTr="008819CF">
        <w:trPr>
          <w:trHeight w:val="558"/>
        </w:trPr>
        <w:tc>
          <w:tcPr>
            <w:tcW w:w="1524" w:type="dxa"/>
            <w:tcBorders>
              <w:top w:val="nil"/>
              <w:left w:val="nil"/>
              <w:bottom w:val="single" w:sz="4" w:space="0" w:color="auto"/>
              <w:right w:val="nil"/>
            </w:tcBorders>
            <w:shd w:val="clear" w:color="auto" w:fill="auto"/>
            <w:vAlign w:val="center"/>
            <w:hideMark/>
          </w:tcPr>
          <w:p w14:paraId="73E0CAC7" w14:textId="4B92C941"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Zanetti 2003 </w:t>
            </w:r>
          </w:p>
        </w:tc>
        <w:tc>
          <w:tcPr>
            <w:tcW w:w="802" w:type="dxa"/>
            <w:tcBorders>
              <w:top w:val="nil"/>
              <w:left w:val="nil"/>
              <w:bottom w:val="single" w:sz="4" w:space="0" w:color="auto"/>
              <w:right w:val="nil"/>
            </w:tcBorders>
            <w:shd w:val="clear" w:color="auto" w:fill="auto"/>
            <w:vAlign w:val="center"/>
            <w:hideMark/>
          </w:tcPr>
          <w:p w14:paraId="11D03B2B"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AB</w:t>
            </w:r>
          </w:p>
        </w:tc>
        <w:tc>
          <w:tcPr>
            <w:tcW w:w="1051" w:type="dxa"/>
            <w:tcBorders>
              <w:top w:val="nil"/>
              <w:left w:val="nil"/>
              <w:bottom w:val="single" w:sz="4" w:space="0" w:color="auto"/>
              <w:right w:val="nil"/>
            </w:tcBorders>
            <w:shd w:val="clear" w:color="auto" w:fill="auto"/>
            <w:vAlign w:val="center"/>
            <w:hideMark/>
          </w:tcPr>
          <w:p w14:paraId="7C7A924C"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Increase</w:t>
            </w:r>
          </w:p>
        </w:tc>
        <w:tc>
          <w:tcPr>
            <w:tcW w:w="2524" w:type="dxa"/>
            <w:tcBorders>
              <w:top w:val="nil"/>
              <w:left w:val="nil"/>
              <w:bottom w:val="single" w:sz="4" w:space="0" w:color="auto"/>
              <w:right w:val="nil"/>
            </w:tcBorders>
            <w:shd w:val="clear" w:color="auto" w:fill="auto"/>
            <w:vAlign w:val="center"/>
            <w:hideMark/>
          </w:tcPr>
          <w:p w14:paraId="054B57DD"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Increase in use of antibiotic for cardiac surgery patients</w:t>
            </w:r>
          </w:p>
        </w:tc>
        <w:tc>
          <w:tcPr>
            <w:tcW w:w="4364" w:type="dxa"/>
            <w:tcBorders>
              <w:top w:val="nil"/>
              <w:left w:val="nil"/>
              <w:bottom w:val="single" w:sz="4" w:space="0" w:color="auto"/>
              <w:right w:val="nil"/>
            </w:tcBorders>
            <w:shd w:val="clear" w:color="auto" w:fill="auto"/>
            <w:vAlign w:val="center"/>
            <w:hideMark/>
          </w:tcPr>
          <w:p w14:paraId="36765C47"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Percentage of patients who received additional intra-operative antibiotics</w:t>
            </w:r>
          </w:p>
        </w:tc>
        <w:tc>
          <w:tcPr>
            <w:tcW w:w="3209" w:type="dxa"/>
            <w:tcBorders>
              <w:top w:val="nil"/>
              <w:left w:val="nil"/>
              <w:bottom w:val="single" w:sz="4" w:space="0" w:color="auto"/>
              <w:right w:val="nil"/>
            </w:tcBorders>
            <w:shd w:val="clear" w:color="auto" w:fill="auto"/>
            <w:vAlign w:val="center"/>
            <w:hideMark/>
          </w:tcPr>
          <w:p w14:paraId="75BEE2F6"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Clinicians involved in cardiac surgery</w:t>
            </w:r>
          </w:p>
        </w:tc>
        <w:tc>
          <w:tcPr>
            <w:tcW w:w="709" w:type="dxa"/>
            <w:tcBorders>
              <w:top w:val="nil"/>
              <w:left w:val="nil"/>
              <w:bottom w:val="single" w:sz="4" w:space="0" w:color="auto"/>
              <w:right w:val="nil"/>
            </w:tcBorders>
            <w:shd w:val="clear" w:color="auto" w:fill="auto"/>
            <w:vAlign w:val="center"/>
            <w:hideMark/>
          </w:tcPr>
          <w:p w14:paraId="5E99C6E0"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r w:rsidR="0098086A" w:rsidRPr="003E6B1E" w14:paraId="4E5D8AE8" w14:textId="77777777" w:rsidTr="008819CF">
        <w:trPr>
          <w:trHeight w:val="483"/>
        </w:trPr>
        <w:tc>
          <w:tcPr>
            <w:tcW w:w="1524" w:type="dxa"/>
            <w:tcBorders>
              <w:top w:val="nil"/>
              <w:left w:val="nil"/>
              <w:bottom w:val="single" w:sz="8" w:space="0" w:color="auto"/>
              <w:right w:val="nil"/>
            </w:tcBorders>
            <w:shd w:val="clear" w:color="auto" w:fill="auto"/>
            <w:vAlign w:val="center"/>
            <w:hideMark/>
          </w:tcPr>
          <w:p w14:paraId="66CCC401"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 xml:space="preserve">Zwar </w:t>
            </w:r>
            <w:r>
              <w:rPr>
                <w:rFonts w:ascii="Arial Narrow" w:hAnsi="Arial Narrow"/>
                <w:sz w:val="18"/>
                <w:szCs w:val="18"/>
                <w:lang w:val="en-GB"/>
              </w:rPr>
              <w:t>1</w:t>
            </w:r>
            <w:r w:rsidRPr="003E6B1E">
              <w:rPr>
                <w:rFonts w:ascii="Arial Narrow" w:hAnsi="Arial Narrow"/>
                <w:sz w:val="18"/>
                <w:szCs w:val="18"/>
                <w:lang w:val="en-GB"/>
              </w:rPr>
              <w:t xml:space="preserve">999 </w:t>
            </w:r>
          </w:p>
        </w:tc>
        <w:tc>
          <w:tcPr>
            <w:tcW w:w="802" w:type="dxa"/>
            <w:tcBorders>
              <w:top w:val="nil"/>
              <w:left w:val="nil"/>
              <w:bottom w:val="single" w:sz="8" w:space="0" w:color="auto"/>
              <w:right w:val="nil"/>
            </w:tcBorders>
            <w:shd w:val="clear" w:color="auto" w:fill="auto"/>
            <w:vAlign w:val="center"/>
            <w:hideMark/>
          </w:tcPr>
          <w:p w14:paraId="58884582"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A+F</w:t>
            </w:r>
          </w:p>
        </w:tc>
        <w:tc>
          <w:tcPr>
            <w:tcW w:w="1051" w:type="dxa"/>
            <w:tcBorders>
              <w:top w:val="nil"/>
              <w:left w:val="nil"/>
              <w:bottom w:val="single" w:sz="8" w:space="0" w:color="auto"/>
              <w:right w:val="nil"/>
            </w:tcBorders>
            <w:shd w:val="clear" w:color="auto" w:fill="auto"/>
            <w:vAlign w:val="center"/>
            <w:hideMark/>
          </w:tcPr>
          <w:p w14:paraId="7EDF82AF" w14:textId="77777777" w:rsidR="0098086A" w:rsidRPr="003E6B1E" w:rsidRDefault="0098086A" w:rsidP="00EF107A">
            <w:pPr>
              <w:spacing w:line="240" w:lineRule="auto"/>
              <w:jc w:val="center"/>
              <w:rPr>
                <w:rFonts w:ascii="Arial Narrow" w:hAnsi="Arial Narrow"/>
                <w:sz w:val="18"/>
                <w:szCs w:val="18"/>
                <w:lang w:val="en-GB"/>
              </w:rPr>
            </w:pPr>
            <w:r w:rsidRPr="003E6B1E">
              <w:rPr>
                <w:rFonts w:ascii="Arial Narrow" w:hAnsi="Arial Narrow"/>
                <w:sz w:val="18"/>
                <w:szCs w:val="18"/>
                <w:lang w:val="en-GB"/>
              </w:rPr>
              <w:t>Decrease</w:t>
            </w:r>
          </w:p>
        </w:tc>
        <w:tc>
          <w:tcPr>
            <w:tcW w:w="2524" w:type="dxa"/>
            <w:tcBorders>
              <w:top w:val="nil"/>
              <w:left w:val="nil"/>
              <w:bottom w:val="single" w:sz="8" w:space="0" w:color="auto"/>
              <w:right w:val="nil"/>
            </w:tcBorders>
            <w:shd w:val="clear" w:color="auto" w:fill="auto"/>
            <w:vAlign w:val="center"/>
            <w:hideMark/>
          </w:tcPr>
          <w:p w14:paraId="5FA57A7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Decrease antibiotics for upper respiratory infections</w:t>
            </w:r>
          </w:p>
        </w:tc>
        <w:tc>
          <w:tcPr>
            <w:tcW w:w="4364" w:type="dxa"/>
            <w:tcBorders>
              <w:top w:val="nil"/>
              <w:left w:val="nil"/>
              <w:bottom w:val="single" w:sz="8" w:space="0" w:color="auto"/>
              <w:right w:val="nil"/>
            </w:tcBorders>
            <w:shd w:val="clear" w:color="auto" w:fill="auto"/>
            <w:vAlign w:val="center"/>
            <w:hideMark/>
          </w:tcPr>
          <w:p w14:paraId="6A573F7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Number of prescriptions per 100 URTI problems</w:t>
            </w:r>
          </w:p>
        </w:tc>
        <w:tc>
          <w:tcPr>
            <w:tcW w:w="3209" w:type="dxa"/>
            <w:tcBorders>
              <w:top w:val="nil"/>
              <w:left w:val="nil"/>
              <w:bottom w:val="single" w:sz="8" w:space="0" w:color="auto"/>
              <w:right w:val="nil"/>
            </w:tcBorders>
            <w:shd w:val="clear" w:color="auto" w:fill="auto"/>
            <w:vAlign w:val="center"/>
            <w:hideMark/>
          </w:tcPr>
          <w:p w14:paraId="302A2F64"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General Practice trainees in New South wales</w:t>
            </w:r>
          </w:p>
        </w:tc>
        <w:tc>
          <w:tcPr>
            <w:tcW w:w="709" w:type="dxa"/>
            <w:tcBorders>
              <w:top w:val="nil"/>
              <w:left w:val="nil"/>
              <w:bottom w:val="single" w:sz="8" w:space="0" w:color="auto"/>
              <w:right w:val="nil"/>
            </w:tcBorders>
            <w:shd w:val="clear" w:color="auto" w:fill="auto"/>
            <w:vAlign w:val="center"/>
            <w:hideMark/>
          </w:tcPr>
          <w:p w14:paraId="1A47C502" w14:textId="77777777" w:rsidR="0098086A" w:rsidRPr="003E6B1E" w:rsidRDefault="0098086A" w:rsidP="00EF107A">
            <w:pPr>
              <w:spacing w:line="240" w:lineRule="auto"/>
              <w:rPr>
                <w:rFonts w:ascii="Arial Narrow" w:hAnsi="Arial Narrow"/>
                <w:sz w:val="18"/>
                <w:szCs w:val="18"/>
                <w:lang w:val="en-GB"/>
              </w:rPr>
            </w:pPr>
            <w:r w:rsidRPr="003E6B1E">
              <w:rPr>
                <w:rFonts w:ascii="Arial Narrow" w:hAnsi="Arial Narrow"/>
                <w:sz w:val="18"/>
                <w:szCs w:val="18"/>
                <w:lang w:val="en-GB"/>
              </w:rPr>
              <w:t>RCT</w:t>
            </w:r>
          </w:p>
        </w:tc>
      </w:tr>
    </w:tbl>
    <w:p w14:paraId="45497B1D" w14:textId="77777777" w:rsidR="00F05452" w:rsidRDefault="00F05452"/>
    <w:sectPr w:rsidR="00F05452" w:rsidSect="000F6F34">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70F7E"/>
    <w:multiLevelType w:val="hybridMultilevel"/>
    <w:tmpl w:val="BF6404C0"/>
    <w:lvl w:ilvl="0" w:tplc="76AE6100">
      <w:start w:val="1"/>
      <w:numFmt w:val="decimal"/>
      <w:lvlText w:val="%1)"/>
      <w:lvlJc w:val="left"/>
      <w:pPr>
        <w:ind w:left="1080" w:hanging="360"/>
      </w:pPr>
      <w:rPr>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F427F3B"/>
    <w:multiLevelType w:val="hybridMultilevel"/>
    <w:tmpl w:val="3ED253C6"/>
    <w:lvl w:ilvl="0" w:tplc="258E3AEE">
      <w:start w:val="190"/>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72C16"/>
    <w:multiLevelType w:val="hybridMultilevel"/>
    <w:tmpl w:val="67C202A6"/>
    <w:lvl w:ilvl="0" w:tplc="2174AB98">
      <w:numFmt w:val="bullet"/>
      <w:lvlText w:val="-"/>
      <w:lvlJc w:val="left"/>
      <w:pPr>
        <w:ind w:left="420" w:hanging="360"/>
      </w:pPr>
      <w:rPr>
        <w:rFonts w:ascii="Times New Roman" w:eastAsia="Times New Roman" w:hAnsi="Times New Roman" w:cs="Times New Roman" w:hint="default"/>
        <w:i w:val="0"/>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1662BFD"/>
    <w:multiLevelType w:val="hybridMultilevel"/>
    <w:tmpl w:val="9F2E4EFA"/>
    <w:lvl w:ilvl="0" w:tplc="8D72B6AA">
      <w:start w:val="1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99561F"/>
    <w:multiLevelType w:val="multilevel"/>
    <w:tmpl w:val="A1969132"/>
    <w:lvl w:ilvl="0">
      <w:start w:val="1"/>
      <w:numFmt w:val="decimal"/>
      <w:lvlText w:val="Chapter %1 "/>
      <w:lvlJc w:val="left"/>
      <w:pPr>
        <w:ind w:left="792" w:hanging="432"/>
      </w:pPr>
      <w:rPr>
        <w:rFonts w:hint="default"/>
      </w:rPr>
    </w:lvl>
    <w:lvl w:ilvl="1">
      <w:numFmt w:val="decimal"/>
      <w:lvlText w:val="%1.%2"/>
      <w:lvlJc w:val="left"/>
      <w:pPr>
        <w:ind w:left="936" w:hanging="576"/>
      </w:pPr>
      <w:rPr>
        <w:rFonts w:hint="default"/>
      </w:rPr>
    </w:lvl>
    <w:lvl w:ilvl="2">
      <w:start w:val="1"/>
      <w:numFmt w:val="decimal"/>
      <w:pStyle w:val="Heading3"/>
      <w:lvlText w:val="%1.%2.%3"/>
      <w:lvlJc w:val="left"/>
      <w:pPr>
        <w:ind w:left="2215" w:hanging="720"/>
      </w:pPr>
      <w:rPr>
        <w:rFonts w:hint="default"/>
      </w:rPr>
    </w:lvl>
    <w:lvl w:ilvl="3">
      <w:start w:val="1"/>
      <w:numFmt w:val="decimal"/>
      <w:pStyle w:val="Heading4"/>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5" w15:restartNumberingAfterBreak="0">
    <w:nsid w:val="167E13D8"/>
    <w:multiLevelType w:val="hybridMultilevel"/>
    <w:tmpl w:val="F358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9A5415"/>
    <w:multiLevelType w:val="hybridMultilevel"/>
    <w:tmpl w:val="9E408928"/>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2AC554C"/>
    <w:multiLevelType w:val="hybridMultilevel"/>
    <w:tmpl w:val="0BE48F48"/>
    <w:lvl w:ilvl="0" w:tplc="ABF0A234">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8" w15:restartNumberingAfterBreak="0">
    <w:nsid w:val="24D40756"/>
    <w:multiLevelType w:val="hybridMultilevel"/>
    <w:tmpl w:val="E2B4B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6B34E1"/>
    <w:multiLevelType w:val="hybridMultilevel"/>
    <w:tmpl w:val="930CD472"/>
    <w:lvl w:ilvl="0" w:tplc="8D72B6AA">
      <w:start w:val="1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182ADD"/>
    <w:multiLevelType w:val="hybridMultilevel"/>
    <w:tmpl w:val="5F0238D8"/>
    <w:lvl w:ilvl="0" w:tplc="08090017">
      <w:start w:val="9"/>
      <w:numFmt w:val="lowerLetter"/>
      <w:lvlText w:val="%1)"/>
      <w:lvlJc w:val="left"/>
      <w:pPr>
        <w:ind w:left="720" w:hanging="360"/>
      </w:pPr>
      <w:rPr>
        <w:rFonts w:cs="Times New Roman" w:hint="default"/>
        <w:b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32A80E4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150099"/>
    <w:multiLevelType w:val="hybridMultilevel"/>
    <w:tmpl w:val="A546F3D0"/>
    <w:lvl w:ilvl="0" w:tplc="D6AE830A">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C044BE"/>
    <w:multiLevelType w:val="multilevel"/>
    <w:tmpl w:val="1DACAF16"/>
    <w:lvl w:ilvl="0">
      <w:start w:val="1"/>
      <w:numFmt w:val="decimal"/>
      <w:lvlText w:val="Chapter %1 "/>
      <w:lvlJc w:val="left"/>
      <w:pPr>
        <w:ind w:left="432" w:hanging="432"/>
      </w:pPr>
      <w:rPr>
        <w:rFonts w:hint="default"/>
      </w:rPr>
    </w:lvl>
    <w:lvl w:ilvl="1">
      <w:numFmt w:val="decimal"/>
      <w:lvlText w:val="%1.%2"/>
      <w:lvlJc w:val="left"/>
      <w:pPr>
        <w:ind w:left="576" w:hanging="576"/>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864" w:firstLine="128"/>
      </w:pPr>
      <w:rPr>
        <w:rFonts w:hint="default"/>
      </w:rPr>
    </w:lvl>
    <w:lvl w:ilvl="4">
      <w:start w:val="1"/>
      <w:numFmt w:val="decimal"/>
      <w:pStyle w:val="Heading5PhD"/>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36E03BD"/>
    <w:multiLevelType w:val="hybridMultilevel"/>
    <w:tmpl w:val="3A203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A90A5A"/>
    <w:multiLevelType w:val="hybridMultilevel"/>
    <w:tmpl w:val="B1F2186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D1012A"/>
    <w:multiLevelType w:val="hybridMultilevel"/>
    <w:tmpl w:val="1F6E479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A5296B"/>
    <w:multiLevelType w:val="hybridMultilevel"/>
    <w:tmpl w:val="8178794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5501AB1"/>
    <w:multiLevelType w:val="hybridMultilevel"/>
    <w:tmpl w:val="53926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0D454E"/>
    <w:multiLevelType w:val="hybridMultilevel"/>
    <w:tmpl w:val="12F45D5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8079FF"/>
    <w:multiLevelType w:val="hybridMultilevel"/>
    <w:tmpl w:val="54605686"/>
    <w:lvl w:ilvl="0" w:tplc="31B8CA38">
      <w:start w:val="5"/>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7A4A24"/>
    <w:multiLevelType w:val="hybridMultilevel"/>
    <w:tmpl w:val="2D22F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DA0AA2"/>
    <w:multiLevelType w:val="hybridMultilevel"/>
    <w:tmpl w:val="0E4CFED0"/>
    <w:lvl w:ilvl="0" w:tplc="D6AE830A">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265704"/>
    <w:multiLevelType w:val="hybridMultilevel"/>
    <w:tmpl w:val="1C1232EA"/>
    <w:lvl w:ilvl="0" w:tplc="A5682E9A">
      <w:start w:val="2"/>
      <w:numFmt w:val="lowerRoman"/>
      <w:lvlText w:val="%1)"/>
      <w:lvlJc w:val="left"/>
      <w:pPr>
        <w:ind w:left="1080" w:hanging="72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6558297D"/>
    <w:multiLevelType w:val="hybridMultilevel"/>
    <w:tmpl w:val="BCB4B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1D2276"/>
    <w:multiLevelType w:val="hybridMultilevel"/>
    <w:tmpl w:val="89BEC3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852E12"/>
    <w:multiLevelType w:val="multilevel"/>
    <w:tmpl w:val="5D5ABA5C"/>
    <w:lvl w:ilvl="0">
      <w:start w:val="1"/>
      <w:numFmt w:val="decimal"/>
      <w:pStyle w:val="CommentSubject"/>
      <w:lvlText w:val="Chapter %1 "/>
      <w:lvlJc w:val="left"/>
      <w:pPr>
        <w:ind w:left="716" w:hanging="432"/>
      </w:pPr>
      <w:rPr>
        <w:rFonts w:hint="default"/>
        <w:caps/>
      </w:rPr>
    </w:lvl>
    <w:lvl w:ilvl="1">
      <w:numFmt w:val="decimal"/>
      <w:lvlText w:val="%1.%2"/>
      <w:lvlJc w:val="left"/>
      <w:pPr>
        <w:ind w:left="860" w:hanging="576"/>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1148" w:hanging="864"/>
      </w:pPr>
      <w:rPr>
        <w:rFonts w:hint="default"/>
      </w:rPr>
    </w:lvl>
    <w:lvl w:ilvl="4">
      <w:start w:val="1"/>
      <w:numFmt w:val="decimal"/>
      <w:lvlRestart w:val="0"/>
      <w:lvlText w:val="%1.%2.%3.%4.%5"/>
      <w:lvlJc w:val="left"/>
      <w:pPr>
        <w:ind w:left="1292" w:hanging="1008"/>
      </w:pPr>
      <w:rPr>
        <w:rFonts w:hint="default"/>
      </w:rPr>
    </w:lvl>
    <w:lvl w:ilvl="5">
      <w:start w:val="1"/>
      <w:numFmt w:val="decimal"/>
      <w:pStyle w:val="Heading6"/>
      <w:lvlText w:val="%1.%2.%3.%4.%5.%6"/>
      <w:lvlJc w:val="left"/>
      <w:pPr>
        <w:ind w:left="1436" w:hanging="1152"/>
      </w:pPr>
      <w:rPr>
        <w:rFonts w:hint="default"/>
      </w:rPr>
    </w:lvl>
    <w:lvl w:ilvl="6">
      <w:start w:val="1"/>
      <w:numFmt w:val="decimal"/>
      <w:pStyle w:val="Heading7"/>
      <w:lvlText w:val="%1.%2.%3.%4.%5.%6.%7"/>
      <w:lvlJc w:val="left"/>
      <w:pPr>
        <w:ind w:left="1580" w:hanging="1296"/>
      </w:pPr>
      <w:rPr>
        <w:rFonts w:hint="default"/>
      </w:rPr>
    </w:lvl>
    <w:lvl w:ilvl="7">
      <w:start w:val="1"/>
      <w:numFmt w:val="decimal"/>
      <w:pStyle w:val="Heading8"/>
      <w:lvlText w:val="%1.%2.%3.%4.%5.%6.%7.%8"/>
      <w:lvlJc w:val="left"/>
      <w:pPr>
        <w:ind w:left="1724" w:hanging="1440"/>
      </w:pPr>
      <w:rPr>
        <w:rFonts w:hint="default"/>
      </w:rPr>
    </w:lvl>
    <w:lvl w:ilvl="8">
      <w:start w:val="1"/>
      <w:numFmt w:val="decimal"/>
      <w:pStyle w:val="Heading9"/>
      <w:lvlText w:val="%1.%2.%3.%4.%5.%6.%7.%8.%9"/>
      <w:lvlJc w:val="left"/>
      <w:pPr>
        <w:ind w:left="1868" w:hanging="1584"/>
      </w:pPr>
      <w:rPr>
        <w:rFonts w:hint="default"/>
      </w:rPr>
    </w:lvl>
  </w:abstractNum>
  <w:abstractNum w:abstractNumId="27" w15:restartNumberingAfterBreak="0">
    <w:nsid w:val="6C12302E"/>
    <w:multiLevelType w:val="hybridMultilevel"/>
    <w:tmpl w:val="1A8E1A0C"/>
    <w:lvl w:ilvl="0" w:tplc="276A79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637B10"/>
    <w:multiLevelType w:val="multilevel"/>
    <w:tmpl w:val="BEE8399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73777941"/>
    <w:multiLevelType w:val="hybridMultilevel"/>
    <w:tmpl w:val="0044727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75A75F5F"/>
    <w:multiLevelType w:val="hybridMultilevel"/>
    <w:tmpl w:val="461E3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80FD0"/>
    <w:multiLevelType w:val="hybridMultilevel"/>
    <w:tmpl w:val="999A1B98"/>
    <w:lvl w:ilvl="0" w:tplc="9CB087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7D6F61"/>
    <w:multiLevelType w:val="multilevel"/>
    <w:tmpl w:val="C090CDE6"/>
    <w:lvl w:ilvl="0">
      <w:start w:val="1"/>
      <w:numFmt w:val="decimal"/>
      <w:pStyle w:val="Heading1PhD"/>
      <w:lvlText w:val="Chapter %1 "/>
      <w:lvlJc w:val="left"/>
      <w:pPr>
        <w:ind w:left="432" w:hanging="432"/>
      </w:pPr>
      <w:rPr>
        <w:rFonts w:hint="default"/>
      </w:rPr>
    </w:lvl>
    <w:lvl w:ilvl="1">
      <w:numFmt w:val="decimal"/>
      <w:lvlText w:val="%1.%2"/>
      <w:lvlJc w:val="left"/>
      <w:pPr>
        <w:ind w:left="576" w:hanging="576"/>
      </w:pPr>
      <w:rPr>
        <w:rFonts w:hint="default"/>
      </w:rPr>
    </w:lvl>
    <w:lvl w:ilvl="2">
      <w:start w:val="1"/>
      <w:numFmt w:val="decimal"/>
      <w:lvlText w:val="%1.%2.%3"/>
      <w:lvlJc w:val="left"/>
      <w:pPr>
        <w:ind w:left="1855" w:hanging="720"/>
      </w:pPr>
      <w:rPr>
        <w:rFonts w:hint="default"/>
      </w:rPr>
    </w:lvl>
    <w:lvl w:ilvl="3">
      <w:start w:val="1"/>
      <w:numFmt w:val="decimal"/>
      <w:pStyle w:val="Heading4PHD"/>
      <w:lvlText w:val="%1.%2.%3.%4"/>
      <w:lvlJc w:val="left"/>
      <w:pPr>
        <w:ind w:left="864" w:firstLine="128"/>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EA31889"/>
    <w:multiLevelType w:val="hybridMultilevel"/>
    <w:tmpl w:val="FC7CE0E8"/>
    <w:lvl w:ilvl="0" w:tplc="8D72B6AA">
      <w:start w:val="13"/>
      <w:numFmt w:val="bullet"/>
      <w:lvlText w:val=""/>
      <w:lvlJc w:val="left"/>
      <w:pPr>
        <w:ind w:left="4026" w:hanging="360"/>
      </w:pPr>
      <w:rPr>
        <w:rFonts w:ascii="Symbol" w:eastAsiaTheme="minorEastAsia" w:hAnsi="Symbol" w:cs="Times New Roman" w:hint="default"/>
      </w:rPr>
    </w:lvl>
    <w:lvl w:ilvl="1" w:tplc="04090003" w:tentative="1">
      <w:start w:val="1"/>
      <w:numFmt w:val="bullet"/>
      <w:lvlText w:val="o"/>
      <w:lvlJc w:val="left"/>
      <w:pPr>
        <w:ind w:left="4746" w:hanging="360"/>
      </w:pPr>
      <w:rPr>
        <w:rFonts w:ascii="Courier New" w:hAnsi="Courier New" w:hint="default"/>
      </w:rPr>
    </w:lvl>
    <w:lvl w:ilvl="2" w:tplc="04090005" w:tentative="1">
      <w:start w:val="1"/>
      <w:numFmt w:val="bullet"/>
      <w:lvlText w:val=""/>
      <w:lvlJc w:val="left"/>
      <w:pPr>
        <w:ind w:left="5466" w:hanging="360"/>
      </w:pPr>
      <w:rPr>
        <w:rFonts w:ascii="Wingdings" w:hAnsi="Wingdings" w:hint="default"/>
      </w:rPr>
    </w:lvl>
    <w:lvl w:ilvl="3" w:tplc="04090001" w:tentative="1">
      <w:start w:val="1"/>
      <w:numFmt w:val="bullet"/>
      <w:lvlText w:val=""/>
      <w:lvlJc w:val="left"/>
      <w:pPr>
        <w:ind w:left="6186" w:hanging="360"/>
      </w:pPr>
      <w:rPr>
        <w:rFonts w:ascii="Symbol" w:hAnsi="Symbol" w:hint="default"/>
      </w:rPr>
    </w:lvl>
    <w:lvl w:ilvl="4" w:tplc="04090003" w:tentative="1">
      <w:start w:val="1"/>
      <w:numFmt w:val="bullet"/>
      <w:lvlText w:val="o"/>
      <w:lvlJc w:val="left"/>
      <w:pPr>
        <w:ind w:left="6906" w:hanging="360"/>
      </w:pPr>
      <w:rPr>
        <w:rFonts w:ascii="Courier New" w:hAnsi="Courier New" w:hint="default"/>
      </w:rPr>
    </w:lvl>
    <w:lvl w:ilvl="5" w:tplc="04090005" w:tentative="1">
      <w:start w:val="1"/>
      <w:numFmt w:val="bullet"/>
      <w:lvlText w:val=""/>
      <w:lvlJc w:val="left"/>
      <w:pPr>
        <w:ind w:left="7626" w:hanging="360"/>
      </w:pPr>
      <w:rPr>
        <w:rFonts w:ascii="Wingdings" w:hAnsi="Wingdings" w:hint="default"/>
      </w:rPr>
    </w:lvl>
    <w:lvl w:ilvl="6" w:tplc="04090001" w:tentative="1">
      <w:start w:val="1"/>
      <w:numFmt w:val="bullet"/>
      <w:lvlText w:val=""/>
      <w:lvlJc w:val="left"/>
      <w:pPr>
        <w:ind w:left="8346" w:hanging="360"/>
      </w:pPr>
      <w:rPr>
        <w:rFonts w:ascii="Symbol" w:hAnsi="Symbol" w:hint="default"/>
      </w:rPr>
    </w:lvl>
    <w:lvl w:ilvl="7" w:tplc="04090003" w:tentative="1">
      <w:start w:val="1"/>
      <w:numFmt w:val="bullet"/>
      <w:lvlText w:val="o"/>
      <w:lvlJc w:val="left"/>
      <w:pPr>
        <w:ind w:left="9066" w:hanging="360"/>
      </w:pPr>
      <w:rPr>
        <w:rFonts w:ascii="Courier New" w:hAnsi="Courier New" w:hint="default"/>
      </w:rPr>
    </w:lvl>
    <w:lvl w:ilvl="8" w:tplc="04090005" w:tentative="1">
      <w:start w:val="1"/>
      <w:numFmt w:val="bullet"/>
      <w:lvlText w:val=""/>
      <w:lvlJc w:val="left"/>
      <w:pPr>
        <w:ind w:left="9786" w:hanging="360"/>
      </w:pPr>
      <w:rPr>
        <w:rFonts w:ascii="Wingdings" w:hAnsi="Wingdings" w:hint="default"/>
      </w:rPr>
    </w:lvl>
  </w:abstractNum>
  <w:abstractNum w:abstractNumId="34" w15:restartNumberingAfterBreak="0">
    <w:nsid w:val="7F523FA5"/>
    <w:multiLevelType w:val="hybridMultilevel"/>
    <w:tmpl w:val="51AA38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2"/>
  </w:num>
  <w:num w:numId="3">
    <w:abstractNumId w:val="0"/>
  </w:num>
  <w:num w:numId="4">
    <w:abstractNumId w:val="6"/>
  </w:num>
  <w:num w:numId="5">
    <w:abstractNumId w:val="30"/>
  </w:num>
  <w:num w:numId="6">
    <w:abstractNumId w:val="11"/>
  </w:num>
  <w:num w:numId="7">
    <w:abstractNumId w:val="21"/>
  </w:num>
  <w:num w:numId="8">
    <w:abstractNumId w:val="13"/>
  </w:num>
  <w:num w:numId="9">
    <w:abstractNumId w:val="17"/>
  </w:num>
  <w:num w:numId="10">
    <w:abstractNumId w:val="16"/>
  </w:num>
  <w:num w:numId="11">
    <w:abstractNumId w:val="24"/>
  </w:num>
  <w:num w:numId="12">
    <w:abstractNumId w:val="9"/>
  </w:num>
  <w:num w:numId="13">
    <w:abstractNumId w:val="33"/>
  </w:num>
  <w:num w:numId="14">
    <w:abstractNumId w:val="3"/>
  </w:num>
  <w:num w:numId="15">
    <w:abstractNumId w:val="34"/>
  </w:num>
  <w:num w:numId="16">
    <w:abstractNumId w:val="2"/>
  </w:num>
  <w:num w:numId="17">
    <w:abstractNumId w:val="31"/>
  </w:num>
  <w:num w:numId="18">
    <w:abstractNumId w:val="20"/>
  </w:num>
  <w:num w:numId="19">
    <w:abstractNumId w:val="25"/>
  </w:num>
  <w:num w:numId="20">
    <w:abstractNumId w:val="18"/>
  </w:num>
  <w:num w:numId="21">
    <w:abstractNumId w:val="5"/>
  </w:num>
  <w:num w:numId="22">
    <w:abstractNumId w:val="1"/>
  </w:num>
  <w:num w:numId="23">
    <w:abstractNumId w:val="10"/>
  </w:num>
  <w:num w:numId="24">
    <w:abstractNumId w:val="23"/>
  </w:num>
  <w:num w:numId="25">
    <w:abstractNumId w:val="28"/>
  </w:num>
  <w:num w:numId="26">
    <w:abstractNumId w:val="26"/>
  </w:num>
  <w:num w:numId="27">
    <w:abstractNumId w:val="27"/>
  </w:num>
  <w:num w:numId="28">
    <w:abstractNumId w:val="12"/>
  </w:num>
  <w:num w:numId="29">
    <w:abstractNumId w:val="22"/>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9"/>
  </w:num>
  <w:num w:numId="33">
    <w:abstractNumId w:val="8"/>
  </w:num>
  <w:num w:numId="34">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14"/>
  </w:num>
  <w:num w:numId="38">
    <w:abstractNumId w:val="7"/>
  </w:num>
  <w:num w:numId="39">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74"/>
    <w:rsid w:val="00002FFF"/>
    <w:rsid w:val="00003B29"/>
    <w:rsid w:val="000074BF"/>
    <w:rsid w:val="00007BF5"/>
    <w:rsid w:val="00012BBC"/>
    <w:rsid w:val="000157FD"/>
    <w:rsid w:val="00021F30"/>
    <w:rsid w:val="000226FC"/>
    <w:rsid w:val="00033A7C"/>
    <w:rsid w:val="000350F5"/>
    <w:rsid w:val="00045984"/>
    <w:rsid w:val="000468AE"/>
    <w:rsid w:val="00051D2E"/>
    <w:rsid w:val="000879DA"/>
    <w:rsid w:val="000912F8"/>
    <w:rsid w:val="000957B1"/>
    <w:rsid w:val="00095BAB"/>
    <w:rsid w:val="00096E36"/>
    <w:rsid w:val="000A6DAE"/>
    <w:rsid w:val="000B2A11"/>
    <w:rsid w:val="000E0A7F"/>
    <w:rsid w:val="000E10D3"/>
    <w:rsid w:val="000F48FF"/>
    <w:rsid w:val="000F6F34"/>
    <w:rsid w:val="001028EF"/>
    <w:rsid w:val="0011103F"/>
    <w:rsid w:val="00136BBC"/>
    <w:rsid w:val="00142FD3"/>
    <w:rsid w:val="0014521B"/>
    <w:rsid w:val="00172A4C"/>
    <w:rsid w:val="001736A7"/>
    <w:rsid w:val="00190544"/>
    <w:rsid w:val="00197621"/>
    <w:rsid w:val="001A21E1"/>
    <w:rsid w:val="001B184B"/>
    <w:rsid w:val="001B48C5"/>
    <w:rsid w:val="001B6539"/>
    <w:rsid w:val="001D149E"/>
    <w:rsid w:val="001D1E60"/>
    <w:rsid w:val="001D648C"/>
    <w:rsid w:val="001E4CFC"/>
    <w:rsid w:val="001F563A"/>
    <w:rsid w:val="001F7138"/>
    <w:rsid w:val="002142F1"/>
    <w:rsid w:val="00221DA2"/>
    <w:rsid w:val="002243B3"/>
    <w:rsid w:val="00241EF7"/>
    <w:rsid w:val="0025266A"/>
    <w:rsid w:val="00252A6F"/>
    <w:rsid w:val="002721BB"/>
    <w:rsid w:val="0027527F"/>
    <w:rsid w:val="0029175D"/>
    <w:rsid w:val="002A6C26"/>
    <w:rsid w:val="002B3C98"/>
    <w:rsid w:val="002B4790"/>
    <w:rsid w:val="002B7D0D"/>
    <w:rsid w:val="002C16FE"/>
    <w:rsid w:val="002D61C5"/>
    <w:rsid w:val="002E17F4"/>
    <w:rsid w:val="002E4084"/>
    <w:rsid w:val="002F02C9"/>
    <w:rsid w:val="002F3274"/>
    <w:rsid w:val="00307A8F"/>
    <w:rsid w:val="003141B4"/>
    <w:rsid w:val="0033224D"/>
    <w:rsid w:val="003344FD"/>
    <w:rsid w:val="003533C3"/>
    <w:rsid w:val="00353CA6"/>
    <w:rsid w:val="00355262"/>
    <w:rsid w:val="00357589"/>
    <w:rsid w:val="0036048B"/>
    <w:rsid w:val="00383477"/>
    <w:rsid w:val="003A23AE"/>
    <w:rsid w:val="003A2B68"/>
    <w:rsid w:val="003A46CB"/>
    <w:rsid w:val="003B0483"/>
    <w:rsid w:val="003C04C0"/>
    <w:rsid w:val="003C0F92"/>
    <w:rsid w:val="003C7E64"/>
    <w:rsid w:val="003D4E22"/>
    <w:rsid w:val="003E14A7"/>
    <w:rsid w:val="003E38A1"/>
    <w:rsid w:val="00401030"/>
    <w:rsid w:val="00403081"/>
    <w:rsid w:val="00422518"/>
    <w:rsid w:val="00433CD7"/>
    <w:rsid w:val="00442163"/>
    <w:rsid w:val="00474AE7"/>
    <w:rsid w:val="00490864"/>
    <w:rsid w:val="004938CF"/>
    <w:rsid w:val="004A3121"/>
    <w:rsid w:val="004B7C00"/>
    <w:rsid w:val="004E3124"/>
    <w:rsid w:val="004F1205"/>
    <w:rsid w:val="00516554"/>
    <w:rsid w:val="00563D6B"/>
    <w:rsid w:val="00564901"/>
    <w:rsid w:val="005777DD"/>
    <w:rsid w:val="00591E9B"/>
    <w:rsid w:val="0059487A"/>
    <w:rsid w:val="00597C29"/>
    <w:rsid w:val="005B1A64"/>
    <w:rsid w:val="005B4B4B"/>
    <w:rsid w:val="005B51DA"/>
    <w:rsid w:val="005C0D94"/>
    <w:rsid w:val="005D0158"/>
    <w:rsid w:val="005E0F2D"/>
    <w:rsid w:val="005E2DAD"/>
    <w:rsid w:val="005E5313"/>
    <w:rsid w:val="005E55E3"/>
    <w:rsid w:val="005E6D2D"/>
    <w:rsid w:val="005F1D52"/>
    <w:rsid w:val="005F24EB"/>
    <w:rsid w:val="005F6C86"/>
    <w:rsid w:val="005F78FF"/>
    <w:rsid w:val="00631A73"/>
    <w:rsid w:val="00644FF0"/>
    <w:rsid w:val="00661976"/>
    <w:rsid w:val="00672CA3"/>
    <w:rsid w:val="006862EB"/>
    <w:rsid w:val="00690127"/>
    <w:rsid w:val="0069525E"/>
    <w:rsid w:val="006A0E23"/>
    <w:rsid w:val="006A16F0"/>
    <w:rsid w:val="006A6D1B"/>
    <w:rsid w:val="006A7D1F"/>
    <w:rsid w:val="006B65A7"/>
    <w:rsid w:val="006D0E6C"/>
    <w:rsid w:val="006D1C43"/>
    <w:rsid w:val="006E73FF"/>
    <w:rsid w:val="006F07D2"/>
    <w:rsid w:val="006F30D4"/>
    <w:rsid w:val="006F3799"/>
    <w:rsid w:val="0070100E"/>
    <w:rsid w:val="007616D0"/>
    <w:rsid w:val="0077765E"/>
    <w:rsid w:val="00796076"/>
    <w:rsid w:val="007B3266"/>
    <w:rsid w:val="007D1599"/>
    <w:rsid w:val="007D6180"/>
    <w:rsid w:val="007E0A0C"/>
    <w:rsid w:val="00811858"/>
    <w:rsid w:val="008119F4"/>
    <w:rsid w:val="00811A18"/>
    <w:rsid w:val="00825541"/>
    <w:rsid w:val="00833707"/>
    <w:rsid w:val="00845491"/>
    <w:rsid w:val="00857A4A"/>
    <w:rsid w:val="00860254"/>
    <w:rsid w:val="00872B45"/>
    <w:rsid w:val="008819CF"/>
    <w:rsid w:val="00890886"/>
    <w:rsid w:val="00897069"/>
    <w:rsid w:val="008A02B0"/>
    <w:rsid w:val="008A46EA"/>
    <w:rsid w:val="008B09A4"/>
    <w:rsid w:val="008C48EC"/>
    <w:rsid w:val="008F23EF"/>
    <w:rsid w:val="008F266D"/>
    <w:rsid w:val="009101D0"/>
    <w:rsid w:val="0091048A"/>
    <w:rsid w:val="00935F0D"/>
    <w:rsid w:val="0094385D"/>
    <w:rsid w:val="00944CFA"/>
    <w:rsid w:val="00951786"/>
    <w:rsid w:val="00962FA7"/>
    <w:rsid w:val="0096367C"/>
    <w:rsid w:val="00974D58"/>
    <w:rsid w:val="0098086A"/>
    <w:rsid w:val="009B262C"/>
    <w:rsid w:val="009B34DE"/>
    <w:rsid w:val="009B6A36"/>
    <w:rsid w:val="009C3FE1"/>
    <w:rsid w:val="009E50E9"/>
    <w:rsid w:val="009F09FA"/>
    <w:rsid w:val="009F27DF"/>
    <w:rsid w:val="009F4C1E"/>
    <w:rsid w:val="009F6C01"/>
    <w:rsid w:val="00A07FED"/>
    <w:rsid w:val="00A15DBB"/>
    <w:rsid w:val="00A17E97"/>
    <w:rsid w:val="00A270A2"/>
    <w:rsid w:val="00A340E9"/>
    <w:rsid w:val="00A55CEA"/>
    <w:rsid w:val="00A6572B"/>
    <w:rsid w:val="00A65873"/>
    <w:rsid w:val="00A727D9"/>
    <w:rsid w:val="00A72806"/>
    <w:rsid w:val="00A945F0"/>
    <w:rsid w:val="00A95308"/>
    <w:rsid w:val="00AA4F0D"/>
    <w:rsid w:val="00AE04B7"/>
    <w:rsid w:val="00B1074B"/>
    <w:rsid w:val="00B11137"/>
    <w:rsid w:val="00B17C80"/>
    <w:rsid w:val="00B52A4E"/>
    <w:rsid w:val="00B67B56"/>
    <w:rsid w:val="00B87485"/>
    <w:rsid w:val="00BA237E"/>
    <w:rsid w:val="00BA297A"/>
    <w:rsid w:val="00BA602E"/>
    <w:rsid w:val="00BB4890"/>
    <w:rsid w:val="00BD0CA0"/>
    <w:rsid w:val="00BD7E5A"/>
    <w:rsid w:val="00BE7114"/>
    <w:rsid w:val="00BF3D5D"/>
    <w:rsid w:val="00BF6504"/>
    <w:rsid w:val="00C0401F"/>
    <w:rsid w:val="00C07BCE"/>
    <w:rsid w:val="00C12B74"/>
    <w:rsid w:val="00C14C4F"/>
    <w:rsid w:val="00C2025A"/>
    <w:rsid w:val="00C2312A"/>
    <w:rsid w:val="00C24B4C"/>
    <w:rsid w:val="00C30E37"/>
    <w:rsid w:val="00C405DC"/>
    <w:rsid w:val="00C623EC"/>
    <w:rsid w:val="00C76EA0"/>
    <w:rsid w:val="00C85751"/>
    <w:rsid w:val="00C90C40"/>
    <w:rsid w:val="00CA6AED"/>
    <w:rsid w:val="00CB3DBE"/>
    <w:rsid w:val="00CB7016"/>
    <w:rsid w:val="00CD4B71"/>
    <w:rsid w:val="00CE150E"/>
    <w:rsid w:val="00CE54F4"/>
    <w:rsid w:val="00CF424A"/>
    <w:rsid w:val="00CF45F3"/>
    <w:rsid w:val="00CF734C"/>
    <w:rsid w:val="00D039FB"/>
    <w:rsid w:val="00D27466"/>
    <w:rsid w:val="00D31C88"/>
    <w:rsid w:val="00D32004"/>
    <w:rsid w:val="00D4548C"/>
    <w:rsid w:val="00D46AAD"/>
    <w:rsid w:val="00D62051"/>
    <w:rsid w:val="00D6595A"/>
    <w:rsid w:val="00D65E4A"/>
    <w:rsid w:val="00D72F66"/>
    <w:rsid w:val="00D73488"/>
    <w:rsid w:val="00DB42C7"/>
    <w:rsid w:val="00DC1BAE"/>
    <w:rsid w:val="00DD1656"/>
    <w:rsid w:val="00DE28A2"/>
    <w:rsid w:val="00DF02FC"/>
    <w:rsid w:val="00DF28BA"/>
    <w:rsid w:val="00DF7ED9"/>
    <w:rsid w:val="00E1093B"/>
    <w:rsid w:val="00E21FA7"/>
    <w:rsid w:val="00E367F3"/>
    <w:rsid w:val="00E4252F"/>
    <w:rsid w:val="00E5174C"/>
    <w:rsid w:val="00E51A81"/>
    <w:rsid w:val="00E5533E"/>
    <w:rsid w:val="00E56BCC"/>
    <w:rsid w:val="00E6074D"/>
    <w:rsid w:val="00E61DCE"/>
    <w:rsid w:val="00E6296C"/>
    <w:rsid w:val="00E63023"/>
    <w:rsid w:val="00E66F9D"/>
    <w:rsid w:val="00E828B6"/>
    <w:rsid w:val="00E850EF"/>
    <w:rsid w:val="00E852E8"/>
    <w:rsid w:val="00E92AC5"/>
    <w:rsid w:val="00EA54AB"/>
    <w:rsid w:val="00EB59B2"/>
    <w:rsid w:val="00EC1E01"/>
    <w:rsid w:val="00ED3F77"/>
    <w:rsid w:val="00ED614F"/>
    <w:rsid w:val="00EE5F21"/>
    <w:rsid w:val="00F0015F"/>
    <w:rsid w:val="00F0019C"/>
    <w:rsid w:val="00F00DD2"/>
    <w:rsid w:val="00F05452"/>
    <w:rsid w:val="00F378DD"/>
    <w:rsid w:val="00F404D0"/>
    <w:rsid w:val="00F50076"/>
    <w:rsid w:val="00F655E5"/>
    <w:rsid w:val="00F806F5"/>
    <w:rsid w:val="00F83D3C"/>
    <w:rsid w:val="00FA48B6"/>
    <w:rsid w:val="00FA7045"/>
    <w:rsid w:val="00FB1AB4"/>
    <w:rsid w:val="00FB2EC8"/>
    <w:rsid w:val="00FB6084"/>
    <w:rsid w:val="00FB60A0"/>
    <w:rsid w:val="00FB6C88"/>
    <w:rsid w:val="00FC14F0"/>
    <w:rsid w:val="00FC3CD7"/>
    <w:rsid w:val="00FD1AC3"/>
    <w:rsid w:val="00FD799A"/>
    <w:rsid w:val="00FE0E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6A92FAD"/>
  <w15:chartTrackingRefBased/>
  <w15:docId w15:val="{C02544B7-940E-514B-B841-B28054DB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74"/>
    <w:pPr>
      <w:spacing w:line="480" w:lineRule="auto"/>
    </w:pPr>
    <w:rPr>
      <w:rFonts w:ascii="Times New Roman" w:eastAsiaTheme="minorEastAsia" w:hAnsi="Times New Roman"/>
      <w:szCs w:val="22"/>
      <w:lang w:val="en-US"/>
    </w:rPr>
  </w:style>
  <w:style w:type="paragraph" w:styleId="Heading1">
    <w:name w:val="heading 1"/>
    <w:basedOn w:val="Normal"/>
    <w:next w:val="Normal"/>
    <w:link w:val="Heading1Char"/>
    <w:uiPriority w:val="9"/>
    <w:qFormat/>
    <w:rsid w:val="00C12B74"/>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next w:val="Normal"/>
    <w:link w:val="Heading2Char"/>
    <w:uiPriority w:val="9"/>
    <w:unhideWhenUsed/>
    <w:qFormat/>
    <w:rsid w:val="00C12B74"/>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12B74"/>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C12B74"/>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C12B74"/>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C12B74"/>
    <w:pPr>
      <w:keepNext/>
      <w:keepLines/>
      <w:numPr>
        <w:ilvl w:val="5"/>
        <w:numId w:val="26"/>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C12B74"/>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12B74"/>
    <w:pPr>
      <w:keepNext/>
      <w:keepLines/>
      <w:numPr>
        <w:ilvl w:val="7"/>
        <w:numId w:val="26"/>
      </w:numPr>
      <w:spacing w:before="20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C12B74"/>
    <w:pPr>
      <w:keepNext/>
      <w:keepLines/>
      <w:numPr>
        <w:ilvl w:val="8"/>
        <w:numId w:val="2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B74"/>
    <w:rPr>
      <w:rFonts w:asciiTheme="majorHAnsi" w:eastAsiaTheme="majorEastAsia" w:hAnsiTheme="majorHAnsi" w:cstheme="majorBidi"/>
      <w:b/>
      <w:bCs/>
      <w:color w:val="2D4F8E" w:themeColor="accent1" w:themeShade="B5"/>
      <w:sz w:val="32"/>
      <w:szCs w:val="32"/>
      <w:lang w:val="en-US"/>
    </w:rPr>
  </w:style>
  <w:style w:type="character" w:customStyle="1" w:styleId="Heading2Char">
    <w:name w:val="Heading 2 Char"/>
    <w:basedOn w:val="DefaultParagraphFont"/>
    <w:link w:val="Heading2"/>
    <w:uiPriority w:val="9"/>
    <w:rsid w:val="00C12B74"/>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rsid w:val="00C12B74"/>
    <w:rPr>
      <w:rFonts w:asciiTheme="majorHAnsi" w:eastAsiaTheme="majorEastAsia" w:hAnsiTheme="majorHAnsi" w:cstheme="majorBidi"/>
      <w:b/>
      <w:bCs/>
      <w:color w:val="4472C4" w:themeColor="accent1"/>
      <w:szCs w:val="22"/>
      <w:lang w:val="en-US"/>
    </w:rPr>
  </w:style>
  <w:style w:type="character" w:customStyle="1" w:styleId="Heading4Char">
    <w:name w:val="Heading 4 Char"/>
    <w:basedOn w:val="DefaultParagraphFont"/>
    <w:link w:val="Heading4"/>
    <w:uiPriority w:val="9"/>
    <w:rsid w:val="00C12B74"/>
    <w:rPr>
      <w:rFonts w:asciiTheme="majorHAnsi" w:eastAsiaTheme="majorEastAsia" w:hAnsiTheme="majorHAnsi" w:cstheme="majorBidi"/>
      <w:b/>
      <w:bCs/>
      <w:i/>
      <w:iCs/>
      <w:color w:val="4472C4" w:themeColor="accent1"/>
      <w:szCs w:val="22"/>
      <w:lang w:val="en-US"/>
    </w:rPr>
  </w:style>
  <w:style w:type="character" w:customStyle="1" w:styleId="Heading5Char">
    <w:name w:val="Heading 5 Char"/>
    <w:basedOn w:val="DefaultParagraphFont"/>
    <w:link w:val="Heading5"/>
    <w:uiPriority w:val="9"/>
    <w:semiHidden/>
    <w:rsid w:val="00C12B74"/>
    <w:rPr>
      <w:rFonts w:asciiTheme="majorHAnsi" w:eastAsiaTheme="majorEastAsia" w:hAnsiTheme="majorHAnsi" w:cstheme="majorBidi"/>
      <w:color w:val="1F3763" w:themeColor="accent1" w:themeShade="7F"/>
      <w:szCs w:val="22"/>
      <w:lang w:val="en-US"/>
    </w:rPr>
  </w:style>
  <w:style w:type="character" w:customStyle="1" w:styleId="Heading6Char">
    <w:name w:val="Heading 6 Char"/>
    <w:basedOn w:val="DefaultParagraphFont"/>
    <w:link w:val="Heading6"/>
    <w:uiPriority w:val="9"/>
    <w:semiHidden/>
    <w:rsid w:val="00C12B74"/>
    <w:rPr>
      <w:rFonts w:asciiTheme="majorHAnsi" w:eastAsiaTheme="majorEastAsia" w:hAnsiTheme="majorHAnsi" w:cstheme="majorBidi"/>
      <w:i/>
      <w:iCs/>
      <w:color w:val="1F3763" w:themeColor="accent1" w:themeShade="7F"/>
      <w:szCs w:val="22"/>
      <w:lang w:val="en-US"/>
    </w:rPr>
  </w:style>
  <w:style w:type="character" w:customStyle="1" w:styleId="Heading7Char">
    <w:name w:val="Heading 7 Char"/>
    <w:basedOn w:val="DefaultParagraphFont"/>
    <w:link w:val="Heading7"/>
    <w:uiPriority w:val="9"/>
    <w:semiHidden/>
    <w:rsid w:val="00C12B74"/>
    <w:rPr>
      <w:rFonts w:asciiTheme="majorHAnsi" w:eastAsiaTheme="majorEastAsia" w:hAnsiTheme="majorHAnsi" w:cstheme="majorBidi"/>
      <w:i/>
      <w:iCs/>
      <w:color w:val="404040" w:themeColor="text1" w:themeTint="BF"/>
      <w:szCs w:val="22"/>
      <w:lang w:val="en-US"/>
    </w:rPr>
  </w:style>
  <w:style w:type="character" w:customStyle="1" w:styleId="Heading8Char">
    <w:name w:val="Heading 8 Char"/>
    <w:basedOn w:val="DefaultParagraphFont"/>
    <w:link w:val="Heading8"/>
    <w:uiPriority w:val="9"/>
    <w:semiHidden/>
    <w:rsid w:val="00C12B74"/>
    <w:rPr>
      <w:rFonts w:asciiTheme="majorHAnsi" w:eastAsiaTheme="majorEastAsia" w:hAnsiTheme="majorHAnsi" w:cstheme="majorBidi"/>
      <w:color w:val="4472C4" w:themeColor="accent1"/>
      <w:sz w:val="20"/>
      <w:szCs w:val="20"/>
      <w:lang w:val="en-US"/>
    </w:rPr>
  </w:style>
  <w:style w:type="character" w:customStyle="1" w:styleId="Heading9Char">
    <w:name w:val="Heading 9 Char"/>
    <w:basedOn w:val="DefaultParagraphFont"/>
    <w:link w:val="Heading9"/>
    <w:uiPriority w:val="9"/>
    <w:semiHidden/>
    <w:rsid w:val="00C12B74"/>
    <w:rPr>
      <w:rFonts w:asciiTheme="majorHAnsi" w:eastAsiaTheme="majorEastAsia" w:hAnsiTheme="majorHAnsi" w:cstheme="majorBidi"/>
      <w:i/>
      <w:iCs/>
      <w:color w:val="404040" w:themeColor="text1" w:themeTint="BF"/>
      <w:sz w:val="20"/>
      <w:szCs w:val="20"/>
      <w:lang w:val="en-US"/>
    </w:rPr>
  </w:style>
  <w:style w:type="paragraph" w:styleId="BalloonText">
    <w:name w:val="Balloon Text"/>
    <w:basedOn w:val="Normal"/>
    <w:link w:val="BalloonTextChar"/>
    <w:uiPriority w:val="99"/>
    <w:semiHidden/>
    <w:unhideWhenUsed/>
    <w:rsid w:val="00C12B74"/>
    <w:rPr>
      <w:rFonts w:ascii="Lucida Grande" w:hAnsi="Lucida Grande"/>
      <w:sz w:val="18"/>
      <w:szCs w:val="18"/>
    </w:rPr>
  </w:style>
  <w:style w:type="character" w:customStyle="1" w:styleId="BalloonTextChar">
    <w:name w:val="Balloon Text Char"/>
    <w:basedOn w:val="DefaultParagraphFont"/>
    <w:link w:val="BalloonText"/>
    <w:uiPriority w:val="99"/>
    <w:semiHidden/>
    <w:rsid w:val="00C12B74"/>
    <w:rPr>
      <w:rFonts w:ascii="Lucida Grande" w:eastAsiaTheme="minorEastAsia" w:hAnsi="Lucida Grande"/>
      <w:sz w:val="18"/>
      <w:szCs w:val="18"/>
      <w:lang w:val="en-US"/>
    </w:rPr>
  </w:style>
  <w:style w:type="paragraph" w:customStyle="1" w:styleId="Heading4PHD">
    <w:name w:val="Heading 4 PHD"/>
    <w:basedOn w:val="Heading4"/>
    <w:autoRedefine/>
    <w:qFormat/>
    <w:rsid w:val="00C12B74"/>
    <w:pPr>
      <w:numPr>
        <w:numId w:val="2"/>
      </w:numPr>
    </w:pPr>
  </w:style>
  <w:style w:type="paragraph" w:customStyle="1" w:styleId="Style1">
    <w:name w:val="Style1"/>
    <w:basedOn w:val="Heading3"/>
    <w:autoRedefine/>
    <w:qFormat/>
    <w:rsid w:val="00C12B74"/>
    <w:pPr>
      <w:spacing w:line="240" w:lineRule="auto"/>
    </w:pPr>
    <w:rPr>
      <w:i/>
      <w:color w:val="auto"/>
      <w:szCs w:val="20"/>
    </w:rPr>
  </w:style>
  <w:style w:type="paragraph" w:customStyle="1" w:styleId="Heading3aPhd">
    <w:name w:val="Heading 3a Phd"/>
    <w:basedOn w:val="Heading3"/>
    <w:next w:val="Heading3"/>
    <w:autoRedefine/>
    <w:qFormat/>
    <w:rsid w:val="00C12B74"/>
    <w:pPr>
      <w:spacing w:line="240" w:lineRule="auto"/>
    </w:pPr>
    <w:rPr>
      <w:i/>
      <w:color w:val="auto"/>
      <w:szCs w:val="20"/>
    </w:rPr>
  </w:style>
  <w:style w:type="paragraph" w:customStyle="1" w:styleId="Heading1PhD">
    <w:name w:val="Heading 1 PhD"/>
    <w:basedOn w:val="Heading1"/>
    <w:next w:val="Normal"/>
    <w:autoRedefine/>
    <w:qFormat/>
    <w:rsid w:val="00C12B74"/>
    <w:pPr>
      <w:numPr>
        <w:numId w:val="2"/>
      </w:numPr>
      <w:jc w:val="center"/>
    </w:pPr>
    <w:rPr>
      <w:color w:val="000000" w:themeColor="text1"/>
    </w:rPr>
  </w:style>
  <w:style w:type="paragraph" w:customStyle="1" w:styleId="Heading5PhD">
    <w:name w:val="Heading 5 PhD"/>
    <w:basedOn w:val="Heading5"/>
    <w:rsid w:val="00C12B74"/>
    <w:pPr>
      <w:widowControl w:val="0"/>
      <w:numPr>
        <w:ilvl w:val="4"/>
        <w:numId w:val="8"/>
      </w:numPr>
      <w:autoSpaceDE w:val="0"/>
      <w:autoSpaceDN w:val="0"/>
      <w:adjustRightInd w:val="0"/>
    </w:pPr>
  </w:style>
  <w:style w:type="paragraph" w:styleId="Footer">
    <w:name w:val="footer"/>
    <w:basedOn w:val="Normal"/>
    <w:link w:val="FooterChar"/>
    <w:uiPriority w:val="99"/>
    <w:unhideWhenUsed/>
    <w:rsid w:val="00C12B74"/>
    <w:pPr>
      <w:tabs>
        <w:tab w:val="center" w:pos="4320"/>
        <w:tab w:val="right" w:pos="8640"/>
      </w:tabs>
      <w:spacing w:line="240" w:lineRule="auto"/>
    </w:pPr>
  </w:style>
  <w:style w:type="character" w:customStyle="1" w:styleId="FooterChar">
    <w:name w:val="Footer Char"/>
    <w:basedOn w:val="DefaultParagraphFont"/>
    <w:link w:val="Footer"/>
    <w:uiPriority w:val="99"/>
    <w:rsid w:val="00C12B74"/>
    <w:rPr>
      <w:rFonts w:ascii="Times New Roman" w:eastAsiaTheme="minorEastAsia" w:hAnsi="Times New Roman"/>
      <w:szCs w:val="22"/>
      <w:lang w:val="en-US"/>
    </w:rPr>
  </w:style>
  <w:style w:type="character" w:styleId="PageNumber">
    <w:name w:val="page number"/>
    <w:basedOn w:val="DefaultParagraphFont"/>
    <w:uiPriority w:val="99"/>
    <w:unhideWhenUsed/>
    <w:rsid w:val="00C12B74"/>
  </w:style>
  <w:style w:type="paragraph" w:customStyle="1" w:styleId="Default">
    <w:name w:val="Default"/>
    <w:uiPriority w:val="99"/>
    <w:rsid w:val="00C12B74"/>
    <w:pPr>
      <w:widowControl w:val="0"/>
      <w:autoSpaceDE w:val="0"/>
      <w:autoSpaceDN w:val="0"/>
      <w:adjustRightInd w:val="0"/>
      <w:spacing w:after="200" w:line="276" w:lineRule="auto"/>
    </w:pPr>
    <w:rPr>
      <w:rFonts w:eastAsiaTheme="minorEastAsia" w:cs="Times New Roman"/>
      <w:color w:val="000000"/>
      <w:sz w:val="22"/>
      <w:szCs w:val="22"/>
      <w:lang w:val="en-US"/>
    </w:rPr>
  </w:style>
  <w:style w:type="paragraph" w:styleId="ListParagraph">
    <w:name w:val="List Paragraph"/>
    <w:basedOn w:val="Normal"/>
    <w:uiPriority w:val="34"/>
    <w:rsid w:val="00C12B74"/>
    <w:pPr>
      <w:ind w:left="720"/>
      <w:contextualSpacing/>
    </w:pPr>
  </w:style>
  <w:style w:type="character" w:styleId="CommentReference">
    <w:name w:val="annotation reference"/>
    <w:basedOn w:val="DefaultParagraphFont"/>
    <w:uiPriority w:val="99"/>
    <w:unhideWhenUsed/>
    <w:rsid w:val="00C12B74"/>
    <w:rPr>
      <w:sz w:val="16"/>
      <w:szCs w:val="16"/>
    </w:rPr>
  </w:style>
  <w:style w:type="paragraph" w:styleId="CommentText">
    <w:name w:val="annotation text"/>
    <w:basedOn w:val="Normal"/>
    <w:link w:val="CommentTextChar"/>
    <w:uiPriority w:val="99"/>
    <w:unhideWhenUsed/>
    <w:rsid w:val="00C12B74"/>
    <w:rPr>
      <w:rFonts w:eastAsia="Times New Roman"/>
      <w:color w:val="000000"/>
      <w:szCs w:val="20"/>
    </w:rPr>
  </w:style>
  <w:style w:type="character" w:customStyle="1" w:styleId="CommentTextChar">
    <w:name w:val="Comment Text Char"/>
    <w:basedOn w:val="DefaultParagraphFont"/>
    <w:link w:val="CommentText"/>
    <w:uiPriority w:val="99"/>
    <w:rsid w:val="00C12B74"/>
    <w:rPr>
      <w:rFonts w:ascii="Times New Roman" w:eastAsia="Times New Roman" w:hAnsi="Times New Roman"/>
      <w:color w:val="000000"/>
      <w:szCs w:val="20"/>
      <w:lang w:val="en-US"/>
    </w:rPr>
  </w:style>
  <w:style w:type="paragraph" w:customStyle="1" w:styleId="Heading3PhD">
    <w:name w:val="Heading 3 PhD"/>
    <w:basedOn w:val="Heading3"/>
    <w:next w:val="Normal"/>
    <w:qFormat/>
    <w:rsid w:val="00C12B74"/>
    <w:pPr>
      <w:numPr>
        <w:ilvl w:val="0"/>
        <w:numId w:val="0"/>
      </w:numPr>
      <w:spacing w:before="0" w:after="120" w:line="240" w:lineRule="auto"/>
      <w:ind w:left="1004" w:hanging="720"/>
    </w:pPr>
    <w:rPr>
      <w:color w:val="000000" w:themeColor="text1"/>
      <w:sz w:val="26"/>
      <w:szCs w:val="26"/>
    </w:rPr>
  </w:style>
  <w:style w:type="character" w:customStyle="1" w:styleId="apple-style-span">
    <w:name w:val="apple-style-span"/>
    <w:basedOn w:val="DefaultParagraphFont"/>
    <w:uiPriority w:val="99"/>
    <w:rsid w:val="00C12B74"/>
    <w:rPr>
      <w:rFonts w:ascii="Times New Roman" w:hAnsi="Times New Roman" w:hint="default"/>
      <w:strike w:val="0"/>
      <w:noProof/>
      <w:color w:val="000000"/>
      <w:spacing w:val="0"/>
      <w:sz w:val="20"/>
    </w:rPr>
  </w:style>
  <w:style w:type="paragraph" w:styleId="Header">
    <w:name w:val="header"/>
    <w:basedOn w:val="Normal"/>
    <w:link w:val="HeaderChar"/>
    <w:uiPriority w:val="99"/>
    <w:unhideWhenUsed/>
    <w:rsid w:val="00C12B74"/>
    <w:pPr>
      <w:tabs>
        <w:tab w:val="center" w:pos="4513"/>
        <w:tab w:val="right" w:pos="9026"/>
      </w:tabs>
    </w:pPr>
    <w:rPr>
      <w:rFonts w:eastAsia="Times New Roman"/>
      <w:color w:val="000000"/>
      <w:szCs w:val="20"/>
    </w:rPr>
  </w:style>
  <w:style w:type="character" w:customStyle="1" w:styleId="HeaderChar">
    <w:name w:val="Header Char"/>
    <w:basedOn w:val="DefaultParagraphFont"/>
    <w:link w:val="Header"/>
    <w:uiPriority w:val="99"/>
    <w:rsid w:val="00C12B74"/>
    <w:rPr>
      <w:rFonts w:ascii="Times New Roman" w:eastAsia="Times New Roman" w:hAnsi="Times New Roman"/>
      <w:color w:val="000000"/>
      <w:szCs w:val="20"/>
      <w:lang w:val="en-US"/>
    </w:rPr>
  </w:style>
  <w:style w:type="character" w:customStyle="1" w:styleId="CommentSubjectChar">
    <w:name w:val="Comment Subject Char"/>
    <w:basedOn w:val="CommentTextChar"/>
    <w:link w:val="CommentSubject"/>
    <w:uiPriority w:val="99"/>
    <w:semiHidden/>
    <w:rsid w:val="00C12B74"/>
    <w:rPr>
      <w:rFonts w:ascii="Times New Roman" w:eastAsia="Times New Roman" w:hAnsi="Times New Roman" w:cs="Times New Roman"/>
      <w:b/>
      <w:bCs/>
      <w:color w:val="000000"/>
      <w:szCs w:val="20"/>
      <w:lang w:val="en-GB"/>
    </w:rPr>
  </w:style>
  <w:style w:type="paragraph" w:styleId="CommentSubject">
    <w:name w:val="annotation subject"/>
    <w:basedOn w:val="CommentText"/>
    <w:next w:val="CommentText"/>
    <w:link w:val="CommentSubjectChar"/>
    <w:uiPriority w:val="99"/>
    <w:semiHidden/>
    <w:unhideWhenUsed/>
    <w:rsid w:val="00C12B74"/>
    <w:pPr>
      <w:numPr>
        <w:numId w:val="26"/>
      </w:numPr>
      <w:ind w:left="0" w:firstLine="0"/>
    </w:pPr>
    <w:rPr>
      <w:rFonts w:cs="Times New Roman"/>
      <w:b/>
      <w:bCs/>
      <w:lang w:val="en-GB"/>
    </w:rPr>
  </w:style>
  <w:style w:type="character" w:customStyle="1" w:styleId="CommentSubjectChar1">
    <w:name w:val="Comment Subject Char1"/>
    <w:basedOn w:val="CommentTextChar"/>
    <w:uiPriority w:val="99"/>
    <w:semiHidden/>
    <w:rsid w:val="00C12B74"/>
    <w:rPr>
      <w:rFonts w:ascii="Times New Roman" w:eastAsia="Times New Roman" w:hAnsi="Times New Roman"/>
      <w:b/>
      <w:bCs/>
      <w:color w:val="000000"/>
      <w:szCs w:val="20"/>
      <w:lang w:val="en-US"/>
    </w:rPr>
  </w:style>
  <w:style w:type="paragraph" w:styleId="NormalWeb">
    <w:name w:val="Normal (Web)"/>
    <w:basedOn w:val="Normal"/>
    <w:uiPriority w:val="99"/>
    <w:unhideWhenUsed/>
    <w:rsid w:val="00C12B74"/>
    <w:pPr>
      <w:spacing w:before="100" w:beforeAutospacing="1" w:after="100" w:afterAutospacing="1"/>
    </w:pPr>
    <w:rPr>
      <w:lang w:eastAsia="en-GB"/>
    </w:rPr>
  </w:style>
  <w:style w:type="character" w:styleId="Hyperlink">
    <w:name w:val="Hyperlink"/>
    <w:basedOn w:val="DefaultParagraphFont"/>
    <w:uiPriority w:val="99"/>
    <w:unhideWhenUsed/>
    <w:rsid w:val="00C12B74"/>
    <w:rPr>
      <w:color w:val="0563C1" w:themeColor="hyperlink"/>
      <w:u w:val="single"/>
    </w:rPr>
  </w:style>
  <w:style w:type="paragraph" w:customStyle="1" w:styleId="Heading2PHD">
    <w:name w:val="Heading 2 PHD"/>
    <w:basedOn w:val="Heading2"/>
    <w:autoRedefine/>
    <w:qFormat/>
    <w:rsid w:val="00C12B74"/>
    <w:pPr>
      <w:spacing w:before="0" w:after="240" w:line="240" w:lineRule="auto"/>
      <w:ind w:left="576" w:hanging="576"/>
    </w:pPr>
    <w:rPr>
      <w:color w:val="auto"/>
      <w:sz w:val="28"/>
      <w:szCs w:val="28"/>
    </w:rPr>
  </w:style>
  <w:style w:type="paragraph" w:styleId="Title">
    <w:name w:val="Title"/>
    <w:basedOn w:val="Normal"/>
    <w:next w:val="Normal"/>
    <w:link w:val="TitleChar"/>
    <w:uiPriority w:val="10"/>
    <w:qFormat/>
    <w:rsid w:val="00C12B7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12B74"/>
    <w:rPr>
      <w:rFonts w:asciiTheme="majorHAnsi" w:eastAsiaTheme="majorEastAsia" w:hAnsiTheme="majorHAnsi" w:cstheme="majorBidi"/>
      <w:color w:val="323E4F" w:themeColor="text2" w:themeShade="BF"/>
      <w:spacing w:val="5"/>
      <w:kern w:val="28"/>
      <w:sz w:val="52"/>
      <w:szCs w:val="52"/>
      <w:lang w:val="en-US"/>
    </w:rPr>
  </w:style>
  <w:style w:type="paragraph" w:styleId="Caption">
    <w:name w:val="caption"/>
    <w:basedOn w:val="Normal"/>
    <w:next w:val="Normal"/>
    <w:uiPriority w:val="35"/>
    <w:unhideWhenUsed/>
    <w:qFormat/>
    <w:rsid w:val="00C12B74"/>
    <w:pPr>
      <w:spacing w:line="240" w:lineRule="auto"/>
    </w:pPr>
    <w:rPr>
      <w:b/>
      <w:bCs/>
      <w:color w:val="000000" w:themeColor="text1"/>
      <w:szCs w:val="24"/>
    </w:rPr>
  </w:style>
  <w:style w:type="paragraph" w:customStyle="1" w:styleId="EndNoteCategoryHeading">
    <w:name w:val="EndNote Category Heading"/>
    <w:basedOn w:val="Normal"/>
    <w:rsid w:val="00C12B74"/>
    <w:pPr>
      <w:spacing w:before="120" w:after="120"/>
    </w:pPr>
    <w:rPr>
      <w:rFonts w:eastAsia="Times New Roman"/>
      <w:color w:val="000000"/>
      <w:szCs w:val="20"/>
    </w:rPr>
  </w:style>
  <w:style w:type="paragraph" w:customStyle="1" w:styleId="EndNoteCategoryTitle">
    <w:name w:val="EndNote Category Title"/>
    <w:basedOn w:val="Normal"/>
    <w:rsid w:val="00C12B74"/>
    <w:pPr>
      <w:spacing w:before="120" w:after="120"/>
      <w:jc w:val="center"/>
    </w:pPr>
    <w:rPr>
      <w:rFonts w:eastAsia="Times New Roman"/>
      <w:color w:val="000000"/>
      <w:szCs w:val="20"/>
    </w:rPr>
  </w:style>
  <w:style w:type="paragraph" w:styleId="TOC2">
    <w:name w:val="toc 2"/>
    <w:basedOn w:val="Normal"/>
    <w:next w:val="Normal"/>
    <w:autoRedefine/>
    <w:uiPriority w:val="39"/>
    <w:unhideWhenUsed/>
    <w:rsid w:val="00C12B74"/>
    <w:pPr>
      <w:spacing w:line="360" w:lineRule="auto"/>
      <w:ind w:left="238"/>
    </w:pPr>
    <w:rPr>
      <w:rFonts w:asciiTheme="minorHAnsi" w:hAnsiTheme="minorHAnsi"/>
      <w:smallCaps/>
      <w:sz w:val="22"/>
    </w:rPr>
  </w:style>
  <w:style w:type="paragraph" w:styleId="TOC1">
    <w:name w:val="toc 1"/>
    <w:basedOn w:val="Normal"/>
    <w:next w:val="Normal"/>
    <w:autoRedefine/>
    <w:uiPriority w:val="39"/>
    <w:unhideWhenUsed/>
    <w:rsid w:val="00C12B74"/>
    <w:pPr>
      <w:tabs>
        <w:tab w:val="right" w:leader="dot" w:pos="8692"/>
      </w:tabs>
      <w:spacing w:before="120" w:line="240" w:lineRule="auto"/>
    </w:pPr>
    <w:rPr>
      <w:rFonts w:asciiTheme="minorHAnsi" w:hAnsiTheme="minorHAnsi"/>
      <w:b/>
      <w:caps/>
      <w:sz w:val="22"/>
    </w:rPr>
  </w:style>
  <w:style w:type="paragraph" w:styleId="TOC3">
    <w:name w:val="toc 3"/>
    <w:basedOn w:val="Normal"/>
    <w:next w:val="Normal"/>
    <w:autoRedefine/>
    <w:uiPriority w:val="39"/>
    <w:unhideWhenUsed/>
    <w:rsid w:val="00C12B74"/>
    <w:pPr>
      <w:spacing w:line="360" w:lineRule="auto"/>
      <w:ind w:left="482"/>
    </w:pPr>
    <w:rPr>
      <w:rFonts w:asciiTheme="minorHAnsi" w:hAnsiTheme="minorHAnsi"/>
      <w:i/>
      <w:iCs/>
      <w:sz w:val="20"/>
    </w:rPr>
  </w:style>
  <w:style w:type="paragraph" w:styleId="TOC4">
    <w:name w:val="toc 4"/>
    <w:basedOn w:val="Normal"/>
    <w:next w:val="Normal"/>
    <w:autoRedefine/>
    <w:uiPriority w:val="39"/>
    <w:unhideWhenUsed/>
    <w:rsid w:val="00C12B74"/>
    <w:pPr>
      <w:spacing w:line="360" w:lineRule="auto"/>
      <w:ind w:left="720"/>
    </w:pPr>
    <w:rPr>
      <w:rFonts w:asciiTheme="minorHAnsi" w:hAnsiTheme="minorHAnsi"/>
      <w:sz w:val="18"/>
      <w:szCs w:val="18"/>
    </w:rPr>
  </w:style>
  <w:style w:type="paragraph" w:styleId="TOC5">
    <w:name w:val="toc 5"/>
    <w:basedOn w:val="Normal"/>
    <w:next w:val="Normal"/>
    <w:autoRedefine/>
    <w:uiPriority w:val="39"/>
    <w:unhideWhenUsed/>
    <w:rsid w:val="00C12B74"/>
    <w:pPr>
      <w:ind w:left="960"/>
    </w:pPr>
    <w:rPr>
      <w:rFonts w:asciiTheme="minorHAnsi" w:hAnsiTheme="minorHAnsi"/>
      <w:sz w:val="18"/>
      <w:szCs w:val="18"/>
    </w:rPr>
  </w:style>
  <w:style w:type="paragraph" w:styleId="TOC6">
    <w:name w:val="toc 6"/>
    <w:basedOn w:val="Normal"/>
    <w:next w:val="Normal"/>
    <w:autoRedefine/>
    <w:uiPriority w:val="39"/>
    <w:unhideWhenUsed/>
    <w:rsid w:val="00C12B74"/>
    <w:pPr>
      <w:ind w:left="1200"/>
    </w:pPr>
    <w:rPr>
      <w:rFonts w:asciiTheme="minorHAnsi" w:hAnsiTheme="minorHAnsi"/>
      <w:sz w:val="18"/>
      <w:szCs w:val="18"/>
    </w:rPr>
  </w:style>
  <w:style w:type="paragraph" w:styleId="TOC7">
    <w:name w:val="toc 7"/>
    <w:basedOn w:val="Normal"/>
    <w:next w:val="Normal"/>
    <w:autoRedefine/>
    <w:uiPriority w:val="39"/>
    <w:unhideWhenUsed/>
    <w:rsid w:val="00C12B74"/>
    <w:pPr>
      <w:ind w:left="1440"/>
    </w:pPr>
    <w:rPr>
      <w:rFonts w:asciiTheme="minorHAnsi" w:hAnsiTheme="minorHAnsi"/>
      <w:sz w:val="18"/>
      <w:szCs w:val="18"/>
    </w:rPr>
  </w:style>
  <w:style w:type="paragraph" w:styleId="TOC8">
    <w:name w:val="toc 8"/>
    <w:basedOn w:val="Normal"/>
    <w:next w:val="Normal"/>
    <w:autoRedefine/>
    <w:uiPriority w:val="39"/>
    <w:unhideWhenUsed/>
    <w:rsid w:val="00C12B74"/>
    <w:pPr>
      <w:ind w:left="1680"/>
    </w:pPr>
    <w:rPr>
      <w:rFonts w:asciiTheme="minorHAnsi" w:hAnsiTheme="minorHAnsi"/>
      <w:sz w:val="18"/>
      <w:szCs w:val="18"/>
    </w:rPr>
  </w:style>
  <w:style w:type="paragraph" w:styleId="TOC9">
    <w:name w:val="toc 9"/>
    <w:basedOn w:val="Normal"/>
    <w:next w:val="Normal"/>
    <w:autoRedefine/>
    <w:uiPriority w:val="39"/>
    <w:unhideWhenUsed/>
    <w:rsid w:val="00C12B74"/>
    <w:pPr>
      <w:ind w:left="1920"/>
    </w:pPr>
    <w:rPr>
      <w:rFonts w:asciiTheme="minorHAnsi" w:hAnsiTheme="minorHAnsi"/>
      <w:sz w:val="18"/>
      <w:szCs w:val="18"/>
    </w:rPr>
  </w:style>
  <w:style w:type="paragraph" w:styleId="Quote">
    <w:name w:val="Quote"/>
    <w:basedOn w:val="Normal"/>
    <w:next w:val="Normal"/>
    <w:link w:val="QuoteChar"/>
    <w:uiPriority w:val="29"/>
    <w:qFormat/>
    <w:rsid w:val="00C12B74"/>
    <w:rPr>
      <w:i/>
      <w:iCs/>
      <w:color w:val="000000" w:themeColor="text1"/>
    </w:rPr>
  </w:style>
  <w:style w:type="character" w:customStyle="1" w:styleId="QuoteChar">
    <w:name w:val="Quote Char"/>
    <w:basedOn w:val="DefaultParagraphFont"/>
    <w:link w:val="Quote"/>
    <w:uiPriority w:val="29"/>
    <w:rsid w:val="00C12B74"/>
    <w:rPr>
      <w:rFonts w:ascii="Times New Roman" w:eastAsiaTheme="minorEastAsia" w:hAnsi="Times New Roman"/>
      <w:i/>
      <w:iCs/>
      <w:color w:val="000000" w:themeColor="text1"/>
      <w:szCs w:val="22"/>
      <w:lang w:val="en-US"/>
    </w:rPr>
  </w:style>
  <w:style w:type="character" w:customStyle="1" w:styleId="DocumentMapChar">
    <w:name w:val="Document Map Char"/>
    <w:basedOn w:val="DefaultParagraphFont"/>
    <w:link w:val="DocumentMap"/>
    <w:uiPriority w:val="99"/>
    <w:semiHidden/>
    <w:rsid w:val="00C12B74"/>
    <w:rPr>
      <w:rFonts w:ascii="Lucida Grande" w:eastAsia="Times New Roman" w:hAnsi="Lucida Grande" w:cs="Lucida Grande"/>
      <w:color w:val="000000"/>
      <w:lang w:val="en-GB"/>
    </w:rPr>
  </w:style>
  <w:style w:type="paragraph" w:styleId="DocumentMap">
    <w:name w:val="Document Map"/>
    <w:basedOn w:val="Normal"/>
    <w:link w:val="DocumentMapChar"/>
    <w:uiPriority w:val="99"/>
    <w:semiHidden/>
    <w:unhideWhenUsed/>
    <w:rsid w:val="00C12B74"/>
    <w:pPr>
      <w:spacing w:line="240" w:lineRule="auto"/>
    </w:pPr>
    <w:rPr>
      <w:rFonts w:ascii="Lucida Grande" w:eastAsia="Times New Roman" w:hAnsi="Lucida Grande" w:cs="Lucida Grande"/>
      <w:color w:val="000000"/>
      <w:szCs w:val="24"/>
      <w:lang w:val="en-GB"/>
    </w:rPr>
  </w:style>
  <w:style w:type="character" w:customStyle="1" w:styleId="DocumentMapChar1">
    <w:name w:val="Document Map Char1"/>
    <w:basedOn w:val="DefaultParagraphFont"/>
    <w:uiPriority w:val="99"/>
    <w:semiHidden/>
    <w:rsid w:val="00C12B74"/>
    <w:rPr>
      <w:rFonts w:ascii="Helvetica" w:eastAsiaTheme="minorEastAsia" w:hAnsi="Helvetica"/>
      <w:sz w:val="26"/>
      <w:szCs w:val="26"/>
      <w:lang w:val="en-US"/>
    </w:rPr>
  </w:style>
  <w:style w:type="paragraph" w:styleId="Revision">
    <w:name w:val="Revision"/>
    <w:hidden/>
    <w:uiPriority w:val="99"/>
    <w:semiHidden/>
    <w:rsid w:val="00C12B74"/>
    <w:pPr>
      <w:spacing w:after="200" w:line="276" w:lineRule="auto"/>
    </w:pPr>
    <w:rPr>
      <w:rFonts w:eastAsiaTheme="minorEastAsia" w:cs="Times New Roman"/>
      <w:sz w:val="22"/>
      <w:szCs w:val="22"/>
      <w:lang w:val="en-GB"/>
    </w:rPr>
  </w:style>
  <w:style w:type="character" w:styleId="BookTitle">
    <w:name w:val="Book Title"/>
    <w:basedOn w:val="DefaultParagraphFont"/>
    <w:uiPriority w:val="33"/>
    <w:qFormat/>
    <w:rsid w:val="00C12B74"/>
    <w:rPr>
      <w:b/>
      <w:bCs/>
      <w:smallCaps/>
      <w:spacing w:val="5"/>
    </w:rPr>
  </w:style>
  <w:style w:type="paragraph" w:customStyle="1" w:styleId="Style2">
    <w:name w:val="Style2"/>
    <w:basedOn w:val="Heading1PhD"/>
    <w:qFormat/>
    <w:rsid w:val="00C12B74"/>
    <w:pPr>
      <w:numPr>
        <w:numId w:val="0"/>
      </w:numPr>
      <w:pBdr>
        <w:bottom w:val="single" w:sz="12" w:space="1" w:color="auto"/>
      </w:pBdr>
      <w:spacing w:line="360" w:lineRule="auto"/>
      <w:jc w:val="left"/>
    </w:pPr>
    <w:rPr>
      <w:szCs w:val="28"/>
    </w:rPr>
  </w:style>
  <w:style w:type="table" w:styleId="TableGrid">
    <w:name w:val="Table Grid"/>
    <w:basedOn w:val="TableNormal"/>
    <w:uiPriority w:val="59"/>
    <w:rsid w:val="00C12B74"/>
    <w:pPr>
      <w:spacing w:after="200" w:line="276" w:lineRule="auto"/>
    </w:pPr>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seudotab">
    <w:name w:val="pseudotab"/>
    <w:rsid w:val="00C12B74"/>
  </w:style>
  <w:style w:type="paragraph" w:customStyle="1" w:styleId="Heading4PhD0">
    <w:name w:val="Heading 4 PhD"/>
    <w:basedOn w:val="Heading4"/>
    <w:qFormat/>
    <w:rsid w:val="00C12B74"/>
    <w:pPr>
      <w:numPr>
        <w:ilvl w:val="0"/>
        <w:numId w:val="0"/>
      </w:numPr>
      <w:spacing w:before="0"/>
      <w:ind w:left="1148" w:hanging="864"/>
    </w:pPr>
    <w:rPr>
      <w:bCs w:val="0"/>
      <w:iCs w:val="0"/>
      <w:color w:val="000000" w:themeColor="text1"/>
    </w:rPr>
  </w:style>
  <w:style w:type="character" w:styleId="FollowedHyperlink">
    <w:name w:val="FollowedHyperlink"/>
    <w:basedOn w:val="DefaultParagraphFont"/>
    <w:uiPriority w:val="99"/>
    <w:semiHidden/>
    <w:unhideWhenUsed/>
    <w:rsid w:val="00C12B74"/>
    <w:rPr>
      <w:color w:val="954F72" w:themeColor="followedHyperlink"/>
      <w:u w:val="single"/>
    </w:rPr>
  </w:style>
  <w:style w:type="character" w:customStyle="1" w:styleId="apple-converted-space">
    <w:name w:val="apple-converted-space"/>
    <w:basedOn w:val="DefaultParagraphFont"/>
    <w:rsid w:val="00C12B74"/>
  </w:style>
  <w:style w:type="table" w:styleId="LightShading">
    <w:name w:val="Light Shading"/>
    <w:basedOn w:val="TableNormal"/>
    <w:uiPriority w:val="60"/>
    <w:rsid w:val="00C12B74"/>
    <w:pPr>
      <w:spacing w:after="200" w:line="276" w:lineRule="auto"/>
    </w:pPr>
    <w:rPr>
      <w:rFonts w:eastAsiaTheme="minorEastAsia" w:cs="Times New Roman"/>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styleId="111111">
    <w:name w:val="Outline List 2"/>
    <w:basedOn w:val="NoList"/>
    <w:uiPriority w:val="99"/>
    <w:semiHidden/>
    <w:unhideWhenUsed/>
    <w:rsid w:val="00C12B74"/>
    <w:pPr>
      <w:numPr>
        <w:numId w:val="6"/>
      </w:numPr>
    </w:pPr>
  </w:style>
  <w:style w:type="table" w:styleId="LightList">
    <w:name w:val="Light List"/>
    <w:basedOn w:val="TableNormal"/>
    <w:uiPriority w:val="61"/>
    <w:rsid w:val="00C12B74"/>
    <w:pPr>
      <w:spacing w:after="200" w:line="276" w:lineRule="auto"/>
    </w:pPr>
    <w:rPr>
      <w:sz w:val="22"/>
      <w:szCs w:val="22"/>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C12B74"/>
    <w:pPr>
      <w:outlineLvl w:val="9"/>
    </w:pPr>
    <w:rPr>
      <w:color w:val="000000" w:themeColor="text1"/>
      <w:sz w:val="28"/>
      <w:szCs w:val="28"/>
    </w:rPr>
  </w:style>
  <w:style w:type="paragraph" w:customStyle="1" w:styleId="Heading3PHD0">
    <w:name w:val="Heading 3 PHD"/>
    <w:basedOn w:val="Heading3"/>
    <w:rsid w:val="00C12B74"/>
    <w:pPr>
      <w:numPr>
        <w:ilvl w:val="0"/>
        <w:numId w:val="0"/>
      </w:numPr>
    </w:pPr>
    <w:rPr>
      <w:color w:val="auto"/>
    </w:rPr>
  </w:style>
  <w:style w:type="paragraph" w:customStyle="1" w:styleId="Heading5PhD0">
    <w:name w:val="Heading5 PhD"/>
    <w:basedOn w:val="Heading5"/>
    <w:next w:val="Normal"/>
    <w:rsid w:val="00C12B74"/>
    <w:pPr>
      <w:ind w:left="1292" w:hanging="1008"/>
    </w:pPr>
    <w:rPr>
      <w:b/>
      <w:i/>
    </w:rPr>
  </w:style>
  <w:style w:type="character" w:styleId="PlaceholderText">
    <w:name w:val="Placeholder Text"/>
    <w:basedOn w:val="DefaultParagraphFont"/>
    <w:uiPriority w:val="99"/>
    <w:semiHidden/>
    <w:rsid w:val="00C12B74"/>
    <w:rPr>
      <w:color w:val="808080"/>
    </w:rPr>
  </w:style>
  <w:style w:type="paragraph" w:styleId="TableofFigures">
    <w:name w:val="table of figures"/>
    <w:basedOn w:val="Normal"/>
    <w:next w:val="Normal"/>
    <w:uiPriority w:val="99"/>
    <w:unhideWhenUsed/>
    <w:rsid w:val="00C12B74"/>
    <w:pPr>
      <w:spacing w:line="360" w:lineRule="auto"/>
      <w:ind w:left="480" w:hanging="480"/>
    </w:pPr>
    <w:rPr>
      <w:rFonts w:asciiTheme="minorHAnsi" w:hAnsiTheme="minorHAnsi"/>
      <w:smallCaps/>
      <w:sz w:val="20"/>
      <w:szCs w:val="20"/>
    </w:rPr>
  </w:style>
  <w:style w:type="character" w:customStyle="1" w:styleId="texhtml">
    <w:name w:val="texhtml"/>
    <w:uiPriority w:val="99"/>
    <w:rsid w:val="00C12B74"/>
  </w:style>
  <w:style w:type="paragraph" w:styleId="PlainText">
    <w:name w:val="Plain Text"/>
    <w:basedOn w:val="Normal"/>
    <w:link w:val="PlainTextChar"/>
    <w:uiPriority w:val="99"/>
    <w:rsid w:val="00C12B74"/>
    <w:pPr>
      <w:spacing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C12B74"/>
    <w:rPr>
      <w:rFonts w:ascii="Consolas" w:eastAsia="Calibri" w:hAnsi="Consolas"/>
      <w:sz w:val="21"/>
      <w:szCs w:val="21"/>
      <w:lang w:val="en-US"/>
    </w:rPr>
  </w:style>
  <w:style w:type="character" w:customStyle="1" w:styleId="notranslate">
    <w:name w:val="notranslate"/>
    <w:basedOn w:val="DefaultParagraphFont"/>
    <w:uiPriority w:val="99"/>
    <w:rsid w:val="00C12B74"/>
    <w:rPr>
      <w:rFonts w:cs="Times New Roman"/>
    </w:rPr>
  </w:style>
  <w:style w:type="character" w:customStyle="1" w:styleId="style321">
    <w:name w:val="style321"/>
    <w:uiPriority w:val="99"/>
    <w:rsid w:val="00C12B74"/>
    <w:rPr>
      <w:rFonts w:ascii="Arial" w:hAnsi="Arial"/>
      <w:color w:val="FFFFFF"/>
      <w:sz w:val="24"/>
    </w:rPr>
  </w:style>
  <w:style w:type="character" w:styleId="Emphasis">
    <w:name w:val="Emphasis"/>
    <w:basedOn w:val="DefaultParagraphFont"/>
    <w:uiPriority w:val="20"/>
    <w:qFormat/>
    <w:rsid w:val="00C12B74"/>
    <w:rPr>
      <w:i/>
      <w:iCs/>
    </w:rPr>
  </w:style>
  <w:style w:type="character" w:styleId="Strong">
    <w:name w:val="Strong"/>
    <w:basedOn w:val="DefaultParagraphFont"/>
    <w:uiPriority w:val="22"/>
    <w:qFormat/>
    <w:rsid w:val="00C12B74"/>
    <w:rPr>
      <w:b/>
      <w:bCs/>
    </w:rPr>
  </w:style>
  <w:style w:type="paragraph" w:customStyle="1" w:styleId="epblock">
    <w:name w:val="ep_block"/>
    <w:basedOn w:val="Normal"/>
    <w:uiPriority w:val="99"/>
    <w:rsid w:val="00C12B74"/>
    <w:pPr>
      <w:spacing w:before="60" w:after="60" w:line="240" w:lineRule="auto"/>
      <w:jc w:val="center"/>
    </w:pPr>
    <w:rPr>
      <w:rFonts w:eastAsia="Times New Roman"/>
      <w:color w:val="000000"/>
    </w:rPr>
  </w:style>
  <w:style w:type="character" w:customStyle="1" w:styleId="personname">
    <w:name w:val="person_name"/>
    <w:basedOn w:val="DefaultParagraphFont"/>
    <w:uiPriority w:val="99"/>
    <w:rsid w:val="00C12B74"/>
    <w:rPr>
      <w:rFonts w:cs="Times New Roman"/>
    </w:rPr>
  </w:style>
  <w:style w:type="character" w:customStyle="1" w:styleId="bibliopop">
    <w:name w:val="biblio_pop"/>
    <w:basedOn w:val="DefaultParagraphFont"/>
    <w:uiPriority w:val="99"/>
    <w:rsid w:val="00C12B74"/>
    <w:rPr>
      <w:rFonts w:cs="Times New Roman"/>
    </w:rPr>
  </w:style>
  <w:style w:type="paragraph" w:customStyle="1" w:styleId="xfullindent1">
    <w:name w:val="xfullindent1"/>
    <w:basedOn w:val="Normal"/>
    <w:uiPriority w:val="99"/>
    <w:rsid w:val="00C12B74"/>
    <w:pPr>
      <w:spacing w:after="432" w:line="240" w:lineRule="auto"/>
    </w:pPr>
    <w:rPr>
      <w:rFonts w:eastAsia="Times New Roman"/>
    </w:rPr>
  </w:style>
  <w:style w:type="character" w:customStyle="1" w:styleId="FootnoteTextChar">
    <w:name w:val="Footnote Text Char"/>
    <w:basedOn w:val="DefaultParagraphFont"/>
    <w:link w:val="FootnoteText"/>
    <w:uiPriority w:val="99"/>
    <w:semiHidden/>
    <w:rsid w:val="00C12B74"/>
    <w:rPr>
      <w:rFonts w:ascii="Calibri" w:eastAsia="Times New Roman" w:hAnsi="Calibri" w:cs="Times New Roman"/>
      <w:sz w:val="20"/>
      <w:szCs w:val="20"/>
      <w:lang w:val="en-GB" w:eastAsia="en-GB"/>
    </w:rPr>
  </w:style>
  <w:style w:type="paragraph" w:styleId="FootnoteText">
    <w:name w:val="footnote text"/>
    <w:basedOn w:val="Normal"/>
    <w:link w:val="FootnoteTextChar"/>
    <w:uiPriority w:val="99"/>
    <w:semiHidden/>
    <w:rsid w:val="00C12B74"/>
    <w:pPr>
      <w:spacing w:line="240" w:lineRule="auto"/>
      <w:ind w:firstLine="720"/>
    </w:pPr>
    <w:rPr>
      <w:rFonts w:ascii="Calibri" w:eastAsia="Times New Roman" w:hAnsi="Calibri" w:cs="Times New Roman"/>
      <w:sz w:val="20"/>
      <w:szCs w:val="20"/>
      <w:lang w:val="en-GB" w:eastAsia="en-GB"/>
    </w:rPr>
  </w:style>
  <w:style w:type="character" w:customStyle="1" w:styleId="FootnoteTextChar1">
    <w:name w:val="Footnote Text Char1"/>
    <w:basedOn w:val="DefaultParagraphFont"/>
    <w:uiPriority w:val="99"/>
    <w:semiHidden/>
    <w:rsid w:val="00C12B74"/>
    <w:rPr>
      <w:rFonts w:ascii="Times New Roman" w:eastAsiaTheme="minorEastAsia" w:hAnsi="Times New Roman"/>
      <w:sz w:val="20"/>
      <w:szCs w:val="20"/>
      <w:lang w:val="en-US"/>
    </w:rPr>
  </w:style>
  <w:style w:type="character" w:customStyle="1" w:styleId="citation">
    <w:name w:val="citation"/>
    <w:basedOn w:val="DefaultParagraphFont"/>
    <w:uiPriority w:val="99"/>
    <w:rsid w:val="00C12B74"/>
    <w:rPr>
      <w:rFonts w:cs="Times New Roman"/>
    </w:rPr>
  </w:style>
  <w:style w:type="character" w:customStyle="1" w:styleId="ref-journal1">
    <w:name w:val="ref-journal1"/>
    <w:basedOn w:val="DefaultParagraphFont"/>
    <w:uiPriority w:val="99"/>
    <w:rsid w:val="00C12B74"/>
    <w:rPr>
      <w:rFonts w:cs="Times New Roman"/>
      <w:i/>
      <w:iCs/>
    </w:rPr>
  </w:style>
  <w:style w:type="character" w:customStyle="1" w:styleId="ref-vol">
    <w:name w:val="ref-vol"/>
    <w:basedOn w:val="DefaultParagraphFont"/>
    <w:uiPriority w:val="99"/>
    <w:rsid w:val="00C12B74"/>
    <w:rPr>
      <w:rFonts w:cs="Times New Roman"/>
    </w:rPr>
  </w:style>
  <w:style w:type="character" w:customStyle="1" w:styleId="mw-cite-backlink">
    <w:name w:val="mw-cite-backlink"/>
    <w:basedOn w:val="DefaultParagraphFont"/>
    <w:uiPriority w:val="99"/>
    <w:rsid w:val="00C12B74"/>
    <w:rPr>
      <w:rFonts w:cs="Times New Roman"/>
    </w:rPr>
  </w:style>
  <w:style w:type="paragraph" w:styleId="HTMLPreformatted">
    <w:name w:val="HTML Preformatted"/>
    <w:basedOn w:val="Normal"/>
    <w:link w:val="HTMLPreformattedChar"/>
    <w:uiPriority w:val="99"/>
    <w:rsid w:val="00C1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C12B74"/>
    <w:rPr>
      <w:rFonts w:ascii="Courier New" w:eastAsia="Times New Roman" w:hAnsi="Courier New" w:cs="Courier New"/>
      <w:sz w:val="20"/>
      <w:szCs w:val="20"/>
      <w:lang w:val="en-US" w:eastAsia="en-GB"/>
    </w:rPr>
  </w:style>
  <w:style w:type="character" w:customStyle="1" w:styleId="date-display-single">
    <w:name w:val="date-display-single"/>
    <w:basedOn w:val="DefaultParagraphFont"/>
    <w:uiPriority w:val="99"/>
    <w:rsid w:val="00C12B74"/>
    <w:rPr>
      <w:rFonts w:cs="Times New Roman"/>
    </w:rPr>
  </w:style>
  <w:style w:type="character" w:customStyle="1" w:styleId="publicationdownload">
    <w:name w:val="publication_download"/>
    <w:basedOn w:val="DefaultParagraphFont"/>
    <w:uiPriority w:val="99"/>
    <w:rsid w:val="00C12B74"/>
    <w:rPr>
      <w:rFonts w:cs="Times New Roman"/>
    </w:rPr>
  </w:style>
  <w:style w:type="paragraph" w:styleId="Subtitle">
    <w:name w:val="Subtitle"/>
    <w:basedOn w:val="Normal"/>
    <w:next w:val="Normal"/>
    <w:link w:val="SubtitleChar"/>
    <w:uiPriority w:val="11"/>
    <w:qFormat/>
    <w:rsid w:val="00C12B74"/>
    <w:pPr>
      <w:numPr>
        <w:ilvl w:val="1"/>
      </w:numPr>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C12B74"/>
    <w:rPr>
      <w:rFonts w:asciiTheme="majorHAnsi" w:eastAsiaTheme="majorEastAsia" w:hAnsiTheme="majorHAnsi" w:cstheme="majorBidi"/>
      <w:i/>
      <w:iCs/>
      <w:color w:val="4472C4" w:themeColor="accent1"/>
      <w:spacing w:val="15"/>
      <w:lang w:val="en-US"/>
    </w:rPr>
  </w:style>
  <w:style w:type="paragraph" w:styleId="IntenseQuote">
    <w:name w:val="Intense Quote"/>
    <w:basedOn w:val="Normal"/>
    <w:next w:val="Normal"/>
    <w:link w:val="IntenseQuoteChar"/>
    <w:uiPriority w:val="30"/>
    <w:qFormat/>
    <w:rsid w:val="00C12B74"/>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C12B74"/>
    <w:rPr>
      <w:rFonts w:ascii="Times New Roman" w:eastAsiaTheme="minorEastAsia" w:hAnsi="Times New Roman"/>
      <w:b/>
      <w:bCs/>
      <w:i/>
      <w:iCs/>
      <w:color w:val="4472C4" w:themeColor="accent1"/>
      <w:szCs w:val="22"/>
      <w:lang w:val="en-US"/>
    </w:rPr>
  </w:style>
  <w:style w:type="character" w:styleId="SubtleEmphasis">
    <w:name w:val="Subtle Emphasis"/>
    <w:basedOn w:val="DefaultParagraphFont"/>
    <w:uiPriority w:val="19"/>
    <w:qFormat/>
    <w:rsid w:val="00C12B74"/>
    <w:rPr>
      <w:i/>
      <w:iCs/>
      <w:color w:val="808080" w:themeColor="text1" w:themeTint="7F"/>
    </w:rPr>
  </w:style>
  <w:style w:type="character" w:styleId="IntenseEmphasis">
    <w:name w:val="Intense Emphasis"/>
    <w:basedOn w:val="DefaultParagraphFont"/>
    <w:uiPriority w:val="21"/>
    <w:qFormat/>
    <w:rsid w:val="00C12B74"/>
    <w:rPr>
      <w:b/>
      <w:bCs/>
      <w:i/>
      <w:iCs/>
      <w:color w:val="4472C4" w:themeColor="accent1"/>
    </w:rPr>
  </w:style>
  <w:style w:type="character" w:styleId="SubtleReference">
    <w:name w:val="Subtle Reference"/>
    <w:basedOn w:val="DefaultParagraphFont"/>
    <w:uiPriority w:val="31"/>
    <w:qFormat/>
    <w:rsid w:val="00C12B74"/>
    <w:rPr>
      <w:smallCaps/>
      <w:color w:val="ED7D31" w:themeColor="accent2"/>
      <w:u w:val="single"/>
    </w:rPr>
  </w:style>
  <w:style w:type="character" w:styleId="IntenseReference">
    <w:name w:val="Intense Reference"/>
    <w:basedOn w:val="DefaultParagraphFont"/>
    <w:uiPriority w:val="32"/>
    <w:qFormat/>
    <w:rsid w:val="00C12B74"/>
    <w:rPr>
      <w:b/>
      <w:bCs/>
      <w:smallCaps/>
      <w:color w:val="ED7D31" w:themeColor="accent2"/>
      <w:spacing w:val="5"/>
      <w:u w:val="single"/>
    </w:rPr>
  </w:style>
  <w:style w:type="paragraph" w:customStyle="1" w:styleId="EndNoteBibliographyTitle">
    <w:name w:val="EndNote Bibliography Title"/>
    <w:basedOn w:val="Normal"/>
    <w:rsid w:val="00C12B74"/>
    <w:pPr>
      <w:jc w:val="center"/>
    </w:pPr>
    <w:rPr>
      <w:rFonts w:cs="Times New Roman"/>
    </w:rPr>
  </w:style>
  <w:style w:type="paragraph" w:customStyle="1" w:styleId="EndNoteBibliography">
    <w:name w:val="EndNote Bibliography"/>
    <w:basedOn w:val="Normal"/>
    <w:rsid w:val="00C12B74"/>
    <w:rPr>
      <w:rFonts w:cs="Times New Roman"/>
    </w:rPr>
  </w:style>
  <w:style w:type="paragraph" w:styleId="Index1">
    <w:name w:val="index 1"/>
    <w:basedOn w:val="Normal"/>
    <w:next w:val="Normal"/>
    <w:autoRedefine/>
    <w:uiPriority w:val="99"/>
    <w:unhideWhenUsed/>
    <w:rsid w:val="00C12B74"/>
    <w:pPr>
      <w:ind w:left="240" w:hanging="240"/>
    </w:pPr>
    <w:rPr>
      <w:rFonts w:asciiTheme="minorHAnsi" w:hAnsiTheme="minorHAnsi"/>
      <w:sz w:val="20"/>
      <w:szCs w:val="20"/>
    </w:rPr>
  </w:style>
  <w:style w:type="paragraph" w:styleId="Index2">
    <w:name w:val="index 2"/>
    <w:basedOn w:val="Normal"/>
    <w:next w:val="Normal"/>
    <w:autoRedefine/>
    <w:uiPriority w:val="99"/>
    <w:unhideWhenUsed/>
    <w:rsid w:val="00C12B74"/>
    <w:pPr>
      <w:ind w:left="480" w:hanging="240"/>
    </w:pPr>
    <w:rPr>
      <w:rFonts w:asciiTheme="minorHAnsi" w:hAnsiTheme="minorHAnsi"/>
      <w:sz w:val="20"/>
      <w:szCs w:val="20"/>
    </w:rPr>
  </w:style>
  <w:style w:type="paragraph" w:styleId="Index3">
    <w:name w:val="index 3"/>
    <w:basedOn w:val="Normal"/>
    <w:next w:val="Normal"/>
    <w:autoRedefine/>
    <w:uiPriority w:val="99"/>
    <w:unhideWhenUsed/>
    <w:rsid w:val="00C12B74"/>
    <w:pPr>
      <w:ind w:left="720" w:hanging="240"/>
    </w:pPr>
    <w:rPr>
      <w:rFonts w:asciiTheme="minorHAnsi" w:hAnsiTheme="minorHAnsi"/>
      <w:sz w:val="20"/>
      <w:szCs w:val="20"/>
    </w:rPr>
  </w:style>
  <w:style w:type="paragraph" w:styleId="Index4">
    <w:name w:val="index 4"/>
    <w:basedOn w:val="Normal"/>
    <w:next w:val="Normal"/>
    <w:autoRedefine/>
    <w:uiPriority w:val="99"/>
    <w:unhideWhenUsed/>
    <w:rsid w:val="00C12B74"/>
    <w:pPr>
      <w:ind w:left="960" w:hanging="240"/>
    </w:pPr>
    <w:rPr>
      <w:rFonts w:asciiTheme="minorHAnsi" w:hAnsiTheme="minorHAnsi"/>
      <w:sz w:val="20"/>
      <w:szCs w:val="20"/>
    </w:rPr>
  </w:style>
  <w:style w:type="paragraph" w:styleId="Index5">
    <w:name w:val="index 5"/>
    <w:basedOn w:val="Normal"/>
    <w:next w:val="Normal"/>
    <w:autoRedefine/>
    <w:uiPriority w:val="99"/>
    <w:unhideWhenUsed/>
    <w:rsid w:val="00C12B74"/>
    <w:pPr>
      <w:ind w:left="1200" w:hanging="240"/>
    </w:pPr>
    <w:rPr>
      <w:rFonts w:asciiTheme="minorHAnsi" w:hAnsiTheme="minorHAnsi"/>
      <w:sz w:val="20"/>
      <w:szCs w:val="20"/>
    </w:rPr>
  </w:style>
  <w:style w:type="paragraph" w:styleId="Index6">
    <w:name w:val="index 6"/>
    <w:basedOn w:val="Normal"/>
    <w:next w:val="Normal"/>
    <w:autoRedefine/>
    <w:uiPriority w:val="99"/>
    <w:unhideWhenUsed/>
    <w:rsid w:val="00C12B74"/>
    <w:pPr>
      <w:ind w:left="1440" w:hanging="240"/>
    </w:pPr>
    <w:rPr>
      <w:rFonts w:asciiTheme="minorHAnsi" w:hAnsiTheme="minorHAnsi"/>
      <w:sz w:val="20"/>
      <w:szCs w:val="20"/>
    </w:rPr>
  </w:style>
  <w:style w:type="paragraph" w:styleId="Index7">
    <w:name w:val="index 7"/>
    <w:basedOn w:val="Normal"/>
    <w:next w:val="Normal"/>
    <w:autoRedefine/>
    <w:uiPriority w:val="99"/>
    <w:unhideWhenUsed/>
    <w:rsid w:val="00C12B74"/>
    <w:pPr>
      <w:ind w:left="1680" w:hanging="240"/>
    </w:pPr>
    <w:rPr>
      <w:rFonts w:asciiTheme="minorHAnsi" w:hAnsiTheme="minorHAnsi"/>
      <w:sz w:val="20"/>
      <w:szCs w:val="20"/>
    </w:rPr>
  </w:style>
  <w:style w:type="paragraph" w:styleId="Index8">
    <w:name w:val="index 8"/>
    <w:basedOn w:val="Normal"/>
    <w:next w:val="Normal"/>
    <w:autoRedefine/>
    <w:uiPriority w:val="99"/>
    <w:unhideWhenUsed/>
    <w:rsid w:val="00C12B74"/>
    <w:pPr>
      <w:ind w:left="1920" w:hanging="240"/>
    </w:pPr>
    <w:rPr>
      <w:rFonts w:asciiTheme="minorHAnsi" w:hAnsiTheme="minorHAnsi"/>
      <w:sz w:val="20"/>
      <w:szCs w:val="20"/>
    </w:rPr>
  </w:style>
  <w:style w:type="paragraph" w:styleId="Index9">
    <w:name w:val="index 9"/>
    <w:basedOn w:val="Normal"/>
    <w:next w:val="Normal"/>
    <w:autoRedefine/>
    <w:uiPriority w:val="99"/>
    <w:unhideWhenUsed/>
    <w:rsid w:val="00C12B74"/>
    <w:pPr>
      <w:ind w:left="2160" w:hanging="240"/>
    </w:pPr>
    <w:rPr>
      <w:rFonts w:asciiTheme="minorHAnsi" w:hAnsiTheme="minorHAnsi"/>
      <w:sz w:val="20"/>
      <w:szCs w:val="20"/>
    </w:rPr>
  </w:style>
  <w:style w:type="paragraph" w:styleId="IndexHeading">
    <w:name w:val="index heading"/>
    <w:basedOn w:val="Normal"/>
    <w:next w:val="Index1"/>
    <w:uiPriority w:val="99"/>
    <w:unhideWhenUsed/>
    <w:rsid w:val="00C12B74"/>
    <w:pPr>
      <w:spacing w:before="120" w:after="120"/>
    </w:pPr>
    <w:rPr>
      <w:rFonts w:asciiTheme="minorHAnsi" w:hAnsiTheme="minorHAnsi"/>
      <w:i/>
      <w:sz w:val="20"/>
      <w:szCs w:val="20"/>
    </w:rPr>
  </w:style>
  <w:style w:type="paragraph" w:styleId="NoSpacing">
    <w:name w:val="No Spacing"/>
    <w:uiPriority w:val="1"/>
    <w:qFormat/>
    <w:rsid w:val="00C12B74"/>
    <w:rPr>
      <w:rFonts w:ascii="Times New Roman" w:eastAsiaTheme="minorEastAsia" w:hAnsi="Times New Roman"/>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9</Pages>
  <Words>6771</Words>
  <Characters>36092</Characters>
  <Application>Microsoft Office Word</Application>
  <DocSecurity>0</DocSecurity>
  <Lines>1718</Lines>
  <Paragraphs>1190</Paragraphs>
  <ScaleCrop>false</ScaleCrop>
  <Company/>
  <LinksUpToDate>false</LinksUpToDate>
  <CharactersWithSpaces>41673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Patey</dc:creator>
  <cp:keywords/>
  <dc:description/>
  <cp:lastModifiedBy>Andrea Patey</cp:lastModifiedBy>
  <cp:revision>29</cp:revision>
  <dcterms:created xsi:type="dcterms:W3CDTF">2020-10-14T20:05:00Z</dcterms:created>
  <dcterms:modified xsi:type="dcterms:W3CDTF">2020-10-14T21:14:00Z</dcterms:modified>
</cp:coreProperties>
</file>