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753ED" w14:textId="77777777" w:rsidR="00781A06" w:rsidRPr="00097B9C" w:rsidRDefault="00781A06" w:rsidP="00781A06">
      <w:pPr>
        <w:rPr>
          <w:b/>
          <w:bCs/>
        </w:rPr>
      </w:pPr>
      <w:r w:rsidRPr="00944C36">
        <w:rPr>
          <w:b/>
          <w:bCs/>
        </w:rPr>
        <w:t>Supplemental File 1 – Deviations from a priori protocol</w:t>
      </w:r>
    </w:p>
    <w:tbl>
      <w:tblPr>
        <w:tblStyle w:val="TableGrid"/>
        <w:tblW w:w="0" w:type="auto"/>
        <w:tblLook w:val="04A0" w:firstRow="1" w:lastRow="0" w:firstColumn="1" w:lastColumn="0" w:noHBand="0" w:noVBand="1"/>
      </w:tblPr>
      <w:tblGrid>
        <w:gridCol w:w="1872"/>
        <w:gridCol w:w="4927"/>
        <w:gridCol w:w="3330"/>
        <w:gridCol w:w="2821"/>
      </w:tblGrid>
      <w:tr w:rsidR="00781A06" w:rsidRPr="0077363E" w14:paraId="61137510" w14:textId="77777777" w:rsidTr="00D66677">
        <w:trPr>
          <w:trHeight w:val="824"/>
        </w:trPr>
        <w:tc>
          <w:tcPr>
            <w:tcW w:w="0" w:type="auto"/>
          </w:tcPr>
          <w:p w14:paraId="76BB5D72" w14:textId="77777777" w:rsidR="00781A06" w:rsidRPr="0077363E" w:rsidRDefault="00781A06" w:rsidP="00D66677">
            <w:pPr>
              <w:rPr>
                <w:b/>
                <w:bCs/>
                <w:sz w:val="22"/>
                <w:szCs w:val="22"/>
              </w:rPr>
            </w:pPr>
            <w:r w:rsidRPr="0077363E">
              <w:rPr>
                <w:b/>
                <w:bCs/>
                <w:sz w:val="22"/>
                <w:szCs w:val="22"/>
              </w:rPr>
              <w:t>Protocol Item</w:t>
            </w:r>
          </w:p>
        </w:tc>
        <w:tc>
          <w:tcPr>
            <w:tcW w:w="4927" w:type="dxa"/>
          </w:tcPr>
          <w:p w14:paraId="0CFCE104" w14:textId="77777777" w:rsidR="00781A06" w:rsidRPr="0077363E" w:rsidRDefault="00781A06" w:rsidP="00D66677">
            <w:pPr>
              <w:rPr>
                <w:b/>
                <w:bCs/>
                <w:sz w:val="22"/>
                <w:szCs w:val="22"/>
              </w:rPr>
            </w:pPr>
            <w:r w:rsidRPr="0077363E">
              <w:rPr>
                <w:b/>
                <w:bCs/>
                <w:sz w:val="22"/>
                <w:szCs w:val="22"/>
              </w:rPr>
              <w:t>A priori Methods</w:t>
            </w:r>
          </w:p>
        </w:tc>
        <w:tc>
          <w:tcPr>
            <w:tcW w:w="3330" w:type="dxa"/>
          </w:tcPr>
          <w:p w14:paraId="5C512101" w14:textId="77777777" w:rsidR="00781A06" w:rsidRPr="0077363E" w:rsidRDefault="00781A06" w:rsidP="00D66677">
            <w:pPr>
              <w:rPr>
                <w:b/>
                <w:bCs/>
                <w:sz w:val="22"/>
                <w:szCs w:val="22"/>
              </w:rPr>
            </w:pPr>
            <w:r w:rsidRPr="0077363E">
              <w:rPr>
                <w:b/>
                <w:bCs/>
                <w:sz w:val="22"/>
                <w:szCs w:val="22"/>
              </w:rPr>
              <w:t>Final Review Methods</w:t>
            </w:r>
          </w:p>
        </w:tc>
        <w:tc>
          <w:tcPr>
            <w:tcW w:w="0" w:type="auto"/>
          </w:tcPr>
          <w:p w14:paraId="2F6C194D" w14:textId="77777777" w:rsidR="00781A06" w:rsidRPr="0077363E" w:rsidRDefault="00781A06" w:rsidP="00D66677">
            <w:pPr>
              <w:rPr>
                <w:b/>
                <w:bCs/>
                <w:sz w:val="22"/>
                <w:szCs w:val="22"/>
              </w:rPr>
            </w:pPr>
            <w:r w:rsidRPr="0077363E">
              <w:rPr>
                <w:b/>
                <w:bCs/>
                <w:sz w:val="22"/>
                <w:szCs w:val="22"/>
              </w:rPr>
              <w:t>Rationale for Deviation from Protocol</w:t>
            </w:r>
          </w:p>
        </w:tc>
      </w:tr>
      <w:tr w:rsidR="00781A06" w:rsidRPr="0077363E" w14:paraId="61C18050" w14:textId="77777777" w:rsidTr="00D66677">
        <w:trPr>
          <w:trHeight w:val="1734"/>
        </w:trPr>
        <w:tc>
          <w:tcPr>
            <w:tcW w:w="0" w:type="auto"/>
          </w:tcPr>
          <w:p w14:paraId="427EDBB3" w14:textId="77777777" w:rsidR="00781A06" w:rsidRPr="0077363E" w:rsidRDefault="00781A06" w:rsidP="00D66677">
            <w:pPr>
              <w:rPr>
                <w:b/>
                <w:bCs/>
                <w:sz w:val="22"/>
                <w:szCs w:val="22"/>
              </w:rPr>
            </w:pPr>
            <w:r>
              <w:rPr>
                <w:b/>
                <w:bCs/>
                <w:sz w:val="22"/>
                <w:szCs w:val="22"/>
              </w:rPr>
              <w:t>Research Questions</w:t>
            </w:r>
          </w:p>
        </w:tc>
        <w:tc>
          <w:tcPr>
            <w:tcW w:w="4927" w:type="dxa"/>
          </w:tcPr>
          <w:p w14:paraId="17BF49A8" w14:textId="77777777" w:rsidR="00781A06" w:rsidRPr="00BA4EF7" w:rsidRDefault="00781A06" w:rsidP="00781A06">
            <w:pPr>
              <w:pStyle w:val="ListParagraph"/>
              <w:numPr>
                <w:ilvl w:val="0"/>
                <w:numId w:val="5"/>
              </w:numPr>
              <w:autoSpaceDE w:val="0"/>
              <w:autoSpaceDN w:val="0"/>
              <w:adjustRightInd w:val="0"/>
              <w:rPr>
                <w:rFonts w:ascii="Calibri" w:hAnsi="Calibri" w:cs="Calibri"/>
                <w:sz w:val="22"/>
                <w:szCs w:val="22"/>
                <w:lang w:val="en-US"/>
              </w:rPr>
            </w:pPr>
            <w:r w:rsidRPr="00BA4EF7">
              <w:rPr>
                <w:rFonts w:ascii="Calibri" w:hAnsi="Calibri" w:cs="Calibri"/>
                <w:sz w:val="22"/>
                <w:szCs w:val="22"/>
                <w:lang w:val="en-US"/>
              </w:rPr>
              <w:t>To determine the effectiveness of different practice guideline implementation interventions on nursing professional practice and/or patient health outcomes.</w:t>
            </w:r>
          </w:p>
          <w:p w14:paraId="20796D87" w14:textId="77777777" w:rsidR="00781A06" w:rsidRPr="00BA4EF7" w:rsidRDefault="00781A06" w:rsidP="00781A06">
            <w:pPr>
              <w:pStyle w:val="ListParagraph"/>
              <w:numPr>
                <w:ilvl w:val="1"/>
                <w:numId w:val="5"/>
              </w:numPr>
              <w:autoSpaceDE w:val="0"/>
              <w:autoSpaceDN w:val="0"/>
              <w:adjustRightInd w:val="0"/>
              <w:rPr>
                <w:rFonts w:ascii="Calibri" w:hAnsi="Calibri" w:cs="Calibri"/>
                <w:sz w:val="22"/>
                <w:szCs w:val="22"/>
                <w:lang w:val="en-US"/>
              </w:rPr>
            </w:pPr>
            <w:r w:rsidRPr="00BA4EF7">
              <w:rPr>
                <w:rFonts w:ascii="Calibri" w:hAnsi="Calibri" w:cs="Calibri"/>
                <w:sz w:val="22"/>
                <w:szCs w:val="22"/>
                <w:lang w:val="en-US"/>
              </w:rPr>
              <w:t>Comparison 1: Guideline implementation intervention versus usual care.</w:t>
            </w:r>
          </w:p>
          <w:p w14:paraId="6D6B900F" w14:textId="77777777" w:rsidR="00781A06" w:rsidRPr="00BA4EF7" w:rsidRDefault="00781A06" w:rsidP="00781A06">
            <w:pPr>
              <w:pStyle w:val="ListParagraph"/>
              <w:numPr>
                <w:ilvl w:val="1"/>
                <w:numId w:val="5"/>
              </w:numPr>
              <w:autoSpaceDE w:val="0"/>
              <w:autoSpaceDN w:val="0"/>
              <w:adjustRightInd w:val="0"/>
              <w:rPr>
                <w:rFonts w:ascii="Ü&gt; ˛" w:hAnsi="Ü&gt; ˛" w:cs="Ü&gt; ˛"/>
                <w:sz w:val="19"/>
                <w:szCs w:val="19"/>
                <w:lang w:val="en-US"/>
              </w:rPr>
            </w:pPr>
            <w:r w:rsidRPr="00BA4EF7">
              <w:rPr>
                <w:rFonts w:ascii="Calibri" w:hAnsi="Calibri" w:cs="Calibri"/>
                <w:sz w:val="22"/>
                <w:szCs w:val="22"/>
                <w:lang w:val="en-US"/>
              </w:rPr>
              <w:t>Comparison 2: Guideline implementation intervention A versus guideline implementation intervention B</w:t>
            </w:r>
          </w:p>
        </w:tc>
        <w:tc>
          <w:tcPr>
            <w:tcW w:w="3330" w:type="dxa"/>
          </w:tcPr>
          <w:p w14:paraId="52827C3F" w14:textId="77777777" w:rsidR="00781A06" w:rsidRPr="00BA4EF7" w:rsidRDefault="00781A06" w:rsidP="00781A06">
            <w:pPr>
              <w:pStyle w:val="ListParagraph"/>
              <w:numPr>
                <w:ilvl w:val="0"/>
                <w:numId w:val="5"/>
              </w:numPr>
              <w:rPr>
                <w:rFonts w:ascii="Calibri" w:eastAsia="Times New Roman" w:hAnsi="Calibri" w:cs="Times New Roman"/>
                <w:sz w:val="22"/>
                <w:szCs w:val="22"/>
              </w:rPr>
            </w:pPr>
            <w:r w:rsidRPr="00BA4EF7">
              <w:rPr>
                <w:rFonts w:ascii="Calibri" w:eastAsia="Times New Roman" w:hAnsi="Calibri" w:cs="Times New Roman"/>
                <w:sz w:val="22"/>
                <w:szCs w:val="22"/>
              </w:rPr>
              <w:t>To determine the effectiveness and feasibility of implementation strategies to facilitate the uptake of guidelines focused on nursing care</w:t>
            </w:r>
          </w:p>
        </w:tc>
        <w:tc>
          <w:tcPr>
            <w:tcW w:w="0" w:type="auto"/>
          </w:tcPr>
          <w:p w14:paraId="72E54CD5" w14:textId="77777777" w:rsidR="00781A06" w:rsidRPr="00BA4EF7" w:rsidRDefault="00781A06" w:rsidP="00781A06">
            <w:pPr>
              <w:pStyle w:val="ListParagraph"/>
              <w:numPr>
                <w:ilvl w:val="0"/>
                <w:numId w:val="5"/>
              </w:numPr>
              <w:rPr>
                <w:sz w:val="22"/>
                <w:szCs w:val="22"/>
              </w:rPr>
            </w:pPr>
            <w:r w:rsidRPr="00BA4EF7">
              <w:rPr>
                <w:sz w:val="22"/>
                <w:szCs w:val="22"/>
              </w:rPr>
              <w:t>Methodological and clinical heterogeneity of these studies determined that a meta-analysis was not suitable.</w:t>
            </w:r>
          </w:p>
        </w:tc>
      </w:tr>
      <w:tr w:rsidR="00781A06" w:rsidRPr="0077363E" w14:paraId="1971354F" w14:textId="77777777" w:rsidTr="00D66677">
        <w:trPr>
          <w:trHeight w:val="1734"/>
        </w:trPr>
        <w:tc>
          <w:tcPr>
            <w:tcW w:w="0" w:type="auto"/>
          </w:tcPr>
          <w:p w14:paraId="57645D7E" w14:textId="77777777" w:rsidR="00781A06" w:rsidRPr="0077363E" w:rsidRDefault="00781A06" w:rsidP="00D66677">
            <w:pPr>
              <w:rPr>
                <w:b/>
                <w:bCs/>
                <w:sz w:val="22"/>
                <w:szCs w:val="22"/>
              </w:rPr>
            </w:pPr>
            <w:r w:rsidRPr="0077363E">
              <w:rPr>
                <w:b/>
                <w:bCs/>
                <w:sz w:val="22"/>
                <w:szCs w:val="22"/>
              </w:rPr>
              <w:t>Eligibility Criteria</w:t>
            </w:r>
          </w:p>
        </w:tc>
        <w:tc>
          <w:tcPr>
            <w:tcW w:w="4927" w:type="dxa"/>
          </w:tcPr>
          <w:p w14:paraId="4063A236" w14:textId="77777777" w:rsidR="00781A06" w:rsidRPr="0077363E" w:rsidRDefault="00781A06" w:rsidP="00781A06">
            <w:pPr>
              <w:pStyle w:val="ListParagraph"/>
              <w:numPr>
                <w:ilvl w:val="0"/>
                <w:numId w:val="2"/>
              </w:numPr>
              <w:autoSpaceDE w:val="0"/>
              <w:autoSpaceDN w:val="0"/>
              <w:adjustRightInd w:val="0"/>
              <w:rPr>
                <w:rFonts w:ascii="Calibri" w:eastAsia="Times New Roman" w:hAnsi="Calibri" w:cs="Calibri"/>
                <w:sz w:val="22"/>
                <w:szCs w:val="22"/>
              </w:rPr>
            </w:pPr>
            <w:r w:rsidRPr="0077363E">
              <w:rPr>
                <w:rFonts w:ascii="Calibri" w:eastAsia="Times New Roman" w:hAnsi="Calibri" w:cs="Times New Roman"/>
                <w:b/>
                <w:bCs/>
                <w:i/>
                <w:iCs/>
                <w:sz w:val="22"/>
                <w:szCs w:val="22"/>
              </w:rPr>
              <w:t>Study Design</w:t>
            </w:r>
            <w:r w:rsidRPr="0077363E">
              <w:rPr>
                <w:rFonts w:ascii="Calibri" w:eastAsia="Times New Roman" w:hAnsi="Calibri" w:cs="Times New Roman"/>
                <w:sz w:val="22"/>
                <w:szCs w:val="22"/>
              </w:rPr>
              <w:t xml:space="preserve">: Randomized </w:t>
            </w:r>
            <w:r w:rsidRPr="0077363E">
              <w:rPr>
                <w:rFonts w:ascii="Calibri" w:eastAsia="Times New Roman" w:hAnsi="Calibri" w:cs="Calibri"/>
                <w:sz w:val="22"/>
                <w:szCs w:val="22"/>
              </w:rPr>
              <w:t xml:space="preserve">controlled trials (RCTs) </w:t>
            </w:r>
          </w:p>
          <w:p w14:paraId="4952B99F" w14:textId="77777777" w:rsidR="00781A06" w:rsidRPr="0077363E" w:rsidRDefault="00781A06" w:rsidP="00781A06">
            <w:pPr>
              <w:pStyle w:val="ListParagraph"/>
              <w:numPr>
                <w:ilvl w:val="0"/>
                <w:numId w:val="2"/>
              </w:numPr>
              <w:autoSpaceDE w:val="0"/>
              <w:autoSpaceDN w:val="0"/>
              <w:adjustRightInd w:val="0"/>
              <w:rPr>
                <w:rFonts w:ascii="Calibri" w:hAnsi="Calibri" w:cs="Calibri"/>
                <w:sz w:val="22"/>
                <w:szCs w:val="22"/>
                <w:lang w:val="en-US"/>
              </w:rPr>
            </w:pPr>
            <w:r w:rsidRPr="0077363E">
              <w:rPr>
                <w:rFonts w:ascii="Calibri" w:hAnsi="Calibri" w:cs="Calibri"/>
                <w:b/>
                <w:bCs/>
                <w:i/>
                <w:iCs/>
                <w:sz w:val="22"/>
                <w:szCs w:val="22"/>
                <w:lang w:val="en-US"/>
              </w:rPr>
              <w:t>Language:</w:t>
            </w:r>
            <w:r w:rsidRPr="0077363E">
              <w:rPr>
                <w:rFonts w:ascii="Calibri" w:hAnsi="Calibri" w:cs="Calibri"/>
                <w:sz w:val="22"/>
                <w:szCs w:val="22"/>
                <w:lang w:val="en-US"/>
              </w:rPr>
              <w:t xml:space="preserve"> English</w:t>
            </w:r>
          </w:p>
          <w:p w14:paraId="05A7F7F6" w14:textId="77777777" w:rsidR="00781A06" w:rsidRPr="0077363E" w:rsidRDefault="00781A06" w:rsidP="00781A06">
            <w:pPr>
              <w:pStyle w:val="ListParagraph"/>
              <w:numPr>
                <w:ilvl w:val="0"/>
                <w:numId w:val="2"/>
              </w:numPr>
              <w:autoSpaceDE w:val="0"/>
              <w:autoSpaceDN w:val="0"/>
              <w:adjustRightInd w:val="0"/>
              <w:rPr>
                <w:rFonts w:ascii="Calibri" w:hAnsi="Calibri" w:cs="Calibri"/>
                <w:sz w:val="22"/>
                <w:szCs w:val="22"/>
                <w:lang w:val="en-US"/>
              </w:rPr>
            </w:pPr>
            <w:r w:rsidRPr="0077363E">
              <w:rPr>
                <w:rFonts w:ascii="Calibri" w:hAnsi="Calibri" w:cs="Calibri"/>
                <w:b/>
                <w:bCs/>
                <w:i/>
                <w:iCs/>
                <w:sz w:val="22"/>
                <w:szCs w:val="22"/>
                <w:lang w:val="en-US"/>
              </w:rPr>
              <w:t>Participants</w:t>
            </w:r>
            <w:r w:rsidRPr="0077363E">
              <w:rPr>
                <w:rFonts w:ascii="Calibri" w:hAnsi="Calibri" w:cs="Calibri"/>
                <w:sz w:val="22"/>
                <w:szCs w:val="22"/>
                <w:lang w:val="en-US"/>
              </w:rPr>
              <w:t>: All different categories of nurses</w:t>
            </w:r>
          </w:p>
          <w:p w14:paraId="17E03AC3" w14:textId="77777777" w:rsidR="00781A06" w:rsidRPr="0077363E" w:rsidRDefault="00781A06" w:rsidP="00781A06">
            <w:pPr>
              <w:pStyle w:val="ListParagraph"/>
              <w:numPr>
                <w:ilvl w:val="0"/>
                <w:numId w:val="2"/>
              </w:numPr>
              <w:autoSpaceDE w:val="0"/>
              <w:autoSpaceDN w:val="0"/>
              <w:adjustRightInd w:val="0"/>
              <w:rPr>
                <w:sz w:val="22"/>
                <w:szCs w:val="22"/>
              </w:rPr>
            </w:pPr>
            <w:r w:rsidRPr="0077363E">
              <w:rPr>
                <w:rFonts w:ascii="Calibri" w:hAnsi="Calibri" w:cs="Calibri"/>
                <w:b/>
                <w:bCs/>
                <w:i/>
                <w:iCs/>
                <w:sz w:val="22"/>
                <w:szCs w:val="22"/>
                <w:lang w:val="en-US"/>
              </w:rPr>
              <w:t>Interventions</w:t>
            </w:r>
            <w:r w:rsidRPr="0077363E">
              <w:rPr>
                <w:rFonts w:ascii="Calibri" w:hAnsi="Calibri" w:cs="Calibri"/>
                <w:sz w:val="22"/>
                <w:szCs w:val="22"/>
                <w:lang w:val="en-US"/>
              </w:rPr>
              <w:t xml:space="preserve">: </w:t>
            </w:r>
            <w:r w:rsidRPr="0077363E">
              <w:rPr>
                <w:sz w:val="22"/>
                <w:szCs w:val="22"/>
              </w:rPr>
              <w:t>intervention used to implement a guideline into nursing or a multidisciplinary team with a focus on nursing outcomes</w:t>
            </w:r>
          </w:p>
          <w:p w14:paraId="103B0CA1" w14:textId="77777777" w:rsidR="00781A06" w:rsidRPr="0077363E" w:rsidRDefault="00781A06" w:rsidP="00781A06">
            <w:pPr>
              <w:pStyle w:val="ListParagraph"/>
              <w:numPr>
                <w:ilvl w:val="0"/>
                <w:numId w:val="2"/>
              </w:numPr>
              <w:autoSpaceDE w:val="0"/>
              <w:autoSpaceDN w:val="0"/>
              <w:adjustRightInd w:val="0"/>
              <w:rPr>
                <w:sz w:val="22"/>
                <w:szCs w:val="22"/>
                <w:lang w:val="en-US"/>
              </w:rPr>
            </w:pPr>
            <w:r w:rsidRPr="0077363E">
              <w:rPr>
                <w:b/>
                <w:bCs/>
                <w:i/>
                <w:iCs/>
                <w:sz w:val="22"/>
                <w:szCs w:val="22"/>
                <w:lang w:val="en-US"/>
              </w:rPr>
              <w:t>Comparators:</w:t>
            </w:r>
            <w:r w:rsidRPr="0077363E">
              <w:rPr>
                <w:sz w:val="22"/>
                <w:szCs w:val="22"/>
                <w:lang w:val="en-US"/>
              </w:rPr>
              <w:t xml:space="preserve"> “usual practice” or “usual care” which indicates no implementation intervention was used to change nursing practice</w:t>
            </w:r>
          </w:p>
          <w:p w14:paraId="44604265" w14:textId="77777777" w:rsidR="00781A06" w:rsidRPr="0077363E" w:rsidRDefault="00781A06" w:rsidP="00781A06">
            <w:pPr>
              <w:pStyle w:val="ListParagraph"/>
              <w:numPr>
                <w:ilvl w:val="0"/>
                <w:numId w:val="2"/>
              </w:numPr>
              <w:autoSpaceDE w:val="0"/>
              <w:autoSpaceDN w:val="0"/>
              <w:adjustRightInd w:val="0"/>
              <w:rPr>
                <w:rFonts w:ascii="Calibri" w:hAnsi="Calibri" w:cs="Calibri"/>
                <w:sz w:val="22"/>
                <w:szCs w:val="22"/>
                <w:lang w:val="en-US"/>
              </w:rPr>
            </w:pPr>
            <w:r w:rsidRPr="0077363E">
              <w:rPr>
                <w:b/>
                <w:bCs/>
                <w:i/>
                <w:iCs/>
                <w:sz w:val="22"/>
                <w:szCs w:val="22"/>
                <w:lang w:val="en-US"/>
              </w:rPr>
              <w:t>Outcomes:</w:t>
            </w:r>
            <w:r w:rsidRPr="0077363E">
              <w:rPr>
                <w:sz w:val="22"/>
                <w:szCs w:val="22"/>
              </w:rPr>
              <w:t xml:space="preserve"> process or outcome of care provided by nursing professionals (</w:t>
            </w:r>
            <w:proofErr w:type="spellStart"/>
            <w:r w:rsidRPr="0077363E">
              <w:rPr>
                <w:sz w:val="22"/>
                <w:szCs w:val="22"/>
              </w:rPr>
              <w:t>i.e</w:t>
            </w:r>
            <w:proofErr w:type="spellEnd"/>
            <w:r w:rsidRPr="0077363E">
              <w:rPr>
                <w:sz w:val="22"/>
                <w:szCs w:val="22"/>
              </w:rPr>
              <w:t>, professional knowledge, professional practice, patient health outcomes or resource use/expenditure outcomes)</w:t>
            </w:r>
          </w:p>
        </w:tc>
        <w:tc>
          <w:tcPr>
            <w:tcW w:w="3330" w:type="dxa"/>
          </w:tcPr>
          <w:p w14:paraId="3BE00897" w14:textId="77777777" w:rsidR="00781A06" w:rsidRPr="0077363E" w:rsidRDefault="00781A06" w:rsidP="00D66677">
            <w:pPr>
              <w:rPr>
                <w:sz w:val="22"/>
                <w:szCs w:val="22"/>
              </w:rPr>
            </w:pPr>
            <w:r w:rsidRPr="0077363E">
              <w:rPr>
                <w:rFonts w:ascii="Calibri" w:eastAsia="Times New Roman" w:hAnsi="Calibri" w:cs="Times New Roman"/>
                <w:b/>
                <w:bCs/>
                <w:i/>
                <w:iCs/>
                <w:sz w:val="22"/>
                <w:szCs w:val="22"/>
              </w:rPr>
              <w:t>Same as a priori methods</w:t>
            </w:r>
          </w:p>
        </w:tc>
        <w:tc>
          <w:tcPr>
            <w:tcW w:w="0" w:type="auto"/>
          </w:tcPr>
          <w:p w14:paraId="1CB651EA" w14:textId="77777777" w:rsidR="00781A06" w:rsidRPr="0077363E" w:rsidRDefault="00781A06" w:rsidP="00D66677">
            <w:pPr>
              <w:rPr>
                <w:sz w:val="22"/>
                <w:szCs w:val="22"/>
              </w:rPr>
            </w:pPr>
          </w:p>
        </w:tc>
      </w:tr>
      <w:tr w:rsidR="00781A06" w:rsidRPr="0077363E" w14:paraId="02994B1A" w14:textId="77777777" w:rsidTr="00D66677">
        <w:trPr>
          <w:trHeight w:val="824"/>
        </w:trPr>
        <w:tc>
          <w:tcPr>
            <w:tcW w:w="0" w:type="auto"/>
          </w:tcPr>
          <w:p w14:paraId="2716CD20" w14:textId="77777777" w:rsidR="00781A06" w:rsidRPr="0077363E" w:rsidRDefault="00781A06" w:rsidP="00D66677">
            <w:pPr>
              <w:rPr>
                <w:b/>
                <w:bCs/>
                <w:sz w:val="22"/>
                <w:szCs w:val="22"/>
              </w:rPr>
            </w:pPr>
            <w:r w:rsidRPr="0077363E">
              <w:rPr>
                <w:b/>
                <w:bCs/>
                <w:sz w:val="22"/>
                <w:szCs w:val="22"/>
              </w:rPr>
              <w:t>Search Strategy</w:t>
            </w:r>
          </w:p>
        </w:tc>
        <w:tc>
          <w:tcPr>
            <w:tcW w:w="4927" w:type="dxa"/>
          </w:tcPr>
          <w:p w14:paraId="30C80BA9" w14:textId="77777777" w:rsidR="00781A06" w:rsidRPr="0077363E" w:rsidRDefault="00781A06" w:rsidP="00781A06">
            <w:pPr>
              <w:pStyle w:val="ListParagraph"/>
              <w:numPr>
                <w:ilvl w:val="0"/>
                <w:numId w:val="1"/>
              </w:numPr>
              <w:rPr>
                <w:sz w:val="22"/>
                <w:szCs w:val="22"/>
              </w:rPr>
            </w:pPr>
            <w:r w:rsidRPr="0077363E">
              <w:rPr>
                <w:sz w:val="22"/>
                <w:szCs w:val="22"/>
              </w:rPr>
              <w:t>Built on an existing EPOC search strategy, using search terms and medical subject headings (</w:t>
            </w:r>
            <w:proofErr w:type="spellStart"/>
            <w:r w:rsidRPr="0077363E">
              <w:rPr>
                <w:sz w:val="22"/>
                <w:szCs w:val="22"/>
              </w:rPr>
              <w:t>MeSH</w:t>
            </w:r>
            <w:proofErr w:type="spellEnd"/>
            <w:r w:rsidRPr="0077363E">
              <w:rPr>
                <w:sz w:val="22"/>
                <w:szCs w:val="22"/>
              </w:rPr>
              <w:t xml:space="preserve">) relevant to “clinical guidelines” AND </w:t>
            </w:r>
            <w:r w:rsidRPr="0077363E">
              <w:rPr>
                <w:sz w:val="22"/>
                <w:szCs w:val="22"/>
              </w:rPr>
              <w:lastRenderedPageBreak/>
              <w:t>“implementation” AND “nursing” AND “randomized controlled trial”</w:t>
            </w:r>
          </w:p>
          <w:p w14:paraId="05740D5E" w14:textId="77777777" w:rsidR="00781A06" w:rsidRPr="0077363E" w:rsidRDefault="00781A06" w:rsidP="00781A06">
            <w:pPr>
              <w:pStyle w:val="ListParagraph"/>
              <w:numPr>
                <w:ilvl w:val="0"/>
                <w:numId w:val="1"/>
              </w:numPr>
              <w:rPr>
                <w:sz w:val="22"/>
                <w:szCs w:val="22"/>
              </w:rPr>
            </w:pPr>
            <w:r w:rsidRPr="0077363E">
              <w:rPr>
                <w:sz w:val="22"/>
                <w:szCs w:val="22"/>
              </w:rPr>
              <w:t>Five databases (Medline, EMBASE, CINAHL, PsycINFO, AMED) and the Cochrane EPOC registry</w:t>
            </w:r>
          </w:p>
          <w:p w14:paraId="503180C0" w14:textId="77777777" w:rsidR="00781A06" w:rsidRPr="0077363E" w:rsidRDefault="00781A06" w:rsidP="00781A06">
            <w:pPr>
              <w:pStyle w:val="ListParagraph"/>
              <w:numPr>
                <w:ilvl w:val="0"/>
                <w:numId w:val="1"/>
              </w:numPr>
              <w:rPr>
                <w:sz w:val="22"/>
                <w:szCs w:val="22"/>
              </w:rPr>
            </w:pPr>
            <w:r w:rsidRPr="0077363E">
              <w:rPr>
                <w:sz w:val="22"/>
                <w:szCs w:val="22"/>
              </w:rPr>
              <w:t>No restrictions were placed on the search</w:t>
            </w:r>
          </w:p>
          <w:p w14:paraId="16252908" w14:textId="77777777" w:rsidR="00781A06" w:rsidRPr="0077363E" w:rsidRDefault="00781A06" w:rsidP="00781A06">
            <w:pPr>
              <w:pStyle w:val="ListParagraph"/>
              <w:numPr>
                <w:ilvl w:val="0"/>
                <w:numId w:val="1"/>
              </w:numPr>
              <w:rPr>
                <w:sz w:val="22"/>
                <w:szCs w:val="22"/>
              </w:rPr>
            </w:pPr>
            <w:r w:rsidRPr="0077363E">
              <w:rPr>
                <w:sz w:val="22"/>
                <w:szCs w:val="22"/>
              </w:rPr>
              <w:t>Also used the search strategies developed by Grimshaw and colleagues for their investigation of the effectiveness and efficiency of guideline dissemination and implementation strategies in the context of medicine, adjusted to focus on nursing and rerun against MEDLINE, CINAHL and EMBASE. Scanned reference lists of papers identified for inclusion for any additional references not captured.</w:t>
            </w:r>
          </w:p>
        </w:tc>
        <w:tc>
          <w:tcPr>
            <w:tcW w:w="3330" w:type="dxa"/>
          </w:tcPr>
          <w:p w14:paraId="2AA3E53C" w14:textId="77777777" w:rsidR="00781A06" w:rsidRPr="0077363E" w:rsidRDefault="00781A06" w:rsidP="00D66677">
            <w:pPr>
              <w:rPr>
                <w:sz w:val="22"/>
                <w:szCs w:val="22"/>
              </w:rPr>
            </w:pPr>
            <w:r w:rsidRPr="0077363E">
              <w:rPr>
                <w:rFonts w:ascii="Calibri" w:eastAsia="Times New Roman" w:hAnsi="Calibri" w:cs="Times New Roman"/>
                <w:b/>
                <w:bCs/>
                <w:i/>
                <w:iCs/>
                <w:sz w:val="22"/>
                <w:szCs w:val="22"/>
              </w:rPr>
              <w:lastRenderedPageBreak/>
              <w:t>Same as a priori methods</w:t>
            </w:r>
          </w:p>
        </w:tc>
        <w:tc>
          <w:tcPr>
            <w:tcW w:w="0" w:type="auto"/>
          </w:tcPr>
          <w:p w14:paraId="6C9DF3A7" w14:textId="77777777" w:rsidR="00781A06" w:rsidRPr="0077363E" w:rsidRDefault="00781A06" w:rsidP="00D66677">
            <w:pPr>
              <w:rPr>
                <w:sz w:val="22"/>
                <w:szCs w:val="22"/>
              </w:rPr>
            </w:pPr>
          </w:p>
        </w:tc>
      </w:tr>
      <w:tr w:rsidR="00781A06" w:rsidRPr="0077363E" w14:paraId="3BF5D016" w14:textId="77777777" w:rsidTr="00D66677">
        <w:trPr>
          <w:trHeight w:val="865"/>
        </w:trPr>
        <w:tc>
          <w:tcPr>
            <w:tcW w:w="0" w:type="auto"/>
          </w:tcPr>
          <w:p w14:paraId="4DE2DA9E" w14:textId="77777777" w:rsidR="00781A06" w:rsidRPr="0077363E" w:rsidRDefault="00781A06" w:rsidP="00D66677">
            <w:pPr>
              <w:rPr>
                <w:b/>
                <w:bCs/>
                <w:sz w:val="22"/>
                <w:szCs w:val="22"/>
              </w:rPr>
            </w:pPr>
            <w:r w:rsidRPr="0077363E">
              <w:rPr>
                <w:b/>
                <w:bCs/>
                <w:sz w:val="22"/>
                <w:szCs w:val="22"/>
              </w:rPr>
              <w:t>Study Selection</w:t>
            </w:r>
          </w:p>
        </w:tc>
        <w:tc>
          <w:tcPr>
            <w:tcW w:w="4927" w:type="dxa"/>
          </w:tcPr>
          <w:p w14:paraId="12E9C5C2" w14:textId="77777777" w:rsidR="00781A06" w:rsidRPr="0077363E" w:rsidRDefault="00781A06" w:rsidP="00781A06">
            <w:pPr>
              <w:pStyle w:val="ListParagraph"/>
              <w:numPr>
                <w:ilvl w:val="0"/>
                <w:numId w:val="3"/>
              </w:numPr>
              <w:rPr>
                <w:sz w:val="22"/>
                <w:szCs w:val="22"/>
              </w:rPr>
            </w:pPr>
            <w:r w:rsidRPr="0077363E">
              <w:rPr>
                <w:sz w:val="22"/>
                <w:szCs w:val="22"/>
              </w:rPr>
              <w:t xml:space="preserve">Two reviewers will independently screen the titles and abstracts and full-text articles against inclusion criteria </w:t>
            </w:r>
          </w:p>
        </w:tc>
        <w:tc>
          <w:tcPr>
            <w:tcW w:w="3330" w:type="dxa"/>
          </w:tcPr>
          <w:p w14:paraId="2D544C3D" w14:textId="77777777" w:rsidR="00781A06" w:rsidRPr="0077363E" w:rsidRDefault="00781A06" w:rsidP="00D66677">
            <w:pPr>
              <w:rPr>
                <w:sz w:val="22"/>
                <w:szCs w:val="22"/>
              </w:rPr>
            </w:pPr>
            <w:r w:rsidRPr="0077363E">
              <w:rPr>
                <w:rFonts w:ascii="Calibri" w:eastAsia="Times New Roman" w:hAnsi="Calibri" w:cs="Times New Roman"/>
                <w:b/>
                <w:bCs/>
                <w:i/>
                <w:iCs/>
                <w:sz w:val="22"/>
                <w:szCs w:val="22"/>
              </w:rPr>
              <w:t>Same as a priori methods</w:t>
            </w:r>
          </w:p>
        </w:tc>
        <w:tc>
          <w:tcPr>
            <w:tcW w:w="0" w:type="auto"/>
          </w:tcPr>
          <w:p w14:paraId="15FD92CF" w14:textId="77777777" w:rsidR="00781A06" w:rsidRPr="0077363E" w:rsidRDefault="00781A06" w:rsidP="00D66677">
            <w:pPr>
              <w:rPr>
                <w:sz w:val="22"/>
                <w:szCs w:val="22"/>
              </w:rPr>
            </w:pPr>
          </w:p>
        </w:tc>
      </w:tr>
      <w:tr w:rsidR="00781A06" w:rsidRPr="0077363E" w14:paraId="38EF036B" w14:textId="77777777" w:rsidTr="00D66677">
        <w:trPr>
          <w:trHeight w:val="1694"/>
        </w:trPr>
        <w:tc>
          <w:tcPr>
            <w:tcW w:w="0" w:type="auto"/>
          </w:tcPr>
          <w:p w14:paraId="603CC15E" w14:textId="77777777" w:rsidR="00781A06" w:rsidRPr="0077363E" w:rsidRDefault="00781A06" w:rsidP="00D66677">
            <w:pPr>
              <w:rPr>
                <w:b/>
                <w:bCs/>
                <w:sz w:val="22"/>
                <w:szCs w:val="22"/>
              </w:rPr>
            </w:pPr>
            <w:r w:rsidRPr="0077363E">
              <w:rPr>
                <w:b/>
                <w:bCs/>
                <w:sz w:val="22"/>
                <w:szCs w:val="22"/>
              </w:rPr>
              <w:t>Data Abstraction</w:t>
            </w:r>
          </w:p>
        </w:tc>
        <w:tc>
          <w:tcPr>
            <w:tcW w:w="4927" w:type="dxa"/>
          </w:tcPr>
          <w:p w14:paraId="15D32A23" w14:textId="77777777" w:rsidR="00781A06" w:rsidRPr="0077363E" w:rsidRDefault="00781A06" w:rsidP="00781A06">
            <w:pPr>
              <w:pStyle w:val="ListParagraph"/>
              <w:numPr>
                <w:ilvl w:val="0"/>
                <w:numId w:val="3"/>
              </w:numPr>
              <w:rPr>
                <w:sz w:val="22"/>
                <w:szCs w:val="22"/>
              </w:rPr>
            </w:pPr>
            <w:r w:rsidRPr="0077363E">
              <w:rPr>
                <w:sz w:val="22"/>
                <w:szCs w:val="22"/>
              </w:rPr>
              <w:t xml:space="preserve">Two reviewers will independently abstract data from included studies using a standardized form adapted from the EPOC data collection checklist: a) study design, b) participants, c) setting, d) data collection methods, e) practice guideline, f) types of implementation strategies, g) outcome measures, and h) study results. </w:t>
            </w:r>
          </w:p>
        </w:tc>
        <w:tc>
          <w:tcPr>
            <w:tcW w:w="3330" w:type="dxa"/>
          </w:tcPr>
          <w:p w14:paraId="61044546" w14:textId="77777777" w:rsidR="00781A06" w:rsidRPr="0077363E" w:rsidRDefault="00781A06" w:rsidP="00D66677">
            <w:pPr>
              <w:rPr>
                <w:sz w:val="22"/>
                <w:szCs w:val="22"/>
              </w:rPr>
            </w:pPr>
            <w:r w:rsidRPr="0077363E">
              <w:rPr>
                <w:rFonts w:ascii="Calibri" w:eastAsia="Times New Roman" w:hAnsi="Calibri" w:cs="Times New Roman"/>
                <w:b/>
                <w:bCs/>
                <w:i/>
                <w:iCs/>
                <w:sz w:val="22"/>
                <w:szCs w:val="22"/>
              </w:rPr>
              <w:t>Same as a priori methods</w:t>
            </w:r>
          </w:p>
        </w:tc>
        <w:tc>
          <w:tcPr>
            <w:tcW w:w="0" w:type="auto"/>
          </w:tcPr>
          <w:p w14:paraId="7BE26FFC" w14:textId="77777777" w:rsidR="00781A06" w:rsidRPr="0077363E" w:rsidRDefault="00781A06" w:rsidP="00D66677">
            <w:pPr>
              <w:rPr>
                <w:sz w:val="22"/>
                <w:szCs w:val="22"/>
              </w:rPr>
            </w:pPr>
          </w:p>
        </w:tc>
      </w:tr>
      <w:tr w:rsidR="00781A06" w:rsidRPr="0077363E" w14:paraId="0CE4DC0E" w14:textId="77777777" w:rsidTr="00D66677">
        <w:trPr>
          <w:trHeight w:val="558"/>
        </w:trPr>
        <w:tc>
          <w:tcPr>
            <w:tcW w:w="0" w:type="auto"/>
          </w:tcPr>
          <w:p w14:paraId="4462F6DD" w14:textId="77777777" w:rsidR="00781A06" w:rsidRPr="0077363E" w:rsidRDefault="00781A06" w:rsidP="00D66677">
            <w:pPr>
              <w:rPr>
                <w:b/>
                <w:bCs/>
                <w:sz w:val="22"/>
                <w:szCs w:val="22"/>
              </w:rPr>
            </w:pPr>
            <w:r w:rsidRPr="0077363E">
              <w:rPr>
                <w:b/>
                <w:bCs/>
                <w:sz w:val="22"/>
                <w:szCs w:val="22"/>
              </w:rPr>
              <w:t>Categorization of Implementation Strategies</w:t>
            </w:r>
          </w:p>
        </w:tc>
        <w:tc>
          <w:tcPr>
            <w:tcW w:w="4927" w:type="dxa"/>
          </w:tcPr>
          <w:p w14:paraId="23A551B5" w14:textId="77777777" w:rsidR="00781A06" w:rsidRPr="0077363E" w:rsidRDefault="00781A06" w:rsidP="00781A06">
            <w:pPr>
              <w:pStyle w:val="ListParagraph"/>
              <w:numPr>
                <w:ilvl w:val="0"/>
                <w:numId w:val="3"/>
              </w:numPr>
              <w:rPr>
                <w:sz w:val="22"/>
                <w:szCs w:val="22"/>
              </w:rPr>
            </w:pPr>
            <w:r w:rsidRPr="0077363E">
              <w:rPr>
                <w:rFonts w:ascii="Calibri" w:hAnsi="Calibri"/>
                <w:sz w:val="22"/>
                <w:szCs w:val="22"/>
              </w:rPr>
              <w:t>Implementation strategies will be classified using the EPOC taxonomy for implementation interventions</w:t>
            </w:r>
          </w:p>
        </w:tc>
        <w:tc>
          <w:tcPr>
            <w:tcW w:w="3330" w:type="dxa"/>
          </w:tcPr>
          <w:p w14:paraId="183C42EE" w14:textId="77777777" w:rsidR="00781A06" w:rsidRPr="0077363E" w:rsidRDefault="00781A06" w:rsidP="00781A06">
            <w:pPr>
              <w:pStyle w:val="ListParagraph"/>
              <w:numPr>
                <w:ilvl w:val="0"/>
                <w:numId w:val="3"/>
              </w:numPr>
              <w:rPr>
                <w:sz w:val="22"/>
                <w:szCs w:val="22"/>
              </w:rPr>
            </w:pPr>
            <w:r w:rsidRPr="0077363E">
              <w:rPr>
                <w:rFonts w:ascii="Calibri" w:hAnsi="Calibri" w:cs="Calibri"/>
                <w:sz w:val="22"/>
                <w:szCs w:val="22"/>
              </w:rPr>
              <w:t xml:space="preserve">First, we deductively categorized strategies into the EPOC taxonomy’s </w:t>
            </w:r>
            <w:r w:rsidRPr="0077363E">
              <w:rPr>
                <w:rFonts w:ascii="Calibri" w:hAnsi="Calibri"/>
                <w:sz w:val="22"/>
                <w:szCs w:val="22"/>
              </w:rPr>
              <w:t>section on implementation strategies with three sub-categories: (</w:t>
            </w:r>
            <w:proofErr w:type="spellStart"/>
            <w:r w:rsidRPr="0077363E">
              <w:rPr>
                <w:rFonts w:ascii="Calibri" w:hAnsi="Calibri"/>
                <w:sz w:val="22"/>
                <w:szCs w:val="22"/>
              </w:rPr>
              <w:t>i</w:t>
            </w:r>
            <w:proofErr w:type="spellEnd"/>
            <w:r w:rsidRPr="0077363E">
              <w:rPr>
                <w:rFonts w:ascii="Calibri" w:hAnsi="Calibri"/>
                <w:sz w:val="22"/>
                <w:szCs w:val="22"/>
              </w:rPr>
              <w:t xml:space="preserve">) Interventions targeted at healthcare organizations, (ii) Interventions targeted at healthcare workers, and (iii) </w:t>
            </w:r>
            <w:r w:rsidRPr="0077363E">
              <w:rPr>
                <w:rFonts w:ascii="Calibri" w:hAnsi="Calibri"/>
                <w:sz w:val="22"/>
                <w:szCs w:val="22"/>
              </w:rPr>
              <w:lastRenderedPageBreak/>
              <w:t>Interventions targeted at specific types of practice, conditions or settings.</w:t>
            </w:r>
            <w:r w:rsidRPr="0077363E">
              <w:rPr>
                <w:rFonts w:ascii="Calibri" w:hAnsi="Calibri" w:cs="Calibri"/>
                <w:sz w:val="22"/>
                <w:szCs w:val="22"/>
              </w:rPr>
              <w:t xml:space="preserve"> </w:t>
            </w:r>
          </w:p>
          <w:p w14:paraId="5AE06473" w14:textId="77777777" w:rsidR="00781A06" w:rsidRPr="0077363E" w:rsidRDefault="00781A06" w:rsidP="00781A06">
            <w:pPr>
              <w:pStyle w:val="ListParagraph"/>
              <w:numPr>
                <w:ilvl w:val="0"/>
                <w:numId w:val="3"/>
              </w:numPr>
              <w:rPr>
                <w:sz w:val="22"/>
                <w:szCs w:val="22"/>
              </w:rPr>
            </w:pPr>
            <w:r w:rsidRPr="0077363E">
              <w:rPr>
                <w:rFonts w:ascii="Calibri" w:hAnsi="Calibri"/>
                <w:sz w:val="22"/>
                <w:szCs w:val="22"/>
              </w:rPr>
              <w:t>Second, for those strategies not included in the EPOC taxonomy, we used an inductive thematic analysis approach to inductively categorize these strategies and generate additional implementation strategy categories</w:t>
            </w:r>
          </w:p>
        </w:tc>
        <w:tc>
          <w:tcPr>
            <w:tcW w:w="0" w:type="auto"/>
            <w:shd w:val="clear" w:color="auto" w:fill="auto"/>
          </w:tcPr>
          <w:p w14:paraId="6D7A6E42" w14:textId="77777777" w:rsidR="00781A06" w:rsidRPr="0077363E" w:rsidRDefault="00781A06" w:rsidP="00781A06">
            <w:pPr>
              <w:pStyle w:val="ListParagraph"/>
              <w:numPr>
                <w:ilvl w:val="0"/>
                <w:numId w:val="3"/>
              </w:numPr>
              <w:rPr>
                <w:sz w:val="22"/>
                <w:szCs w:val="22"/>
              </w:rPr>
            </w:pPr>
            <w:r w:rsidRPr="0077363E">
              <w:rPr>
                <w:sz w:val="22"/>
                <w:szCs w:val="22"/>
              </w:rPr>
              <w:lastRenderedPageBreak/>
              <w:t xml:space="preserve">We identified additional implementation strategies being used in nursing trials that were not included in the EPOC taxonomy </w:t>
            </w:r>
          </w:p>
        </w:tc>
      </w:tr>
      <w:tr w:rsidR="00781A06" w:rsidRPr="0077363E" w14:paraId="68B44240" w14:textId="77777777" w:rsidTr="00D66677">
        <w:trPr>
          <w:trHeight w:val="824"/>
        </w:trPr>
        <w:tc>
          <w:tcPr>
            <w:tcW w:w="0" w:type="auto"/>
          </w:tcPr>
          <w:p w14:paraId="42DAC526" w14:textId="77777777" w:rsidR="00781A06" w:rsidRPr="0077363E" w:rsidRDefault="00781A06" w:rsidP="00D66677">
            <w:pPr>
              <w:rPr>
                <w:b/>
                <w:bCs/>
                <w:sz w:val="22"/>
                <w:szCs w:val="22"/>
              </w:rPr>
            </w:pPr>
            <w:r w:rsidRPr="0077363E">
              <w:rPr>
                <w:b/>
                <w:bCs/>
                <w:sz w:val="22"/>
                <w:szCs w:val="22"/>
              </w:rPr>
              <w:t>Study Quality</w:t>
            </w:r>
          </w:p>
        </w:tc>
        <w:tc>
          <w:tcPr>
            <w:tcW w:w="4927" w:type="dxa"/>
          </w:tcPr>
          <w:p w14:paraId="5DCA2842" w14:textId="77777777" w:rsidR="00781A06" w:rsidRPr="0077363E" w:rsidRDefault="00781A06" w:rsidP="00781A06">
            <w:pPr>
              <w:pStyle w:val="ListParagraph"/>
              <w:numPr>
                <w:ilvl w:val="0"/>
                <w:numId w:val="4"/>
              </w:numPr>
              <w:rPr>
                <w:sz w:val="22"/>
                <w:szCs w:val="22"/>
              </w:rPr>
            </w:pPr>
            <w:r w:rsidRPr="0077363E">
              <w:rPr>
                <w:sz w:val="22"/>
                <w:szCs w:val="22"/>
              </w:rPr>
              <w:t>Two reviewers independently assessed the risk of bias using the EPOC Risk of Bias 2.0 checklist in Covidence</w:t>
            </w:r>
          </w:p>
        </w:tc>
        <w:tc>
          <w:tcPr>
            <w:tcW w:w="3330" w:type="dxa"/>
          </w:tcPr>
          <w:p w14:paraId="2F774392" w14:textId="77777777" w:rsidR="00781A06" w:rsidRPr="0077363E" w:rsidRDefault="00781A06" w:rsidP="00D66677">
            <w:pPr>
              <w:rPr>
                <w:sz w:val="22"/>
                <w:szCs w:val="22"/>
              </w:rPr>
            </w:pPr>
            <w:r w:rsidRPr="0077363E">
              <w:rPr>
                <w:rFonts w:ascii="Calibri" w:eastAsia="Times New Roman" w:hAnsi="Calibri" w:cs="Times New Roman"/>
                <w:b/>
                <w:bCs/>
                <w:i/>
                <w:iCs/>
                <w:sz w:val="22"/>
                <w:szCs w:val="22"/>
              </w:rPr>
              <w:t>Same as a priori methods</w:t>
            </w:r>
          </w:p>
        </w:tc>
        <w:tc>
          <w:tcPr>
            <w:tcW w:w="0" w:type="auto"/>
          </w:tcPr>
          <w:p w14:paraId="0D67F87B" w14:textId="77777777" w:rsidR="00781A06" w:rsidRPr="0077363E" w:rsidRDefault="00781A06" w:rsidP="00D66677">
            <w:pPr>
              <w:rPr>
                <w:sz w:val="22"/>
                <w:szCs w:val="22"/>
              </w:rPr>
            </w:pPr>
          </w:p>
        </w:tc>
      </w:tr>
      <w:tr w:rsidR="00781A06" w:rsidRPr="0077363E" w14:paraId="06F10239" w14:textId="77777777" w:rsidTr="00D66677">
        <w:trPr>
          <w:trHeight w:val="824"/>
        </w:trPr>
        <w:tc>
          <w:tcPr>
            <w:tcW w:w="0" w:type="auto"/>
          </w:tcPr>
          <w:p w14:paraId="665E7A99" w14:textId="77777777" w:rsidR="00781A06" w:rsidRPr="0077363E" w:rsidRDefault="00781A06" w:rsidP="00D66677">
            <w:pPr>
              <w:rPr>
                <w:b/>
                <w:bCs/>
                <w:sz w:val="22"/>
                <w:szCs w:val="22"/>
              </w:rPr>
            </w:pPr>
            <w:r w:rsidRPr="0077363E">
              <w:rPr>
                <w:b/>
                <w:bCs/>
                <w:sz w:val="22"/>
                <w:szCs w:val="22"/>
              </w:rPr>
              <w:t>Data Analysis</w:t>
            </w:r>
          </w:p>
        </w:tc>
        <w:tc>
          <w:tcPr>
            <w:tcW w:w="4927" w:type="dxa"/>
          </w:tcPr>
          <w:p w14:paraId="51922842" w14:textId="77777777" w:rsidR="00781A06" w:rsidRPr="0077363E" w:rsidRDefault="00781A06" w:rsidP="00781A06">
            <w:pPr>
              <w:pStyle w:val="NormalWeb"/>
              <w:numPr>
                <w:ilvl w:val="0"/>
                <w:numId w:val="4"/>
              </w:numPr>
              <w:rPr>
                <w:rFonts w:ascii="Calibri" w:hAnsi="Calibri"/>
                <w:sz w:val="22"/>
                <w:szCs w:val="22"/>
              </w:rPr>
            </w:pPr>
            <w:r w:rsidRPr="0077363E">
              <w:rPr>
                <w:rFonts w:ascii="Calibri" w:hAnsi="Calibri"/>
                <w:sz w:val="22"/>
                <w:szCs w:val="22"/>
              </w:rPr>
              <w:t xml:space="preserve">Dichotomous and continuous outcome variables will be analysed separately. </w:t>
            </w:r>
          </w:p>
          <w:p w14:paraId="6F1F3C4C" w14:textId="77777777" w:rsidR="00781A06" w:rsidRPr="0077363E" w:rsidRDefault="00781A06" w:rsidP="00781A06">
            <w:pPr>
              <w:pStyle w:val="NormalWeb"/>
              <w:numPr>
                <w:ilvl w:val="0"/>
                <w:numId w:val="4"/>
              </w:numPr>
              <w:rPr>
                <w:rFonts w:ascii="Calibri" w:hAnsi="Calibri"/>
                <w:sz w:val="22"/>
                <w:szCs w:val="22"/>
              </w:rPr>
            </w:pPr>
            <w:r w:rsidRPr="0077363E">
              <w:rPr>
                <w:rFonts w:ascii="Calibri" w:hAnsi="Calibri"/>
                <w:sz w:val="22"/>
                <w:szCs w:val="22"/>
              </w:rPr>
              <w:t xml:space="preserve">Crude risk differences (CRD) will be calculated by comparing post intervention values for all of the outcomes. </w:t>
            </w:r>
          </w:p>
          <w:p w14:paraId="1C592506" w14:textId="77777777" w:rsidR="00781A06" w:rsidRPr="0077363E" w:rsidRDefault="00781A06" w:rsidP="00781A06">
            <w:pPr>
              <w:pStyle w:val="NormalWeb"/>
              <w:numPr>
                <w:ilvl w:val="0"/>
                <w:numId w:val="4"/>
              </w:numPr>
              <w:rPr>
                <w:rFonts w:ascii="Calibri" w:hAnsi="Calibri"/>
                <w:sz w:val="22"/>
                <w:szCs w:val="22"/>
              </w:rPr>
            </w:pPr>
            <w:r w:rsidRPr="0077363E">
              <w:rPr>
                <w:rFonts w:ascii="Calibri" w:hAnsi="Calibri"/>
                <w:sz w:val="22"/>
                <w:szCs w:val="22"/>
              </w:rPr>
              <w:t xml:space="preserve">Adjusted risk difference (ARD) values will be calculated as change between baseline and post-intervention values when the baseline values of both the control and intervention group are provided. </w:t>
            </w:r>
          </w:p>
          <w:p w14:paraId="22EE22EF" w14:textId="77777777" w:rsidR="00781A06" w:rsidRPr="0077363E" w:rsidRDefault="00781A06" w:rsidP="00781A06">
            <w:pPr>
              <w:pStyle w:val="NormalWeb"/>
              <w:numPr>
                <w:ilvl w:val="0"/>
                <w:numId w:val="4"/>
              </w:numPr>
              <w:rPr>
                <w:rFonts w:ascii="Calibri" w:hAnsi="Calibri"/>
                <w:sz w:val="22"/>
                <w:szCs w:val="22"/>
              </w:rPr>
            </w:pPr>
            <w:r w:rsidRPr="0077363E">
              <w:rPr>
                <w:rFonts w:ascii="Calibri" w:hAnsi="Calibri"/>
                <w:sz w:val="22"/>
                <w:szCs w:val="22"/>
              </w:rPr>
              <w:t xml:space="preserve">We will report effect sizes of the continuous outcomes (both CRD and ARD) as relative effects rather than absolute effects since we will adjust the change relative to baseline of the control group. </w:t>
            </w:r>
          </w:p>
          <w:p w14:paraId="24BEF6CE" w14:textId="77777777" w:rsidR="00781A06" w:rsidRPr="0077363E" w:rsidRDefault="00781A06" w:rsidP="00781A06">
            <w:pPr>
              <w:pStyle w:val="NormalWeb"/>
              <w:numPr>
                <w:ilvl w:val="0"/>
                <w:numId w:val="4"/>
              </w:numPr>
              <w:rPr>
                <w:rFonts w:ascii="Calibri" w:hAnsi="Calibri"/>
                <w:sz w:val="22"/>
                <w:szCs w:val="22"/>
              </w:rPr>
            </w:pPr>
            <w:r w:rsidRPr="0077363E">
              <w:rPr>
                <w:rFonts w:ascii="Calibri" w:hAnsi="Calibri"/>
                <w:sz w:val="22"/>
                <w:szCs w:val="22"/>
              </w:rPr>
              <w:t xml:space="preserve">Effect sizes of the dichotomous outcomes will not be adjusted for baseline and thus, reported as absolute effects. </w:t>
            </w:r>
          </w:p>
          <w:p w14:paraId="4D0EF75B" w14:textId="77777777" w:rsidR="00781A06" w:rsidRPr="0077363E" w:rsidRDefault="00781A06" w:rsidP="00781A06">
            <w:pPr>
              <w:pStyle w:val="NormalWeb"/>
              <w:numPr>
                <w:ilvl w:val="0"/>
                <w:numId w:val="4"/>
              </w:numPr>
              <w:rPr>
                <w:rFonts w:ascii="Calibri" w:hAnsi="Calibri"/>
                <w:sz w:val="22"/>
                <w:szCs w:val="22"/>
              </w:rPr>
            </w:pPr>
            <w:r w:rsidRPr="0077363E">
              <w:rPr>
                <w:rFonts w:ascii="Calibri" w:hAnsi="Calibri"/>
                <w:sz w:val="22"/>
                <w:szCs w:val="22"/>
              </w:rPr>
              <w:lastRenderedPageBreak/>
              <w:t xml:space="preserve">Each of the outcome categories of interest will be analyzed separately by calculating median effect size. </w:t>
            </w:r>
          </w:p>
          <w:p w14:paraId="52343294" w14:textId="77777777" w:rsidR="00781A06" w:rsidRPr="0077363E" w:rsidRDefault="00781A06" w:rsidP="00781A06">
            <w:pPr>
              <w:pStyle w:val="NormalWeb"/>
              <w:numPr>
                <w:ilvl w:val="0"/>
                <w:numId w:val="4"/>
              </w:numPr>
              <w:rPr>
                <w:rFonts w:ascii="Calibri" w:hAnsi="Calibri"/>
                <w:sz w:val="22"/>
                <w:szCs w:val="22"/>
              </w:rPr>
            </w:pPr>
            <w:r w:rsidRPr="0077363E">
              <w:rPr>
                <w:rFonts w:ascii="Calibri" w:hAnsi="Calibri"/>
                <w:sz w:val="22"/>
                <w:szCs w:val="22"/>
              </w:rPr>
              <w:t xml:space="preserve">A positive risk difference (RD) indicates that both the professional and patient health outcome demonstrated a greater improvement, used less resources, or incurred a lower cost in the intervention group than the control group. </w:t>
            </w:r>
          </w:p>
          <w:p w14:paraId="37852D69" w14:textId="77777777" w:rsidR="00781A06" w:rsidRPr="0077363E" w:rsidRDefault="00781A06" w:rsidP="00781A06">
            <w:pPr>
              <w:pStyle w:val="NormalWeb"/>
              <w:numPr>
                <w:ilvl w:val="0"/>
                <w:numId w:val="4"/>
              </w:numPr>
              <w:rPr>
                <w:rFonts w:ascii="Calibri" w:hAnsi="Calibri"/>
                <w:sz w:val="22"/>
                <w:szCs w:val="22"/>
              </w:rPr>
            </w:pPr>
            <w:r w:rsidRPr="0077363E">
              <w:rPr>
                <w:rFonts w:ascii="Calibri" w:hAnsi="Calibri"/>
                <w:sz w:val="22"/>
                <w:szCs w:val="22"/>
              </w:rPr>
              <w:t>All studies will be included regardless of level of risk of bias.</w:t>
            </w:r>
          </w:p>
          <w:p w14:paraId="0B2BE03A" w14:textId="77777777" w:rsidR="00781A06" w:rsidRPr="0077363E" w:rsidRDefault="00781A06" w:rsidP="00781A06">
            <w:pPr>
              <w:pStyle w:val="NormalWeb"/>
              <w:numPr>
                <w:ilvl w:val="0"/>
                <w:numId w:val="4"/>
              </w:numPr>
              <w:rPr>
                <w:rFonts w:ascii="Calibri" w:hAnsi="Calibri"/>
                <w:sz w:val="22"/>
                <w:szCs w:val="22"/>
              </w:rPr>
            </w:pPr>
            <w:r w:rsidRPr="0077363E">
              <w:rPr>
                <w:rFonts w:ascii="Calibri" w:hAnsi="Calibri"/>
                <w:sz w:val="22"/>
                <w:szCs w:val="22"/>
              </w:rPr>
              <w:t>For the dichotomous outcome variables, CRD will be calculated as the percentage post intervention differences between intervention and control group: (</w:t>
            </w:r>
            <w:r w:rsidRPr="0077363E">
              <w:rPr>
                <w:rFonts w:ascii="Calibri" w:hAnsi="Calibri"/>
                <w:b/>
                <w:bCs/>
                <w:sz w:val="22"/>
                <w:szCs w:val="22"/>
              </w:rPr>
              <w:t>Post</w:t>
            </w:r>
            <w:r w:rsidRPr="0077363E">
              <w:rPr>
                <w:rFonts w:ascii="Calibri" w:hAnsi="Calibri"/>
                <w:sz w:val="22"/>
                <w:szCs w:val="22"/>
                <w:vertAlign w:val="subscript"/>
              </w:rPr>
              <w:t>intervention</w:t>
            </w:r>
            <w:r w:rsidRPr="0077363E">
              <w:rPr>
                <w:rFonts w:ascii="Calibri" w:hAnsi="Calibri"/>
                <w:sz w:val="22"/>
                <w:szCs w:val="22"/>
              </w:rPr>
              <w:t xml:space="preserve"> – </w:t>
            </w:r>
            <w:r w:rsidRPr="0077363E">
              <w:rPr>
                <w:rFonts w:ascii="Calibri" w:hAnsi="Calibri"/>
                <w:b/>
                <w:bCs/>
                <w:sz w:val="22"/>
                <w:szCs w:val="22"/>
              </w:rPr>
              <w:t xml:space="preserve">Post </w:t>
            </w:r>
            <w:r w:rsidRPr="0077363E">
              <w:rPr>
                <w:rFonts w:ascii="Calibri" w:hAnsi="Calibri"/>
                <w:sz w:val="22"/>
                <w:szCs w:val="22"/>
                <w:vertAlign w:val="subscript"/>
              </w:rPr>
              <w:t>control</w:t>
            </w:r>
            <w:r w:rsidRPr="0077363E">
              <w:rPr>
                <w:rFonts w:ascii="Calibri" w:hAnsi="Calibri"/>
                <w:sz w:val="22"/>
                <w:szCs w:val="22"/>
              </w:rPr>
              <w:t>)</w:t>
            </w:r>
          </w:p>
          <w:p w14:paraId="2D45C4B3" w14:textId="77777777" w:rsidR="00781A06" w:rsidRPr="0077363E" w:rsidRDefault="00781A06" w:rsidP="00781A06">
            <w:pPr>
              <w:pStyle w:val="NormalWeb"/>
              <w:numPr>
                <w:ilvl w:val="0"/>
                <w:numId w:val="4"/>
              </w:numPr>
              <w:rPr>
                <w:rFonts w:ascii="Calibri" w:hAnsi="Calibri"/>
                <w:sz w:val="22"/>
                <w:szCs w:val="22"/>
              </w:rPr>
            </w:pPr>
            <w:r w:rsidRPr="0077363E">
              <w:rPr>
                <w:rFonts w:ascii="Calibri" w:hAnsi="Calibri"/>
                <w:sz w:val="22"/>
                <w:szCs w:val="22"/>
              </w:rPr>
              <w:t>We will calculate the ARD as the percentage difference in post intervention differences in mean and the baseline difference in mean: (</w:t>
            </w:r>
            <w:r w:rsidRPr="0077363E">
              <w:rPr>
                <w:rFonts w:ascii="Calibri" w:hAnsi="Calibri"/>
                <w:b/>
                <w:bCs/>
                <w:sz w:val="22"/>
                <w:szCs w:val="22"/>
              </w:rPr>
              <w:t>Post</w:t>
            </w:r>
            <w:r w:rsidRPr="0077363E">
              <w:rPr>
                <w:rFonts w:ascii="Calibri" w:hAnsi="Calibri"/>
                <w:sz w:val="22"/>
                <w:szCs w:val="22"/>
                <w:vertAlign w:val="subscript"/>
              </w:rPr>
              <w:t>intervention</w:t>
            </w:r>
            <w:r w:rsidRPr="0077363E">
              <w:rPr>
                <w:rFonts w:ascii="Calibri" w:hAnsi="Calibri"/>
                <w:sz w:val="22"/>
                <w:szCs w:val="22"/>
              </w:rPr>
              <w:t xml:space="preserve"> – </w:t>
            </w:r>
            <w:r w:rsidRPr="0077363E">
              <w:rPr>
                <w:rFonts w:ascii="Calibri" w:hAnsi="Calibri"/>
                <w:b/>
                <w:bCs/>
                <w:sz w:val="22"/>
                <w:szCs w:val="22"/>
              </w:rPr>
              <w:t xml:space="preserve">Post </w:t>
            </w:r>
            <w:r w:rsidRPr="0077363E">
              <w:rPr>
                <w:rFonts w:ascii="Calibri" w:hAnsi="Calibri"/>
                <w:sz w:val="22"/>
                <w:szCs w:val="22"/>
                <w:vertAlign w:val="subscript"/>
              </w:rPr>
              <w:t>control</w:t>
            </w:r>
            <w:r w:rsidRPr="0077363E">
              <w:rPr>
                <w:rFonts w:ascii="Calibri" w:hAnsi="Calibri"/>
                <w:sz w:val="22"/>
                <w:szCs w:val="22"/>
              </w:rPr>
              <w:t>) – (</w:t>
            </w:r>
            <w:proofErr w:type="spellStart"/>
            <w:r w:rsidRPr="0077363E">
              <w:rPr>
                <w:rFonts w:ascii="Calibri" w:hAnsi="Calibri"/>
                <w:b/>
                <w:bCs/>
                <w:sz w:val="22"/>
                <w:szCs w:val="22"/>
              </w:rPr>
              <w:t>Baseline</w:t>
            </w:r>
            <w:r w:rsidRPr="0077363E">
              <w:rPr>
                <w:rFonts w:ascii="Calibri" w:hAnsi="Calibri"/>
                <w:sz w:val="22"/>
                <w:szCs w:val="22"/>
                <w:vertAlign w:val="subscript"/>
              </w:rPr>
              <w:t>intervention</w:t>
            </w:r>
            <w:proofErr w:type="spellEnd"/>
            <w:r w:rsidRPr="0077363E">
              <w:rPr>
                <w:rFonts w:ascii="Calibri" w:hAnsi="Calibri"/>
                <w:sz w:val="22"/>
                <w:szCs w:val="22"/>
              </w:rPr>
              <w:t xml:space="preserve"> – </w:t>
            </w:r>
            <w:r w:rsidRPr="0077363E">
              <w:rPr>
                <w:rFonts w:ascii="Calibri" w:hAnsi="Calibri"/>
                <w:b/>
                <w:bCs/>
                <w:sz w:val="22"/>
                <w:szCs w:val="22"/>
              </w:rPr>
              <w:t xml:space="preserve">Baseline </w:t>
            </w:r>
            <w:r w:rsidRPr="0077363E">
              <w:rPr>
                <w:rFonts w:ascii="Calibri" w:hAnsi="Calibri"/>
                <w:sz w:val="22"/>
                <w:szCs w:val="22"/>
                <w:vertAlign w:val="subscript"/>
              </w:rPr>
              <w:t>control</w:t>
            </w:r>
            <w:r w:rsidRPr="0077363E">
              <w:rPr>
                <w:rFonts w:ascii="Calibri" w:hAnsi="Calibri"/>
                <w:sz w:val="22"/>
                <w:szCs w:val="22"/>
              </w:rPr>
              <w:t>)</w:t>
            </w:r>
          </w:p>
          <w:p w14:paraId="6897C045" w14:textId="77777777" w:rsidR="00781A06" w:rsidRPr="0077363E" w:rsidRDefault="00781A06" w:rsidP="00781A06">
            <w:pPr>
              <w:pStyle w:val="NormalWeb"/>
              <w:numPr>
                <w:ilvl w:val="0"/>
                <w:numId w:val="4"/>
              </w:numPr>
              <w:rPr>
                <w:rFonts w:ascii="Calibri" w:hAnsi="Calibri"/>
                <w:sz w:val="22"/>
                <w:szCs w:val="22"/>
              </w:rPr>
            </w:pPr>
            <w:r w:rsidRPr="0077363E">
              <w:rPr>
                <w:rFonts w:ascii="Calibri" w:hAnsi="Calibri"/>
                <w:sz w:val="22"/>
                <w:szCs w:val="22"/>
              </w:rPr>
              <w:t>For continuous outcomes, we will calculate the CRD as the difference between the mean of intervention and control group after the intervention divided by the post control group mean: (</w:t>
            </w:r>
            <w:r w:rsidRPr="0077363E">
              <w:rPr>
                <w:rFonts w:ascii="Calibri" w:hAnsi="Calibri"/>
                <w:b/>
                <w:bCs/>
                <w:sz w:val="22"/>
                <w:szCs w:val="22"/>
              </w:rPr>
              <w:t>Post</w:t>
            </w:r>
            <w:r w:rsidRPr="0077363E">
              <w:rPr>
                <w:rFonts w:ascii="Calibri" w:hAnsi="Calibri"/>
                <w:sz w:val="22"/>
                <w:szCs w:val="22"/>
                <w:vertAlign w:val="subscript"/>
              </w:rPr>
              <w:t>intervention</w:t>
            </w:r>
            <w:r w:rsidRPr="0077363E">
              <w:rPr>
                <w:rFonts w:ascii="Calibri" w:hAnsi="Calibri"/>
                <w:sz w:val="22"/>
                <w:szCs w:val="22"/>
              </w:rPr>
              <w:t xml:space="preserve"> – </w:t>
            </w:r>
            <w:r w:rsidRPr="0077363E">
              <w:rPr>
                <w:rFonts w:ascii="Calibri" w:hAnsi="Calibri"/>
                <w:b/>
                <w:bCs/>
                <w:sz w:val="22"/>
                <w:szCs w:val="22"/>
              </w:rPr>
              <w:t xml:space="preserve">Post </w:t>
            </w:r>
            <w:r w:rsidRPr="0077363E">
              <w:rPr>
                <w:rFonts w:ascii="Calibri" w:hAnsi="Calibri"/>
                <w:sz w:val="22"/>
                <w:szCs w:val="22"/>
                <w:vertAlign w:val="subscript"/>
              </w:rPr>
              <w:t>control</w:t>
            </w:r>
            <w:r w:rsidRPr="0077363E">
              <w:rPr>
                <w:rFonts w:ascii="Calibri" w:hAnsi="Calibri"/>
                <w:sz w:val="22"/>
                <w:szCs w:val="22"/>
              </w:rPr>
              <w:t xml:space="preserve">) ÷ </w:t>
            </w:r>
            <w:proofErr w:type="spellStart"/>
            <w:r w:rsidRPr="0077363E">
              <w:rPr>
                <w:rFonts w:ascii="Calibri" w:hAnsi="Calibri"/>
                <w:b/>
                <w:bCs/>
                <w:sz w:val="22"/>
                <w:szCs w:val="22"/>
              </w:rPr>
              <w:t>Post</w:t>
            </w:r>
            <w:r w:rsidRPr="0077363E">
              <w:rPr>
                <w:rFonts w:ascii="Calibri" w:hAnsi="Calibri"/>
                <w:sz w:val="22"/>
                <w:szCs w:val="22"/>
                <w:vertAlign w:val="subscript"/>
              </w:rPr>
              <w:t>control</w:t>
            </w:r>
            <w:proofErr w:type="spellEnd"/>
          </w:p>
          <w:p w14:paraId="20B80E94" w14:textId="77777777" w:rsidR="00781A06" w:rsidRPr="0077363E" w:rsidRDefault="00781A06" w:rsidP="00781A06">
            <w:pPr>
              <w:pStyle w:val="NormalWeb"/>
              <w:numPr>
                <w:ilvl w:val="0"/>
                <w:numId w:val="4"/>
              </w:numPr>
              <w:rPr>
                <w:rFonts w:ascii="Calibri" w:hAnsi="Calibri"/>
                <w:sz w:val="22"/>
                <w:szCs w:val="22"/>
              </w:rPr>
            </w:pPr>
            <w:r w:rsidRPr="0077363E">
              <w:rPr>
                <w:rFonts w:ascii="Calibri" w:hAnsi="Calibri"/>
                <w:sz w:val="22"/>
                <w:szCs w:val="22"/>
              </w:rPr>
              <w:t>We will calculate the ARD as the post intervention difference in means minus the baseline difference in means and divide that by the baseline control group mean: [(</w:t>
            </w:r>
            <w:r w:rsidRPr="0077363E">
              <w:rPr>
                <w:rFonts w:ascii="Calibri" w:hAnsi="Calibri"/>
                <w:b/>
                <w:bCs/>
                <w:sz w:val="22"/>
                <w:szCs w:val="22"/>
              </w:rPr>
              <w:t>Post</w:t>
            </w:r>
            <w:r w:rsidRPr="0077363E">
              <w:rPr>
                <w:rFonts w:ascii="Calibri" w:hAnsi="Calibri"/>
                <w:sz w:val="22"/>
                <w:szCs w:val="22"/>
                <w:vertAlign w:val="subscript"/>
              </w:rPr>
              <w:t>intervention</w:t>
            </w:r>
            <w:r w:rsidRPr="0077363E">
              <w:rPr>
                <w:rFonts w:ascii="Calibri" w:hAnsi="Calibri"/>
                <w:sz w:val="22"/>
                <w:szCs w:val="22"/>
              </w:rPr>
              <w:t xml:space="preserve"> – </w:t>
            </w:r>
            <w:r w:rsidRPr="0077363E">
              <w:rPr>
                <w:rFonts w:ascii="Calibri" w:hAnsi="Calibri"/>
                <w:b/>
                <w:bCs/>
                <w:sz w:val="22"/>
                <w:szCs w:val="22"/>
              </w:rPr>
              <w:t xml:space="preserve">Post </w:t>
            </w:r>
            <w:r w:rsidRPr="0077363E">
              <w:rPr>
                <w:rFonts w:ascii="Calibri" w:hAnsi="Calibri"/>
                <w:sz w:val="22"/>
                <w:szCs w:val="22"/>
                <w:vertAlign w:val="subscript"/>
              </w:rPr>
              <w:t>control</w:t>
            </w:r>
            <w:r w:rsidRPr="0077363E">
              <w:rPr>
                <w:rFonts w:ascii="Calibri" w:hAnsi="Calibri"/>
                <w:sz w:val="22"/>
                <w:szCs w:val="22"/>
              </w:rPr>
              <w:t>) – (</w:t>
            </w:r>
            <w:proofErr w:type="spellStart"/>
            <w:r w:rsidRPr="0077363E">
              <w:rPr>
                <w:rFonts w:ascii="Calibri" w:hAnsi="Calibri"/>
                <w:b/>
                <w:bCs/>
                <w:sz w:val="22"/>
                <w:szCs w:val="22"/>
              </w:rPr>
              <w:t>Baseline</w:t>
            </w:r>
            <w:r w:rsidRPr="0077363E">
              <w:rPr>
                <w:rFonts w:ascii="Calibri" w:hAnsi="Calibri"/>
                <w:sz w:val="22"/>
                <w:szCs w:val="22"/>
                <w:vertAlign w:val="subscript"/>
              </w:rPr>
              <w:t>intervention</w:t>
            </w:r>
            <w:proofErr w:type="spellEnd"/>
            <w:r w:rsidRPr="0077363E">
              <w:rPr>
                <w:rFonts w:ascii="Calibri" w:hAnsi="Calibri"/>
                <w:sz w:val="22"/>
                <w:szCs w:val="22"/>
              </w:rPr>
              <w:t xml:space="preserve"> – </w:t>
            </w:r>
            <w:r w:rsidRPr="0077363E">
              <w:rPr>
                <w:rFonts w:ascii="Calibri" w:hAnsi="Calibri"/>
                <w:b/>
                <w:bCs/>
                <w:sz w:val="22"/>
                <w:szCs w:val="22"/>
              </w:rPr>
              <w:t xml:space="preserve">Baseline </w:t>
            </w:r>
            <w:r w:rsidRPr="0077363E">
              <w:rPr>
                <w:rFonts w:ascii="Calibri" w:hAnsi="Calibri"/>
                <w:sz w:val="22"/>
                <w:szCs w:val="22"/>
                <w:vertAlign w:val="subscript"/>
              </w:rPr>
              <w:t>control</w:t>
            </w:r>
            <w:r w:rsidRPr="0077363E">
              <w:rPr>
                <w:rFonts w:ascii="Calibri" w:hAnsi="Calibri"/>
                <w:sz w:val="22"/>
                <w:szCs w:val="22"/>
              </w:rPr>
              <w:t xml:space="preserve">)] ÷ </w:t>
            </w:r>
            <w:proofErr w:type="spellStart"/>
            <w:r w:rsidRPr="0077363E">
              <w:rPr>
                <w:rFonts w:ascii="Calibri" w:hAnsi="Calibri"/>
                <w:b/>
                <w:bCs/>
                <w:sz w:val="22"/>
                <w:szCs w:val="22"/>
              </w:rPr>
              <w:t>Baseline</w:t>
            </w:r>
            <w:r w:rsidRPr="0077363E">
              <w:rPr>
                <w:rFonts w:ascii="Calibri" w:hAnsi="Calibri"/>
                <w:sz w:val="22"/>
                <w:szCs w:val="22"/>
                <w:vertAlign w:val="subscript"/>
              </w:rPr>
              <w:t>control</w:t>
            </w:r>
            <w:proofErr w:type="spellEnd"/>
          </w:p>
        </w:tc>
        <w:tc>
          <w:tcPr>
            <w:tcW w:w="3330" w:type="dxa"/>
          </w:tcPr>
          <w:p w14:paraId="501412BD" w14:textId="77777777" w:rsidR="00781A06" w:rsidRPr="0077363E" w:rsidRDefault="00781A06" w:rsidP="00781A06">
            <w:pPr>
              <w:pStyle w:val="ListParagraph"/>
              <w:numPr>
                <w:ilvl w:val="0"/>
                <w:numId w:val="4"/>
              </w:numPr>
              <w:rPr>
                <w:sz w:val="22"/>
                <w:szCs w:val="22"/>
              </w:rPr>
            </w:pPr>
            <w:r w:rsidRPr="0077363E">
              <w:rPr>
                <w:sz w:val="22"/>
                <w:szCs w:val="22"/>
              </w:rPr>
              <w:lastRenderedPageBreak/>
              <w:t>A narrative synthesis to describe implementation strategies and their effectiveness in achieving outcomes for guideline implementation in nursing</w:t>
            </w:r>
          </w:p>
          <w:p w14:paraId="2D1FC7BC" w14:textId="77777777" w:rsidR="00781A06" w:rsidRPr="0077363E" w:rsidRDefault="00781A06" w:rsidP="00781A06">
            <w:pPr>
              <w:pStyle w:val="ListParagraph"/>
              <w:numPr>
                <w:ilvl w:val="0"/>
                <w:numId w:val="4"/>
              </w:numPr>
              <w:rPr>
                <w:sz w:val="22"/>
                <w:szCs w:val="22"/>
              </w:rPr>
            </w:pPr>
            <w:r w:rsidRPr="0077363E">
              <w:rPr>
                <w:sz w:val="22"/>
                <w:szCs w:val="22"/>
              </w:rPr>
              <w:t xml:space="preserve">Descriptive statistics were used to generate mean number of implementation strategies used in each category. </w:t>
            </w:r>
          </w:p>
          <w:p w14:paraId="373E406E" w14:textId="77777777" w:rsidR="00781A06" w:rsidRPr="0077363E" w:rsidRDefault="00781A06" w:rsidP="00781A06">
            <w:pPr>
              <w:pStyle w:val="ListParagraph"/>
              <w:numPr>
                <w:ilvl w:val="0"/>
                <w:numId w:val="4"/>
              </w:numPr>
              <w:rPr>
                <w:sz w:val="22"/>
                <w:szCs w:val="22"/>
              </w:rPr>
            </w:pPr>
            <w:r w:rsidRPr="0077363E">
              <w:rPr>
                <w:sz w:val="22"/>
                <w:szCs w:val="22"/>
              </w:rPr>
              <w:t xml:space="preserve">The frequency of each EPOC taxonomy category was reported. </w:t>
            </w:r>
          </w:p>
          <w:p w14:paraId="6A3A7A39" w14:textId="77777777" w:rsidR="00781A06" w:rsidRPr="0077363E" w:rsidRDefault="00781A06" w:rsidP="00781A06">
            <w:pPr>
              <w:pStyle w:val="ListParagraph"/>
              <w:numPr>
                <w:ilvl w:val="0"/>
                <w:numId w:val="4"/>
              </w:numPr>
              <w:rPr>
                <w:sz w:val="22"/>
                <w:szCs w:val="22"/>
              </w:rPr>
            </w:pPr>
            <w:r w:rsidRPr="0077363E">
              <w:rPr>
                <w:sz w:val="22"/>
                <w:szCs w:val="22"/>
              </w:rPr>
              <w:t xml:space="preserve">Separate comparisons were made for categories of implementation strategies and compared to grouped study results to determine whether </w:t>
            </w:r>
            <w:r w:rsidRPr="0077363E">
              <w:rPr>
                <w:sz w:val="22"/>
                <w:szCs w:val="22"/>
              </w:rPr>
              <w:lastRenderedPageBreak/>
              <w:t xml:space="preserve">they were related to positive and significant improvement in professional knowledge outcomes, professional practice outcomes, patient health outcomes, resource use outcomes, and expenditure outcomes. </w:t>
            </w:r>
          </w:p>
          <w:p w14:paraId="606FDABC" w14:textId="77777777" w:rsidR="00781A06" w:rsidRPr="0077363E" w:rsidRDefault="00781A06" w:rsidP="00D66677">
            <w:pPr>
              <w:rPr>
                <w:sz w:val="22"/>
                <w:szCs w:val="22"/>
              </w:rPr>
            </w:pPr>
          </w:p>
        </w:tc>
        <w:tc>
          <w:tcPr>
            <w:tcW w:w="0" w:type="auto"/>
            <w:shd w:val="clear" w:color="auto" w:fill="auto"/>
          </w:tcPr>
          <w:p w14:paraId="3E274C11" w14:textId="77777777" w:rsidR="00781A06" w:rsidRPr="0077363E" w:rsidRDefault="00781A06" w:rsidP="00781A06">
            <w:pPr>
              <w:pStyle w:val="ListParagraph"/>
              <w:numPr>
                <w:ilvl w:val="0"/>
                <w:numId w:val="4"/>
              </w:numPr>
              <w:rPr>
                <w:rFonts w:ascii="Calibri" w:hAnsi="Calibri" w:cs="Calibri"/>
                <w:sz w:val="22"/>
                <w:szCs w:val="22"/>
              </w:rPr>
            </w:pPr>
            <w:r w:rsidRPr="0077363E">
              <w:rPr>
                <w:rFonts w:ascii="Calibri" w:hAnsi="Calibri" w:cs="Calibri"/>
                <w:sz w:val="22"/>
                <w:szCs w:val="22"/>
              </w:rPr>
              <w:lastRenderedPageBreak/>
              <w:t>The a priori methods generated a heterogeneous set of papers with a wide variety of implementation strategies and outcome measures.</w:t>
            </w:r>
          </w:p>
          <w:p w14:paraId="049E05FD" w14:textId="77777777" w:rsidR="00781A06" w:rsidRPr="0077363E" w:rsidRDefault="00781A06" w:rsidP="00781A06">
            <w:pPr>
              <w:pStyle w:val="ListParagraph"/>
              <w:numPr>
                <w:ilvl w:val="0"/>
                <w:numId w:val="4"/>
              </w:numPr>
              <w:rPr>
                <w:rFonts w:ascii="Calibri" w:hAnsi="Calibri" w:cs="Calibri"/>
                <w:sz w:val="22"/>
                <w:szCs w:val="22"/>
              </w:rPr>
            </w:pPr>
            <w:r w:rsidRPr="0077363E">
              <w:rPr>
                <w:rFonts w:ascii="Calibri" w:hAnsi="Calibri" w:cs="Calibri"/>
                <w:sz w:val="22"/>
                <w:szCs w:val="22"/>
              </w:rPr>
              <w:t xml:space="preserve"> It was challenging to make sense of the data in a useful way as planned to move the state of the science forward.</w:t>
            </w:r>
            <w:r w:rsidRPr="0077363E">
              <w:rPr>
                <w:rFonts w:ascii="Calibri" w:hAnsi="Calibri" w:cs="Calibri"/>
                <w:b/>
                <w:bCs/>
                <w:sz w:val="22"/>
                <w:szCs w:val="22"/>
              </w:rPr>
              <w:t xml:space="preserve"> </w:t>
            </w:r>
          </w:p>
          <w:p w14:paraId="3D587E45" w14:textId="77777777" w:rsidR="00781A06" w:rsidRPr="0077363E" w:rsidRDefault="00781A06" w:rsidP="00781A06">
            <w:pPr>
              <w:pStyle w:val="ListParagraph"/>
              <w:numPr>
                <w:ilvl w:val="0"/>
                <w:numId w:val="4"/>
              </w:numPr>
              <w:rPr>
                <w:rFonts w:ascii="Calibri" w:hAnsi="Calibri" w:cs="Calibri"/>
                <w:sz w:val="22"/>
                <w:szCs w:val="22"/>
              </w:rPr>
            </w:pPr>
            <w:r w:rsidRPr="0077363E">
              <w:rPr>
                <w:rFonts w:ascii="Calibri" w:hAnsi="Calibri" w:cs="Calibri"/>
                <w:sz w:val="22"/>
                <w:szCs w:val="22"/>
              </w:rPr>
              <w:t xml:space="preserve">As such, we made a decision to conduct a narrative review of the included papers with a different lens to describe </w:t>
            </w:r>
            <w:r w:rsidRPr="0077363E">
              <w:rPr>
                <w:rFonts w:ascii="Calibri" w:hAnsi="Calibri" w:cs="Calibri"/>
                <w:sz w:val="22"/>
                <w:szCs w:val="22"/>
              </w:rPr>
              <w:lastRenderedPageBreak/>
              <w:t>the findings in a more useful way.</w:t>
            </w:r>
          </w:p>
        </w:tc>
      </w:tr>
    </w:tbl>
    <w:p w14:paraId="66EF006C" w14:textId="77777777" w:rsidR="00781A06" w:rsidRPr="00781A06" w:rsidRDefault="00781A06" w:rsidP="00781A06">
      <w:pPr>
        <w:tabs>
          <w:tab w:val="left" w:pos="5851"/>
        </w:tabs>
        <w:rPr>
          <w:rFonts w:ascii="Calibri" w:hAnsi="Calibri" w:cs="Calibri"/>
          <w:b/>
          <w:bCs/>
        </w:rPr>
        <w:sectPr w:rsidR="00781A06" w:rsidRPr="00781A06" w:rsidSect="001643E5">
          <w:pgSz w:w="15840" w:h="12240" w:orient="landscape"/>
          <w:pgMar w:top="1440" w:right="1440" w:bottom="1440" w:left="1440" w:header="708" w:footer="708" w:gutter="0"/>
          <w:cols w:space="708"/>
          <w:docGrid w:linePitch="360"/>
        </w:sectPr>
      </w:pPr>
    </w:p>
    <w:p w14:paraId="6AC15F46" w14:textId="144B367E" w:rsidR="00201462" w:rsidRDefault="00781A06"/>
    <w:sectPr w:rsidR="00201462" w:rsidSect="001876C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Ü&gt; ˛">
    <w:altName w:val="Calibri"/>
    <w:panose1 w:val="020B0604020202020204"/>
    <w:charset w:val="4D"/>
    <w:family w:val="auto"/>
    <w:notTrueType/>
    <w:pitch w:val="default"/>
    <w:sig w:usb0="00000003" w:usb1="00000000" w:usb2="00000000" w:usb3="00000000" w:csb0="00000001" w:csb1="00000000"/>
  </w:font>
  <w:font w:name="Calibri Light">
    <w:altName w:val="Calibr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C82F07"/>
    <w:multiLevelType w:val="hybridMultilevel"/>
    <w:tmpl w:val="CF0A4B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ACD24CB"/>
    <w:multiLevelType w:val="hybridMultilevel"/>
    <w:tmpl w:val="A15CD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1E6D77"/>
    <w:multiLevelType w:val="hybridMultilevel"/>
    <w:tmpl w:val="DACEB7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A800887"/>
    <w:multiLevelType w:val="hybridMultilevel"/>
    <w:tmpl w:val="89808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4B3BC1"/>
    <w:multiLevelType w:val="hybridMultilevel"/>
    <w:tmpl w:val="8DBE53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06"/>
    <w:rsid w:val="001876CC"/>
    <w:rsid w:val="00781A06"/>
    <w:rsid w:val="00C24462"/>
    <w:rsid w:val="00D841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0C5A3CB"/>
  <w15:chartTrackingRefBased/>
  <w15:docId w15:val="{95F3DD4B-DD8C-6D4B-A385-4B21F5CA9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A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A06"/>
    <w:pPr>
      <w:ind w:left="720"/>
      <w:contextualSpacing/>
    </w:pPr>
  </w:style>
  <w:style w:type="table" w:styleId="TableGrid">
    <w:name w:val="Table Grid"/>
    <w:basedOn w:val="TableNormal"/>
    <w:rsid w:val="00781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781A0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913</Words>
  <Characters>5756</Characters>
  <Application>Microsoft Office Word</Application>
  <DocSecurity>0</DocSecurity>
  <Lines>79</Lines>
  <Paragraphs>7</Paragraphs>
  <ScaleCrop>false</ScaleCrop>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Cassidy</dc:creator>
  <cp:keywords/>
  <dc:description/>
  <cp:lastModifiedBy>Christine Cassidy</cp:lastModifiedBy>
  <cp:revision>1</cp:revision>
  <dcterms:created xsi:type="dcterms:W3CDTF">2021-05-17T18:04:00Z</dcterms:created>
  <dcterms:modified xsi:type="dcterms:W3CDTF">2021-05-17T18:12:00Z</dcterms:modified>
</cp:coreProperties>
</file>