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6EF35" w14:textId="5185F3B7" w:rsidR="005F1907" w:rsidRDefault="008F016D" w:rsidP="005F1907">
      <w:pPr>
        <w:pStyle w:val="Title"/>
        <w:rPr>
          <w:rFonts w:eastAsia="Arial"/>
        </w:rPr>
      </w:pPr>
      <w:r>
        <w:rPr>
          <w:rFonts w:eastAsia="Arial"/>
        </w:rPr>
        <w:t>Additional file 1</w:t>
      </w:r>
    </w:p>
    <w:p w14:paraId="3B9D6541" w14:textId="77777777" w:rsidR="005F1907" w:rsidRDefault="005F1907" w:rsidP="005F1907">
      <w:pPr>
        <w:widowControl w:val="0"/>
        <w:pBdr>
          <w:top w:val="nil"/>
          <w:left w:val="nil"/>
          <w:bottom w:val="nil"/>
          <w:right w:val="nil"/>
          <w:between w:val="nil"/>
        </w:pBdr>
        <w:rPr>
          <w:rFonts w:ascii="Arial" w:eastAsia="Arial" w:hAnsi="Arial" w:cs="Arial"/>
          <w:b/>
          <w:color w:val="000000"/>
          <w:sz w:val="22"/>
          <w:szCs w:val="22"/>
        </w:rPr>
      </w:pPr>
    </w:p>
    <w:p w14:paraId="0C9305D7" w14:textId="77777777" w:rsidR="00F20271" w:rsidRPr="00442A52" w:rsidRDefault="00F20271" w:rsidP="00F20271">
      <w:pPr>
        <w:widowControl w:val="0"/>
        <w:pBdr>
          <w:top w:val="nil"/>
          <w:left w:val="nil"/>
          <w:bottom w:val="nil"/>
          <w:right w:val="nil"/>
          <w:between w:val="nil"/>
        </w:pBdr>
        <w:rPr>
          <w:rFonts w:ascii="Arial" w:eastAsia="Arial" w:hAnsi="Arial" w:cs="Arial"/>
          <w:sz w:val="22"/>
          <w:szCs w:val="22"/>
        </w:rPr>
      </w:pPr>
      <w:r w:rsidRPr="00442A52">
        <w:rPr>
          <w:rFonts w:ascii="Arial" w:eastAsia="Arial" w:hAnsi="Arial" w:cs="Arial"/>
          <w:bCs/>
          <w:noProof/>
          <w:color w:val="000000"/>
          <w:sz w:val="22"/>
          <w:szCs w:val="22"/>
          <w:lang w:val="en-PH" w:eastAsia="en-PH"/>
        </w:rPr>
        <w:drawing>
          <wp:inline distT="0" distB="0" distL="0" distR="0" wp14:anchorId="4B25C9E9" wp14:editId="2BAF0895">
            <wp:extent cx="5991225" cy="362316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5102" cy="3643653"/>
                    </a:xfrm>
                    <a:prstGeom prst="rect">
                      <a:avLst/>
                    </a:prstGeom>
                    <a:noFill/>
                  </pic:spPr>
                </pic:pic>
              </a:graphicData>
            </a:graphic>
          </wp:inline>
        </w:drawing>
      </w:r>
    </w:p>
    <w:p w14:paraId="7F53C126" w14:textId="77777777" w:rsidR="00F20271" w:rsidRPr="00442A52" w:rsidRDefault="00F20271" w:rsidP="00F20271">
      <w:pPr>
        <w:widowControl w:val="0"/>
        <w:pBdr>
          <w:top w:val="nil"/>
          <w:left w:val="nil"/>
          <w:bottom w:val="nil"/>
          <w:right w:val="nil"/>
          <w:between w:val="nil"/>
        </w:pBdr>
        <w:rPr>
          <w:rFonts w:ascii="Arial" w:eastAsia="Arial" w:hAnsi="Arial" w:cs="Arial"/>
          <w:bCs/>
          <w:color w:val="000000"/>
          <w:sz w:val="22"/>
          <w:szCs w:val="22"/>
        </w:rPr>
      </w:pPr>
      <w:bookmarkStart w:id="0" w:name="SupplementalFigure1"/>
      <w:r>
        <w:rPr>
          <w:rFonts w:ascii="Arial" w:eastAsia="Arial" w:hAnsi="Arial" w:cs="Arial"/>
          <w:b/>
          <w:color w:val="000000"/>
          <w:sz w:val="22"/>
          <w:szCs w:val="22"/>
        </w:rPr>
        <w:t>Figure S1</w:t>
      </w:r>
      <w:r w:rsidRPr="00442A52">
        <w:rPr>
          <w:rFonts w:ascii="Arial" w:eastAsia="Arial" w:hAnsi="Arial" w:cs="Arial"/>
          <w:bCs/>
          <w:color w:val="000000"/>
          <w:sz w:val="22"/>
          <w:szCs w:val="22"/>
        </w:rPr>
        <w:t>. RESHAPE study objectives and associated hypotheses</w:t>
      </w:r>
      <w:bookmarkEnd w:id="0"/>
      <w:r w:rsidRPr="00442A52">
        <w:rPr>
          <w:rFonts w:ascii="Arial" w:eastAsia="Arial" w:hAnsi="Arial" w:cs="Arial"/>
          <w:bCs/>
          <w:color w:val="000000"/>
          <w:sz w:val="22"/>
          <w:szCs w:val="22"/>
        </w:rPr>
        <w:t xml:space="preserve">. </w:t>
      </w:r>
    </w:p>
    <w:p w14:paraId="7F282875" w14:textId="77777777" w:rsidR="00F20271" w:rsidRPr="00442A52" w:rsidRDefault="00F20271" w:rsidP="00F20271">
      <w:pPr>
        <w:widowControl w:val="0"/>
        <w:pBdr>
          <w:top w:val="nil"/>
          <w:left w:val="nil"/>
          <w:bottom w:val="nil"/>
          <w:right w:val="nil"/>
          <w:between w:val="nil"/>
        </w:pBdr>
        <w:rPr>
          <w:rFonts w:ascii="Arial" w:eastAsia="Arial" w:hAnsi="Arial" w:cs="Arial"/>
          <w:bCs/>
          <w:color w:val="000000"/>
          <w:sz w:val="22"/>
          <w:szCs w:val="22"/>
        </w:rPr>
      </w:pPr>
    </w:p>
    <w:p w14:paraId="42A505B1" w14:textId="77777777" w:rsidR="00F20271" w:rsidRPr="00442A52" w:rsidRDefault="00F20271" w:rsidP="00F20271"/>
    <w:p w14:paraId="4FD83470" w14:textId="499E2B5A" w:rsidR="00F20271" w:rsidRPr="00442A52" w:rsidRDefault="009B2CDE" w:rsidP="00F20271">
      <w:pPr>
        <w:widowControl w:val="0"/>
        <w:pBdr>
          <w:top w:val="nil"/>
          <w:left w:val="nil"/>
          <w:bottom w:val="nil"/>
          <w:right w:val="nil"/>
          <w:between w:val="nil"/>
        </w:pBdr>
        <w:rPr>
          <w:rFonts w:ascii="Arial" w:eastAsia="Arial" w:hAnsi="Arial" w:cs="Arial"/>
          <w:sz w:val="22"/>
          <w:szCs w:val="22"/>
        </w:rPr>
      </w:pPr>
      <w:r>
        <w:rPr>
          <w:rFonts w:ascii="Arial" w:eastAsia="Arial" w:hAnsi="Arial" w:cs="Arial"/>
          <w:noProof/>
          <w:sz w:val="22"/>
          <w:szCs w:val="22"/>
        </w:rPr>
        <w:drawing>
          <wp:inline distT="0" distB="0" distL="0" distR="0" wp14:anchorId="4D7735DA" wp14:editId="495541A8">
            <wp:extent cx="6801148" cy="42799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5598" cy="4288993"/>
                    </a:xfrm>
                    <a:prstGeom prst="rect">
                      <a:avLst/>
                    </a:prstGeom>
                    <a:noFill/>
                  </pic:spPr>
                </pic:pic>
              </a:graphicData>
            </a:graphic>
          </wp:inline>
        </w:drawing>
      </w:r>
    </w:p>
    <w:p w14:paraId="35FD8DEA" w14:textId="45BFE393" w:rsidR="00C234BF" w:rsidRPr="00C234BF" w:rsidRDefault="00F20271" w:rsidP="00C234BF">
      <w:pPr>
        <w:widowControl w:val="0"/>
        <w:pBdr>
          <w:top w:val="nil"/>
          <w:left w:val="nil"/>
          <w:bottom w:val="nil"/>
          <w:right w:val="nil"/>
          <w:between w:val="nil"/>
        </w:pBdr>
        <w:rPr>
          <w:rFonts w:ascii="Arial" w:eastAsia="Arial" w:hAnsi="Arial" w:cs="Arial"/>
          <w:bCs/>
          <w:color w:val="000000"/>
          <w:sz w:val="22"/>
          <w:szCs w:val="22"/>
        </w:rPr>
      </w:pPr>
      <w:bookmarkStart w:id="1" w:name="SupplementalFigure2"/>
      <w:r>
        <w:rPr>
          <w:rFonts w:ascii="Arial" w:eastAsia="Arial" w:hAnsi="Arial" w:cs="Arial"/>
          <w:b/>
          <w:bCs/>
          <w:sz w:val="22"/>
          <w:szCs w:val="22"/>
        </w:rPr>
        <w:lastRenderedPageBreak/>
        <w:t>Figure S2</w:t>
      </w:r>
      <w:r w:rsidRPr="00442A52">
        <w:rPr>
          <w:rFonts w:ascii="Arial" w:eastAsia="Arial" w:hAnsi="Arial" w:cs="Arial"/>
          <w:sz w:val="22"/>
          <w:szCs w:val="22"/>
        </w:rPr>
        <w:t xml:space="preserve">. </w:t>
      </w:r>
      <w:r w:rsidRPr="00442A52">
        <w:rPr>
          <w:rFonts w:ascii="Arial" w:eastAsia="Arial" w:hAnsi="Arial" w:cs="Arial"/>
          <w:bCs/>
          <w:color w:val="000000"/>
          <w:sz w:val="22"/>
          <w:szCs w:val="22"/>
        </w:rPr>
        <w:t xml:space="preserve">Implementation science outcomes categorized according to RE-AIM framework. </w:t>
      </w:r>
      <w:r w:rsidR="00C234BF" w:rsidRPr="006D2868">
        <w:rPr>
          <w:rFonts w:ascii="Arial" w:eastAsia="Arial" w:hAnsi="Arial" w:cs="Arial"/>
          <w:bCs/>
          <w:color w:val="000000"/>
          <w:sz w:val="20"/>
          <w:szCs w:val="20"/>
        </w:rPr>
        <w:t>Abbreviations: SCID-5-</w:t>
      </w:r>
      <w:r w:rsidR="009B2CDE" w:rsidRPr="006D2868">
        <w:rPr>
          <w:rFonts w:ascii="Arial" w:eastAsia="Arial" w:hAnsi="Arial" w:cs="Arial"/>
          <w:bCs/>
          <w:color w:val="000000"/>
          <w:sz w:val="20"/>
          <w:szCs w:val="20"/>
        </w:rPr>
        <w:t>R</w:t>
      </w:r>
      <w:r w:rsidR="00C234BF" w:rsidRPr="006D2868">
        <w:rPr>
          <w:rFonts w:ascii="Arial" w:eastAsia="Arial" w:hAnsi="Arial" w:cs="Arial"/>
          <w:bCs/>
          <w:color w:val="000000"/>
          <w:sz w:val="20"/>
          <w:szCs w:val="20"/>
        </w:rPr>
        <w:t xml:space="preserve">V, Structured Clinical Interview for DSM5—Research Version; WHODAS, World Health Organization Disability Assessment </w:t>
      </w:r>
      <w:r w:rsidR="00BE3431">
        <w:rPr>
          <w:rFonts w:ascii="Arial" w:eastAsia="Arial" w:hAnsi="Arial" w:cs="Arial"/>
          <w:bCs/>
          <w:color w:val="000000"/>
          <w:sz w:val="20"/>
          <w:szCs w:val="20"/>
        </w:rPr>
        <w:t>Schedule</w:t>
      </w:r>
      <w:r w:rsidR="00C234BF" w:rsidRPr="006D2868">
        <w:rPr>
          <w:rFonts w:ascii="Arial" w:eastAsia="Arial" w:hAnsi="Arial" w:cs="Arial"/>
          <w:bCs/>
          <w:color w:val="000000"/>
          <w:sz w:val="20"/>
          <w:szCs w:val="20"/>
        </w:rPr>
        <w:t xml:space="preserve">; PHQ9, Patient Health Questionnaire; GAD7, Generalized Anxiety Disorder; PANSS, Positive and Negative Syndrome Scale; EQ-5D-5L, EuroQol 5 Dimension quality of life scale; HMIS, Health Management Information System; ENACT, Enhancing Assessment of Common Therapeutic Factors.  </w:t>
      </w:r>
    </w:p>
    <w:p w14:paraId="34607E10" w14:textId="5B3A1B74" w:rsidR="00F20271" w:rsidRPr="00442A52" w:rsidRDefault="00F20271" w:rsidP="00F20271">
      <w:pPr>
        <w:widowControl w:val="0"/>
        <w:pBdr>
          <w:top w:val="nil"/>
          <w:left w:val="nil"/>
          <w:bottom w:val="nil"/>
          <w:right w:val="nil"/>
          <w:between w:val="nil"/>
        </w:pBdr>
        <w:rPr>
          <w:rFonts w:ascii="Arial" w:eastAsia="Arial" w:hAnsi="Arial" w:cs="Arial"/>
          <w:sz w:val="22"/>
          <w:szCs w:val="22"/>
        </w:rPr>
      </w:pPr>
    </w:p>
    <w:bookmarkEnd w:id="1"/>
    <w:p w14:paraId="4F86BDB2" w14:textId="05BEED54" w:rsidR="00F20271" w:rsidRDefault="00F20271" w:rsidP="005F1907">
      <w:pPr>
        <w:widowControl w:val="0"/>
        <w:pBdr>
          <w:top w:val="nil"/>
          <w:left w:val="nil"/>
          <w:bottom w:val="nil"/>
          <w:right w:val="nil"/>
          <w:between w:val="nil"/>
        </w:pBdr>
        <w:rPr>
          <w:rFonts w:ascii="Arial" w:eastAsia="Arial" w:hAnsi="Arial" w:cs="Arial"/>
          <w:b/>
          <w:color w:val="000000"/>
          <w:sz w:val="22"/>
          <w:szCs w:val="22"/>
        </w:rPr>
      </w:pPr>
    </w:p>
    <w:p w14:paraId="5456A254" w14:textId="1B4B948D" w:rsidR="00633742" w:rsidRDefault="00633742" w:rsidP="005F1907">
      <w:pPr>
        <w:widowControl w:val="0"/>
        <w:pBdr>
          <w:top w:val="nil"/>
          <w:left w:val="nil"/>
          <w:bottom w:val="nil"/>
          <w:right w:val="nil"/>
          <w:between w:val="nil"/>
        </w:pBdr>
        <w:rPr>
          <w:rFonts w:ascii="Arial" w:eastAsia="Arial" w:hAnsi="Arial" w:cs="Arial"/>
          <w:bCs/>
          <w:color w:val="000000"/>
          <w:sz w:val="22"/>
          <w:szCs w:val="22"/>
        </w:rPr>
      </w:pPr>
      <w:r>
        <w:rPr>
          <w:rFonts w:ascii="Arial" w:eastAsia="Arial" w:hAnsi="Arial" w:cs="Arial"/>
          <w:b/>
          <w:color w:val="000000"/>
          <w:sz w:val="22"/>
          <w:szCs w:val="22"/>
        </w:rPr>
        <w:t>Study setting</w:t>
      </w:r>
      <w:r w:rsidR="00641647">
        <w:rPr>
          <w:rFonts w:ascii="Arial" w:eastAsia="Arial" w:hAnsi="Arial" w:cs="Arial"/>
          <w:b/>
          <w:color w:val="000000"/>
          <w:sz w:val="22"/>
          <w:szCs w:val="22"/>
        </w:rPr>
        <w:t xml:space="preserve"> and healthcare workforce in Nepal</w:t>
      </w:r>
      <w:r>
        <w:rPr>
          <w:rFonts w:ascii="Arial" w:eastAsia="Arial" w:hAnsi="Arial" w:cs="Arial"/>
          <w:b/>
          <w:color w:val="000000"/>
          <w:sz w:val="22"/>
          <w:szCs w:val="22"/>
        </w:rPr>
        <w:t xml:space="preserve"> </w:t>
      </w:r>
      <w:r>
        <w:rPr>
          <w:rFonts w:ascii="Arial" w:eastAsia="Arial" w:hAnsi="Arial" w:cs="Arial"/>
          <w:bCs/>
          <w:color w:val="000000"/>
          <w:sz w:val="22"/>
          <w:szCs w:val="22"/>
        </w:rPr>
        <w:t>(additional details)</w:t>
      </w:r>
    </w:p>
    <w:p w14:paraId="6F5BFAB1" w14:textId="6FEDD8C2" w:rsidR="008F148F" w:rsidRPr="00442A52" w:rsidRDefault="008F148F" w:rsidP="008F148F">
      <w:pPr>
        <w:rPr>
          <w:rFonts w:ascii="Arial" w:eastAsia="Arial" w:hAnsi="Arial" w:cs="Arial"/>
          <w:sz w:val="22"/>
          <w:szCs w:val="22"/>
        </w:rPr>
      </w:pPr>
      <w:r w:rsidRPr="00442A52">
        <w:rPr>
          <w:rFonts w:ascii="Arial" w:eastAsia="Arial" w:hAnsi="Arial" w:cs="Arial"/>
          <w:sz w:val="22"/>
          <w:szCs w:val="22"/>
        </w:rPr>
        <w:t>In the government health system, the health workforce is managed at the provinc</w:t>
      </w:r>
      <w:r>
        <w:rPr>
          <w:rFonts w:ascii="Arial" w:eastAsia="Arial" w:hAnsi="Arial" w:cs="Arial"/>
          <w:sz w:val="22"/>
          <w:szCs w:val="22"/>
        </w:rPr>
        <w:t>ial</w:t>
      </w:r>
      <w:r w:rsidRPr="00442A52">
        <w:rPr>
          <w:rFonts w:ascii="Arial" w:eastAsia="Arial" w:hAnsi="Arial" w:cs="Arial"/>
          <w:sz w:val="22"/>
          <w:szCs w:val="22"/>
        </w:rPr>
        <w:t xml:space="preserve"> and municipal level</w:t>
      </w:r>
      <w:r w:rsidR="00F662AA">
        <w:rPr>
          <w:rFonts w:ascii="Arial" w:eastAsia="Arial" w:hAnsi="Arial" w:cs="Arial"/>
          <w:sz w:val="22"/>
          <w:szCs w:val="22"/>
        </w:rPr>
        <w:t>s</w:t>
      </w:r>
      <w:r w:rsidRPr="00442A52">
        <w:rPr>
          <w:rFonts w:ascii="Arial" w:eastAsia="Arial" w:hAnsi="Arial" w:cs="Arial"/>
          <w:sz w:val="22"/>
          <w:szCs w:val="22"/>
        </w:rPr>
        <w:t>. At the central level, curricula for health workers, including mental health curricula</w:t>
      </w:r>
      <w:r>
        <w:rPr>
          <w:rFonts w:ascii="Arial" w:eastAsia="Arial" w:hAnsi="Arial" w:cs="Arial"/>
          <w:sz w:val="22"/>
          <w:szCs w:val="22"/>
        </w:rPr>
        <w:t>,</w:t>
      </w:r>
      <w:r w:rsidRPr="00442A52">
        <w:rPr>
          <w:rFonts w:ascii="Arial" w:eastAsia="Arial" w:hAnsi="Arial" w:cs="Arial"/>
          <w:sz w:val="22"/>
          <w:szCs w:val="22"/>
        </w:rPr>
        <w:t xml:space="preserve"> are approved by the National Health Training Center (NHTC). </w:t>
      </w:r>
      <w:r>
        <w:rPr>
          <w:rFonts w:ascii="Arial" w:eastAsia="Arial" w:hAnsi="Arial" w:cs="Arial"/>
          <w:sz w:val="22"/>
          <w:szCs w:val="22"/>
        </w:rPr>
        <w:t>P</w:t>
      </w:r>
      <w:r w:rsidRPr="00442A52">
        <w:rPr>
          <w:rFonts w:ascii="Arial" w:eastAsia="Arial" w:hAnsi="Arial" w:cs="Arial"/>
          <w:sz w:val="22"/>
          <w:szCs w:val="22"/>
        </w:rPr>
        <w:t xml:space="preserve">rimary health centers and health posts </w:t>
      </w:r>
      <w:r>
        <w:rPr>
          <w:rFonts w:ascii="Arial" w:eastAsia="Arial" w:hAnsi="Arial" w:cs="Arial"/>
          <w:sz w:val="22"/>
          <w:szCs w:val="22"/>
        </w:rPr>
        <w:t xml:space="preserve">are </w:t>
      </w:r>
      <w:r w:rsidRPr="00442A52">
        <w:rPr>
          <w:rFonts w:ascii="Arial" w:eastAsia="Arial" w:hAnsi="Arial" w:cs="Arial"/>
          <w:sz w:val="22"/>
          <w:szCs w:val="22"/>
        </w:rPr>
        <w:t>established in each electoral area as a first referral point</w:t>
      </w:r>
      <w:r>
        <w:rPr>
          <w:rFonts w:ascii="Arial" w:eastAsia="Arial" w:hAnsi="Arial" w:cs="Arial"/>
          <w:sz w:val="22"/>
          <w:szCs w:val="22"/>
        </w:rPr>
        <w:t xml:space="preserve">. </w:t>
      </w:r>
      <w:r w:rsidRPr="00442A52">
        <w:rPr>
          <w:rFonts w:ascii="Arial" w:eastAsia="Arial" w:hAnsi="Arial" w:cs="Arial"/>
          <w:sz w:val="22"/>
          <w:szCs w:val="22"/>
        </w:rPr>
        <w:t>Health posts and community health units are the lowest level facilities functioning in the community. There are approximately 3-9 primary care facilities (including primary health centers, health posts, etc.) in each municipality.</w:t>
      </w:r>
      <w:r w:rsidRPr="005D5412">
        <w:rPr>
          <w:rFonts w:ascii="Arial" w:eastAsia="Arial" w:hAnsi="Arial" w:cs="Arial"/>
          <w:sz w:val="22"/>
          <w:szCs w:val="22"/>
        </w:rPr>
        <w:t xml:space="preserve"> </w:t>
      </w:r>
      <w:r w:rsidRPr="00442A52">
        <w:rPr>
          <w:rFonts w:ascii="Arial" w:eastAsia="Arial" w:hAnsi="Arial" w:cs="Arial"/>
          <w:sz w:val="22"/>
          <w:szCs w:val="22"/>
        </w:rPr>
        <w:t>The primary care health workforce can be divided between ‘prescribers’ (i.e., medical officers, health assistants and auxiliary health workers) who have prescription rights as per the Government of Nepal and ‘non-prescribers’ (i.e., staff nurses and auxiliary nurse midwives) who d</w:t>
      </w:r>
      <w:r>
        <w:rPr>
          <w:rFonts w:ascii="Arial" w:eastAsia="Arial" w:hAnsi="Arial" w:cs="Arial"/>
          <w:sz w:val="22"/>
          <w:szCs w:val="22"/>
        </w:rPr>
        <w:t>o</w:t>
      </w:r>
      <w:r w:rsidRPr="00442A52">
        <w:rPr>
          <w:rFonts w:ascii="Arial" w:eastAsia="Arial" w:hAnsi="Arial" w:cs="Arial"/>
          <w:sz w:val="22"/>
          <w:szCs w:val="22"/>
        </w:rPr>
        <w:t xml:space="preserve"> not have the prescription rights. This study will focus on those PCPs who have prescribing rights (medical officers, health assistants, and auxiliary health workers).</w:t>
      </w:r>
      <w:r w:rsidRPr="005D5412">
        <w:rPr>
          <w:rFonts w:ascii="Arial" w:eastAsia="Arial" w:hAnsi="Arial" w:cs="Arial"/>
          <w:sz w:val="22"/>
          <w:szCs w:val="22"/>
        </w:rPr>
        <w:t xml:space="preserve"> </w:t>
      </w:r>
      <w:r>
        <w:rPr>
          <w:rFonts w:ascii="Arial" w:eastAsia="Arial" w:hAnsi="Arial" w:cs="Arial"/>
          <w:sz w:val="22"/>
          <w:szCs w:val="22"/>
        </w:rPr>
        <w:t xml:space="preserve">The prescribing </w:t>
      </w:r>
      <w:r w:rsidRPr="00442A52">
        <w:rPr>
          <w:rFonts w:ascii="Arial" w:eastAsia="Arial" w:hAnsi="Arial" w:cs="Arial"/>
          <w:sz w:val="22"/>
          <w:szCs w:val="22"/>
        </w:rPr>
        <w:t xml:space="preserve">PCPs in Nepal </w:t>
      </w:r>
      <w:r>
        <w:rPr>
          <w:rFonts w:ascii="Arial" w:eastAsia="Arial" w:hAnsi="Arial" w:cs="Arial"/>
          <w:sz w:val="22"/>
          <w:szCs w:val="22"/>
        </w:rPr>
        <w:t xml:space="preserve">have been </w:t>
      </w:r>
      <w:r w:rsidRPr="00442A52">
        <w:rPr>
          <w:rFonts w:ascii="Arial" w:eastAsia="Arial" w:hAnsi="Arial" w:cs="Arial"/>
          <w:sz w:val="22"/>
          <w:szCs w:val="22"/>
        </w:rPr>
        <w:t xml:space="preserve">delivering services through primary health centers and health posts. </w:t>
      </w:r>
      <w:r>
        <w:rPr>
          <w:rFonts w:ascii="Arial" w:eastAsia="Arial" w:hAnsi="Arial" w:cs="Arial"/>
          <w:sz w:val="22"/>
          <w:szCs w:val="22"/>
        </w:rPr>
        <w:t xml:space="preserve">Health assistants and auxiliary health workers complete 3-year and 18-month courses after high-school equivalent respectively. Medical officers are MBBS-level doctors. </w:t>
      </w:r>
    </w:p>
    <w:p w14:paraId="4A4C2E41" w14:textId="67973F83" w:rsidR="00160348" w:rsidRDefault="00160348" w:rsidP="005F1907">
      <w:pPr>
        <w:widowControl w:val="0"/>
        <w:pBdr>
          <w:top w:val="nil"/>
          <w:left w:val="nil"/>
          <w:bottom w:val="nil"/>
          <w:right w:val="nil"/>
          <w:between w:val="nil"/>
        </w:pBdr>
        <w:rPr>
          <w:rFonts w:ascii="Arial" w:eastAsia="Arial" w:hAnsi="Arial" w:cs="Arial"/>
          <w:bCs/>
          <w:color w:val="000000"/>
          <w:sz w:val="22"/>
          <w:szCs w:val="22"/>
        </w:rPr>
      </w:pPr>
    </w:p>
    <w:p w14:paraId="306C84DE" w14:textId="79DE6B4A" w:rsidR="00160348" w:rsidRPr="00160348" w:rsidRDefault="00160348" w:rsidP="005F1907">
      <w:pPr>
        <w:widowControl w:val="0"/>
        <w:pBdr>
          <w:top w:val="nil"/>
          <w:left w:val="nil"/>
          <w:bottom w:val="nil"/>
          <w:right w:val="nil"/>
          <w:between w:val="nil"/>
        </w:pBdr>
        <w:rPr>
          <w:rFonts w:ascii="Arial" w:eastAsia="Arial" w:hAnsi="Arial" w:cs="Arial"/>
          <w:bCs/>
          <w:color w:val="000000"/>
          <w:sz w:val="22"/>
          <w:szCs w:val="22"/>
        </w:rPr>
      </w:pPr>
      <w:r>
        <w:rPr>
          <w:rFonts w:ascii="Arial" w:eastAsia="Arial" w:hAnsi="Arial" w:cs="Arial"/>
          <w:b/>
          <w:color w:val="000000"/>
          <w:sz w:val="22"/>
          <w:szCs w:val="22"/>
        </w:rPr>
        <w:t xml:space="preserve">Outcomes </w:t>
      </w:r>
      <w:r>
        <w:rPr>
          <w:rFonts w:ascii="Arial" w:eastAsia="Arial" w:hAnsi="Arial" w:cs="Arial"/>
          <w:bCs/>
          <w:color w:val="000000"/>
          <w:sz w:val="22"/>
          <w:szCs w:val="22"/>
        </w:rPr>
        <w:t>(additional details)</w:t>
      </w:r>
    </w:p>
    <w:p w14:paraId="06ADB443" w14:textId="63F95553" w:rsidR="00160348" w:rsidRPr="00442A52" w:rsidRDefault="00160348" w:rsidP="00160348">
      <w:pPr>
        <w:widowControl w:val="0"/>
        <w:pBdr>
          <w:top w:val="nil"/>
          <w:left w:val="nil"/>
          <w:bottom w:val="nil"/>
          <w:right w:val="nil"/>
          <w:between w:val="nil"/>
        </w:pBdr>
        <w:rPr>
          <w:rFonts w:ascii="Arial" w:eastAsia="Arial" w:hAnsi="Arial" w:cs="Arial"/>
          <w:bCs/>
          <w:color w:val="000000"/>
          <w:sz w:val="22"/>
          <w:szCs w:val="22"/>
        </w:rPr>
      </w:pPr>
      <w:r w:rsidRPr="00442A52">
        <w:rPr>
          <w:rFonts w:ascii="Arial" w:eastAsia="Arial" w:hAnsi="Arial" w:cs="Arial"/>
          <w:bCs/>
          <w:color w:val="000000"/>
          <w:sz w:val="22"/>
          <w:szCs w:val="22"/>
        </w:rPr>
        <w:t xml:space="preserve">A secondary outcome for </w:t>
      </w:r>
      <w:r>
        <w:rPr>
          <w:rFonts w:ascii="Arial" w:eastAsia="Arial" w:hAnsi="Arial" w:cs="Arial"/>
          <w:bCs/>
          <w:color w:val="000000"/>
          <w:sz w:val="22"/>
          <w:szCs w:val="22"/>
        </w:rPr>
        <w:t>O</w:t>
      </w:r>
      <w:r w:rsidRPr="00442A52">
        <w:rPr>
          <w:rFonts w:ascii="Arial" w:eastAsia="Arial" w:hAnsi="Arial" w:cs="Arial"/>
          <w:bCs/>
          <w:color w:val="000000"/>
          <w:sz w:val="22"/>
          <w:szCs w:val="22"/>
        </w:rPr>
        <w:t>bjective 2 is clinical effectiveness of treatment provided by PCPs. This will be measured with symptom specific tools</w:t>
      </w:r>
      <w:r>
        <w:rPr>
          <w:rFonts w:ascii="Arial" w:eastAsia="Arial" w:hAnsi="Arial" w:cs="Arial"/>
          <w:bCs/>
          <w:color w:val="000000"/>
          <w:sz w:val="22"/>
          <w:szCs w:val="22"/>
        </w:rPr>
        <w:t xml:space="preserve"> with interviewer-administered tools, which are self-report tools (not clinician-administered diagnostic tools):</w:t>
      </w:r>
      <w:r w:rsidRPr="00442A52">
        <w:rPr>
          <w:rFonts w:ascii="Arial" w:eastAsia="Arial" w:hAnsi="Arial" w:cs="Arial"/>
          <w:bCs/>
          <w:color w:val="000000"/>
          <w:sz w:val="22"/>
          <w:szCs w:val="22"/>
        </w:rPr>
        <w:t xml:space="preserve"> PHQ-9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&lt;EndNote&gt;&lt;Cite&gt;&lt;Author&gt;Kohrt&lt;/Author&gt;&lt;Year&gt;2016&lt;/Year&gt;&lt;RecNum&gt;20820&lt;/RecNum&gt;&lt;DisplayText&gt;[1]&lt;/DisplayText&gt;&lt;record&gt;&lt;rec-number&gt;20820&lt;/rec-number&gt;&lt;foreign-keys&gt;&lt;key app="EN" db-id="ax0v2pxro500rte5pd0pvztksdwapad2rtaa" timestamp="1457985403"&gt;20820&lt;/key&gt;&lt;/foreign-keys&gt;&lt;ref-type name="Journal Article"&gt;17&lt;/ref-type&gt;&lt;contributors&gt;&lt;authors&gt;&lt;author&gt;Kohrt, Brandon A.&lt;/author&gt;&lt;author&gt;Luitel, Nagendra P.&lt;/author&gt;&lt;author&gt;Acharya, Prakash&lt;/author&gt;&lt;author&gt;Jordans, Mark J. D.&lt;/author&gt;&lt;/authors&gt;&lt;/contributors&gt;&lt;titles&gt;&lt;title&gt;Detection of depression in low resource settings: validation of the Patient Health Questionnaire (PHQ-9) and cultural concepts of distress in Nepal&lt;/title&gt;&lt;secondary-title&gt;BMC Psychiatry&lt;/secondary-title&gt;&lt;/titles&gt;&lt;periodical&gt;&lt;full-title&gt;BMC Psychiatry&lt;/full-title&gt;&lt;abbr-1&gt;BMC Psychiatry&lt;/abbr-1&gt;&lt;/periodical&gt;&lt;pages&gt;e58&lt;/pages&gt;&lt;volume&gt;16&lt;/volume&gt;&lt;number&gt;1&lt;/number&gt;&lt;dates&gt;&lt;year&gt;2016&lt;/year&gt;&lt;/dates&gt;&lt;isbn&gt;1471-244X&lt;/isbn&gt;&lt;label&gt;Kohrt2016&lt;/label&gt;&lt;work-type&gt;journal article&lt;/work-type&gt;&lt;urls&gt;&lt;related-urls&gt;&lt;url&gt;http://dx.doi.org/10.1186/s12888-016-0768-y&lt;/url&gt;&lt;/related-urls&gt;&lt;/urls&gt;&lt;electronic-resource-num&gt;10.1186/s12888-016-0768-y&lt;/electronic-resource-num&gt;&lt;/record&gt;&lt;/Cite&gt;&lt;/EndNote&gt;</w:instrText>
      </w:r>
      <w:r w:rsidRPr="00442A52">
        <w:rPr>
          <w:rFonts w:ascii="Arial" w:hAnsi="Arial" w:cs="Arial"/>
          <w:sz w:val="22"/>
          <w:szCs w:val="22"/>
        </w:rPr>
        <w:fldChar w:fldCharType="separate"/>
      </w:r>
      <w:r w:rsidR="008F3B85">
        <w:rPr>
          <w:rFonts w:ascii="Arial" w:hAnsi="Arial" w:cs="Arial"/>
          <w:noProof/>
          <w:sz w:val="22"/>
          <w:szCs w:val="22"/>
        </w:rPr>
        <w:t>[1]</w:t>
      </w:r>
      <w:r w:rsidRPr="00442A52">
        <w:rPr>
          <w:rFonts w:ascii="Arial" w:hAnsi="Arial" w:cs="Arial"/>
          <w:sz w:val="22"/>
          <w:szCs w:val="22"/>
        </w:rPr>
        <w:fldChar w:fldCharType="end"/>
      </w:r>
      <w:r w:rsidRPr="00442A52">
        <w:rPr>
          <w:rFonts w:ascii="Arial" w:eastAsia="Arial" w:hAnsi="Arial" w:cs="Arial"/>
          <w:bCs/>
          <w:color w:val="000000"/>
          <w:sz w:val="22"/>
          <w:szCs w:val="22"/>
        </w:rPr>
        <w:t xml:space="preserve"> for depression, GAD-7 for anxiety, PANSS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&lt;EndNote&gt;&lt;Cite&gt;&lt;Author&gt;Jordans&lt;/Author&gt;&lt;Year&gt;2017&lt;/Year&gt;&lt;RecNum&gt;22106&lt;/RecNum&gt;&lt;DisplayText&gt;[2]&lt;/DisplayText&gt;&lt;record&gt;&lt;rec-number&gt;22106&lt;/rec-number&gt;&lt;foreign-keys&gt;&lt;key app="EN" db-id="ax0v2pxro500rte5pd0pvztksdwapad2rtaa" timestamp="1513090083"&gt;22106&lt;/key&gt;&lt;/foreign-keys&gt;&lt;ref-type name="Journal Article"&gt;17&lt;/ref-type&gt;&lt;contributors&gt;&lt;authors&gt;&lt;author&gt;Jordans, M. J. D.&lt;/author&gt;&lt;author&gt;Aldridge, L.&lt;/author&gt;&lt;author&gt;Luitel, N. P.&lt;/author&gt;&lt;author&gt;Baingana, F.&lt;/author&gt;&lt;author&gt;Kohrt, B. A.&lt;/author&gt;&lt;/authors&gt;&lt;/contributors&gt;&lt;titles&gt;&lt;title&gt;Evaluation of outcomes for psychosis and epilepsy treatment delivered by primary health care workers in Nepal: a cohort study&lt;/title&gt;&lt;secondary-title&gt;International Journal of Mental Health Systems&lt;/secondary-title&gt;&lt;/titles&gt;&lt;periodical&gt;&lt;full-title&gt;International Journal of Mental Health Systems&lt;/full-title&gt;&lt;/periodical&gt;&lt;pages&gt;70&lt;/pages&gt;&lt;volume&gt;11&lt;/volume&gt;&lt;number&gt;1&lt;/number&gt;&lt;dates&gt;&lt;year&gt;2017&lt;/year&gt;&lt;pub-dates&gt;&lt;date&gt;November 25&lt;/date&gt;&lt;/pub-dates&gt;&lt;/dates&gt;&lt;isbn&gt;1752-4458&lt;/isbn&gt;&lt;label&gt;Jordans2017&lt;/label&gt;&lt;work-type&gt;journal article&lt;/work-type&gt;&lt;urls&gt;&lt;related-urls&gt;&lt;url&gt;https://doi.org/10.1186/s13033-017-0177-8&lt;/url&gt;&lt;/related-urls&gt;&lt;/urls&gt;&lt;electronic-resource-num&gt;10.1186/s13033-017-0177-8&lt;/electronic-resource-num&gt;&lt;/record&gt;&lt;/Cite&gt;&lt;/EndNote&gt;</w:instrText>
      </w:r>
      <w:r w:rsidRPr="00442A52">
        <w:rPr>
          <w:rFonts w:ascii="Arial" w:hAnsi="Arial" w:cs="Arial"/>
          <w:sz w:val="22"/>
          <w:szCs w:val="22"/>
        </w:rPr>
        <w:fldChar w:fldCharType="separate"/>
      </w:r>
      <w:r w:rsidR="008F3B85">
        <w:rPr>
          <w:rFonts w:ascii="Arial" w:hAnsi="Arial" w:cs="Arial"/>
          <w:noProof/>
          <w:sz w:val="22"/>
          <w:szCs w:val="22"/>
        </w:rPr>
        <w:t>[2]</w:t>
      </w:r>
      <w:r w:rsidRPr="00442A52">
        <w:rPr>
          <w:rFonts w:ascii="Arial" w:hAnsi="Arial" w:cs="Arial"/>
          <w:sz w:val="22"/>
          <w:szCs w:val="22"/>
        </w:rPr>
        <w:fldChar w:fldCharType="end"/>
      </w:r>
      <w:r w:rsidRPr="00442A52">
        <w:rPr>
          <w:rFonts w:ascii="Arial" w:eastAsia="Arial" w:hAnsi="Arial" w:cs="Arial"/>
          <w:bCs/>
          <w:color w:val="000000"/>
          <w:sz w:val="22"/>
          <w:szCs w:val="22"/>
        </w:rPr>
        <w:t xml:space="preserve"> </w:t>
      </w:r>
      <w:r>
        <w:rPr>
          <w:rFonts w:ascii="Arial" w:eastAsia="Arial" w:hAnsi="Arial" w:cs="Arial"/>
          <w:bCs/>
          <w:color w:val="000000"/>
          <w:sz w:val="22"/>
          <w:szCs w:val="22"/>
        </w:rPr>
        <w:t>for psychosis, and A</w:t>
      </w:r>
      <w:r w:rsidRPr="00442A52">
        <w:rPr>
          <w:rFonts w:ascii="Arial" w:eastAsia="Arial" w:hAnsi="Arial" w:cs="Arial"/>
          <w:bCs/>
          <w:color w:val="000000"/>
          <w:sz w:val="22"/>
          <w:szCs w:val="22"/>
        </w:rPr>
        <w:t xml:space="preserve">UDIT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&lt;EndNote&gt;&lt;Cite&gt;&lt;Author&gt;Pradhan&lt;/Author&gt;&lt;Year&gt;2012&lt;/Year&gt;&lt;RecNum&gt;21905&lt;/RecNum&gt;&lt;DisplayText&gt;[3]&lt;/DisplayText&gt;&lt;record&gt;&lt;rec-number&gt;21905&lt;/rec-number&gt;&lt;foreign-keys&gt;&lt;key app="EN" db-id="ax0v2pxro500rte5pd0pvztksdwapad2rtaa" timestamp="1499265908"&gt;21905&lt;/key&gt;&lt;/foreign-keys&gt;&lt;ref-type name="Journal Article"&gt;17&lt;/ref-type&gt;&lt;contributors&gt;&lt;authors&gt;&lt;author&gt;Pradhan, Bickram&lt;/author&gt;&lt;author&gt;Chappuis, François&lt;/author&gt;&lt;author&gt;Baral, Dharanidhar&lt;/author&gt;&lt;author&gt;Karki, Prahlad&lt;/author&gt;&lt;author&gt;Rijal, Suman&lt;/author&gt;&lt;author&gt;Hadengue, Antoine&lt;/author&gt;&lt;author&gt;Gache, Pascal&lt;/author&gt;&lt;/authors&gt;&lt;/contributors&gt;&lt;titles&gt;&lt;title&gt;The alcohol use disorders identification test (AUDIT): validation of a Nepali version for the detection of alcohol use disorders and hazardous drinking in medical settings&lt;/title&gt;&lt;secondary-title&gt;Substance Abuse Treatment, Prevention, and Policy&lt;/secondary-title&gt;&lt;/titles&gt;&lt;periodical&gt;&lt;full-title&gt;Substance Abuse Treatment, Prevention, and Policy&lt;/full-title&gt;&lt;/periodical&gt;&lt;pages&gt;42&lt;/pages&gt;&lt;volume&gt;7&lt;/volume&gt;&lt;number&gt;1&lt;/number&gt;&lt;dates&gt;&lt;year&gt;2012&lt;/year&gt;&lt;pub-dates&gt;&lt;date&gt;October 05&lt;/date&gt;&lt;/pub-dates&gt;&lt;/dates&gt;&lt;isbn&gt;1747-597X&lt;/isbn&gt;&lt;label&gt;Pradhan2012&lt;/label&gt;&lt;work-type&gt;journal article&lt;/work-type&gt;&lt;urls&gt;&lt;related-urls&gt;&lt;url&gt;http://dx.doi.org/10.1186/1747-597X-7-42&lt;/url&gt;&lt;/related-urls&gt;&lt;/urls&gt;&lt;electronic-resource-num&gt;10.1186/1747-597x-7-42&lt;/electronic-resource-num&gt;&lt;/record&gt;&lt;/Cite&gt;&lt;/EndNote&gt;</w:instrText>
      </w:r>
      <w:r w:rsidRPr="00442A52">
        <w:rPr>
          <w:rFonts w:ascii="Arial" w:hAnsi="Arial" w:cs="Arial"/>
          <w:sz w:val="22"/>
          <w:szCs w:val="22"/>
        </w:rPr>
        <w:fldChar w:fldCharType="separate"/>
      </w:r>
      <w:r w:rsidR="008F3B85">
        <w:rPr>
          <w:rFonts w:ascii="Arial" w:hAnsi="Arial" w:cs="Arial"/>
          <w:noProof/>
          <w:sz w:val="22"/>
          <w:szCs w:val="22"/>
        </w:rPr>
        <w:t>[3]</w:t>
      </w:r>
      <w:r w:rsidRPr="00442A52">
        <w:rPr>
          <w:rFonts w:ascii="Arial" w:hAnsi="Arial" w:cs="Arial"/>
          <w:sz w:val="22"/>
          <w:szCs w:val="22"/>
        </w:rPr>
        <w:fldChar w:fldCharType="end"/>
      </w:r>
      <w:r>
        <w:rPr>
          <w:rFonts w:ascii="Arial" w:hAnsi="Arial" w:cs="Arial"/>
          <w:sz w:val="22"/>
          <w:szCs w:val="22"/>
        </w:rPr>
        <w:t xml:space="preserve"> for alcohol use disorder</w:t>
      </w:r>
      <w:r w:rsidRPr="00442A52">
        <w:rPr>
          <w:rFonts w:ascii="Arial" w:eastAsia="Arial" w:hAnsi="Arial" w:cs="Arial"/>
          <w:bCs/>
          <w:color w:val="000000"/>
          <w:sz w:val="22"/>
          <w:szCs w:val="22"/>
        </w:rPr>
        <w:t>. All tools are administered to the selected patients presenting at primary care facilities</w:t>
      </w:r>
      <w:r>
        <w:rPr>
          <w:rFonts w:ascii="Arial" w:eastAsia="Arial" w:hAnsi="Arial" w:cs="Arial"/>
          <w:bCs/>
          <w:color w:val="000000"/>
          <w:sz w:val="22"/>
          <w:szCs w:val="22"/>
        </w:rPr>
        <w:t xml:space="preserve">. Because all tools are used, </w:t>
      </w:r>
      <w:r w:rsidRPr="00442A52">
        <w:rPr>
          <w:rFonts w:ascii="Arial" w:eastAsia="Arial" w:hAnsi="Arial" w:cs="Arial"/>
          <w:bCs/>
          <w:color w:val="000000"/>
          <w:sz w:val="22"/>
          <w:szCs w:val="22"/>
        </w:rPr>
        <w:t xml:space="preserve">potential co-morbidities will be identified. Functioning will be assessed with the World Health Organization Disability Assessment Schedule (WHODAS-II)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&lt;EndNote&gt;&lt;Cite&gt;&lt;Author&gt;World Health Organization&lt;/Author&gt;&lt;Year&gt;2000&lt;/Year&gt;&lt;RecNum&gt;21869&lt;/RecNum&gt;&lt;DisplayText&gt;[4]&lt;/DisplayText&gt;&lt;record&gt;&lt;rec-number&gt;21869&lt;/rec-number&gt;&lt;foreign-keys&gt;&lt;key app="EN" db-id="ax0v2pxro500rte5pd0pvztksdwapad2rtaa" timestamp="1492628094"&gt;21869&lt;/key&gt;&lt;/foreign-keys&gt;&lt;ref-type name="Journal Article"&gt;17&lt;/ref-type&gt;&lt;contributors&gt;&lt;authors&gt;&lt;author&gt;World Health Organization,&lt;/author&gt;&lt;/authors&gt;&lt;/contributors&gt;&lt;titles&gt;&lt;title&gt;World Health Organization disabilty assessment schedule: WHODAS II. Phase 2 field trials. Health services research&lt;/title&gt;&lt;/titles&gt;&lt;dates&gt;&lt;year&gt;2000&lt;/year&gt;&lt;/dates&gt;&lt;urls&gt;&lt;/urls&gt;&lt;/record&gt;&lt;/Cite&gt;&lt;/EndNote&gt;</w:instrText>
      </w:r>
      <w:r w:rsidRPr="00442A52">
        <w:rPr>
          <w:rFonts w:ascii="Arial" w:hAnsi="Arial" w:cs="Arial"/>
          <w:sz w:val="22"/>
          <w:szCs w:val="22"/>
        </w:rPr>
        <w:fldChar w:fldCharType="separate"/>
      </w:r>
      <w:r w:rsidR="008F3B85">
        <w:rPr>
          <w:rFonts w:ascii="Arial" w:hAnsi="Arial" w:cs="Arial"/>
          <w:noProof/>
          <w:sz w:val="22"/>
          <w:szCs w:val="22"/>
        </w:rPr>
        <w:t>[4]</w:t>
      </w:r>
      <w:r w:rsidRPr="00442A52">
        <w:rPr>
          <w:rFonts w:ascii="Arial" w:hAnsi="Arial" w:cs="Arial"/>
          <w:sz w:val="22"/>
          <w:szCs w:val="22"/>
        </w:rPr>
        <w:fldChar w:fldCharType="end"/>
      </w:r>
      <w:r w:rsidRPr="00442A52">
        <w:rPr>
          <w:rFonts w:ascii="Arial" w:eastAsia="Arial" w:hAnsi="Arial" w:cs="Arial"/>
          <w:bCs/>
          <w:color w:val="000000"/>
          <w:sz w:val="22"/>
          <w:szCs w:val="22"/>
        </w:rPr>
        <w:t xml:space="preserve">. Quality of life years (QALYs) will be assessed with the EQ-5D-5L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&lt;EndNote&gt;&lt;Cite&gt;&lt;Author&gt;Pattanaphesaj&lt;/Author&gt;&lt;Year&gt;2018&lt;/Year&gt;&lt;RecNum&gt;22619&lt;/RecNum&gt;&lt;DisplayText&gt;[5]&lt;/DisplayText&gt;&lt;record&gt;&lt;rec-number&gt;22619&lt;/rec-number&gt;&lt;foreign-keys&gt;&lt;key app="EN" db-id="ax0v2pxro500rte5pd0pvztksdwapad2rtaa" timestamp="1540162628"&gt;22619&lt;/key&gt;&lt;/foreign-keys&gt;&lt;ref-type name="Journal Article"&gt;17&lt;/ref-type&gt;&lt;contributors&gt;&lt;authors&gt;&lt;author&gt;Pattanaphesaj, Juntana&lt;/author&gt;&lt;author&gt;Thavorncharoensap, Montarat&lt;/author&gt;&lt;author&gt;Ramos-Goñi, Juan Manuel&lt;/author&gt;&lt;author&gt;Tongsiri, Sirinart&lt;/author&gt;&lt;author&gt;Ingsrisawang, Lily&lt;/author&gt;&lt;author&gt;Teerawattananon, Yot&lt;/author&gt;&lt;/authors&gt;&lt;/contributors&gt;&lt;titles&gt;&lt;title&gt;The EQ-5D-5L Valuation study in Thailand&lt;/title&gt;&lt;secondary-title&gt;Expert Review of Pharmacoeconomics &amp;amp; Outcomes Research&lt;/secondary-title&gt;&lt;/titles&gt;&lt;periodical&gt;&lt;full-title&gt;Expert Rev Pharmacoecon Outcomes Res&lt;/full-title&gt;&lt;abbr-1&gt;Expert review of pharmacoeconomics &amp;amp; outcomes research&lt;/abbr-1&gt;&lt;/periodical&gt;&lt;pages&gt;551-558&lt;/pages&gt;&lt;volume&gt;18&lt;/volume&gt;&lt;number&gt;5&lt;/number&gt;&lt;dates&gt;&lt;year&gt;2018&lt;/year&gt;&lt;pub-dates&gt;&lt;date&gt;2018/09/03&lt;/date&gt;&lt;/pub-dates&gt;&lt;/dates&gt;&lt;publisher&gt;Taylor &amp;amp; Francis&lt;/publisher&gt;&lt;isbn&gt;1473-7167&lt;/isbn&gt;&lt;urls&gt;&lt;related-urls&gt;&lt;url&gt;https://doi.org/10.1080/14737167.2018.1494574&lt;/url&gt;&lt;/related-urls&gt;&lt;/urls&gt;&lt;electronic-resource-num&gt;10.1080/14737167.2018.1494574&lt;/electronic-resource-num&gt;&lt;/record&gt;&lt;/Cite&gt;&lt;/EndNote&gt;</w:instrText>
      </w:r>
      <w:r w:rsidRPr="00442A52">
        <w:rPr>
          <w:rFonts w:ascii="Arial" w:hAnsi="Arial" w:cs="Arial"/>
          <w:sz w:val="22"/>
          <w:szCs w:val="22"/>
        </w:rPr>
        <w:fldChar w:fldCharType="separate"/>
      </w:r>
      <w:r w:rsidR="008F3B85">
        <w:rPr>
          <w:rFonts w:ascii="Arial" w:hAnsi="Arial" w:cs="Arial"/>
          <w:noProof/>
          <w:sz w:val="22"/>
          <w:szCs w:val="22"/>
        </w:rPr>
        <w:t>[5]</w:t>
      </w:r>
      <w:r w:rsidRPr="00442A52">
        <w:rPr>
          <w:rFonts w:ascii="Arial" w:hAnsi="Arial" w:cs="Arial"/>
          <w:sz w:val="22"/>
          <w:szCs w:val="22"/>
        </w:rPr>
        <w:fldChar w:fldCharType="end"/>
      </w:r>
      <w:r w:rsidRPr="00442A52">
        <w:rPr>
          <w:rFonts w:ascii="Arial" w:eastAsia="Arial" w:hAnsi="Arial" w:cs="Arial"/>
          <w:bCs/>
          <w:color w:val="000000"/>
          <w:sz w:val="22"/>
          <w:szCs w:val="22"/>
        </w:rPr>
        <w:t>. Of note, for any tools completed with input by the caregiver, this information will be recorded. Other measures</w:t>
      </w:r>
      <w:r w:rsidR="007A5958">
        <w:rPr>
          <w:rFonts w:ascii="Arial" w:eastAsia="Arial" w:hAnsi="Arial" w:cs="Arial"/>
          <w:bCs/>
          <w:color w:val="000000"/>
          <w:sz w:val="22"/>
          <w:szCs w:val="22"/>
        </w:rPr>
        <w:t>, which are collected only in the subset of patients followed up in the clinical diagnostic interview,</w:t>
      </w:r>
      <w:r w:rsidRPr="00442A52">
        <w:rPr>
          <w:rFonts w:ascii="Arial" w:eastAsia="Arial" w:hAnsi="Arial" w:cs="Arial"/>
          <w:bCs/>
          <w:color w:val="000000"/>
          <w:sz w:val="22"/>
          <w:szCs w:val="22"/>
        </w:rPr>
        <w:t xml:space="preserve"> will include costs of care for cost-effectiveness analysis, measured with an adapted version of the Client Service Receipt Inventory (CSRI) </w:t>
      </w:r>
      <w:r w:rsidRPr="00442A52">
        <w:rPr>
          <w:rFonts w:ascii="Arial" w:hAnsi="Arial" w:cs="Arial"/>
          <w:sz w:val="22"/>
          <w:szCs w:val="22"/>
        </w:rPr>
        <w:fldChar w:fldCharType="begin">
          <w:fldData xml:space="preserve">PEVuZE5vdGU+PENpdGU+PEF1dGhvcj5EZSBTaWx2YTwvQXV0aG9yPjxZZWFyPjIwMTY8L1llYXI+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</w:fldData>
        </w:fldChar>
      </w:r>
      <w:r w:rsidR="008F3B85">
        <w:rPr>
          <w:rFonts w:ascii="Arial" w:hAnsi="Arial" w:cs="Arial"/>
          <w:sz w:val="22"/>
          <w:szCs w:val="22"/>
        </w:rPr>
        <w:instrText xml:space="preserve"> ADDIN EN.CITE </w:instrText>
      </w:r>
      <w:r w:rsidR="008F3B85">
        <w:rPr>
          <w:rFonts w:ascii="Arial" w:hAnsi="Arial" w:cs="Arial"/>
          <w:sz w:val="22"/>
          <w:szCs w:val="22"/>
        </w:rPr>
        <w:fldChar w:fldCharType="begin">
          <w:fldData xml:space="preserve">PEVuZE5vdGU+PENpdGU+PEF1dGhvcj5EZSBTaWx2YTwvQXV0aG9yPjxZZWFyPjIwMTY8L1llYXI+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</w:fldData>
        </w:fldChar>
      </w:r>
      <w:r w:rsidR="008F3B85">
        <w:rPr>
          <w:rFonts w:ascii="Arial" w:hAnsi="Arial" w:cs="Arial"/>
          <w:sz w:val="22"/>
          <w:szCs w:val="22"/>
        </w:rPr>
        <w:instrText xml:space="preserve"> ADDIN EN.CITE.DATA </w:instrText>
      </w:r>
      <w:r w:rsidR="008F3B85">
        <w:rPr>
          <w:rFonts w:ascii="Arial" w:hAnsi="Arial" w:cs="Arial"/>
          <w:sz w:val="22"/>
          <w:szCs w:val="22"/>
        </w:rPr>
      </w:r>
      <w:r w:rsidR="008F3B85">
        <w:rPr>
          <w:rFonts w:ascii="Arial" w:hAnsi="Arial" w:cs="Arial"/>
          <w:sz w:val="22"/>
          <w:szCs w:val="22"/>
        </w:rPr>
        <w:fldChar w:fldCharType="end"/>
      </w:r>
      <w:r w:rsidRPr="00442A52">
        <w:rPr>
          <w:rFonts w:ascii="Arial" w:hAnsi="Arial" w:cs="Arial"/>
          <w:sz w:val="22"/>
          <w:szCs w:val="22"/>
        </w:rPr>
      </w:r>
      <w:r w:rsidRPr="00442A52">
        <w:rPr>
          <w:rFonts w:ascii="Arial" w:hAnsi="Arial" w:cs="Arial"/>
          <w:sz w:val="22"/>
          <w:szCs w:val="22"/>
        </w:rPr>
        <w:fldChar w:fldCharType="separate"/>
      </w:r>
      <w:r w:rsidR="008F3B85">
        <w:rPr>
          <w:rFonts w:ascii="Arial" w:hAnsi="Arial" w:cs="Arial"/>
          <w:noProof/>
          <w:sz w:val="22"/>
          <w:szCs w:val="22"/>
        </w:rPr>
        <w:t>[6]</w:t>
      </w:r>
      <w:r w:rsidRPr="00442A52">
        <w:rPr>
          <w:rFonts w:ascii="Arial" w:hAnsi="Arial" w:cs="Arial"/>
          <w:sz w:val="22"/>
          <w:szCs w:val="22"/>
        </w:rPr>
        <w:fldChar w:fldCharType="end"/>
      </w:r>
      <w:r w:rsidRPr="00442A52">
        <w:rPr>
          <w:rFonts w:ascii="Arial" w:eastAsia="Arial" w:hAnsi="Arial" w:cs="Arial"/>
          <w:bCs/>
          <w:color w:val="000000"/>
          <w:sz w:val="22"/>
          <w:szCs w:val="22"/>
        </w:rPr>
        <w:t xml:space="preserve">, barriers to care including stigma measured with the Barriers to Care Assessment (BACE)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&lt;EndNote&gt;&lt;Cite&gt;&lt;Author&gt;Luitel&lt;/Author&gt;&lt;Year&gt;2017&lt;/Year&gt;&lt;RecNum&gt;22039&lt;/RecNum&gt;&lt;DisplayText&gt;[7]&lt;/DisplayText&gt;&lt;record&gt;&lt;rec-number&gt;22039&lt;/rec-number&gt;&lt;foreign-keys&gt;&lt;key app="EN" db-id="ax0v2pxro500rte5pd0pvztksdwapad2rtaa" timestamp="1505929430"&gt;22039&lt;/key&gt;&lt;/foreign-keys&gt;&lt;ref-type name="Journal Article"&gt;17&lt;/ref-type&gt;&lt;contributors&gt;&lt;authors&gt;&lt;author&gt;Luitel, Nagendra P.&lt;/author&gt;&lt;author&gt;Jordans, Mark J. D.&lt;/author&gt;&lt;author&gt;Kohrt, Brandon A.&lt;/author&gt;&lt;author&gt;Rathod, Sujit D.&lt;/author&gt;&lt;author&gt;Komproe, Ivan H.&lt;/author&gt;&lt;/authors&gt;&lt;/contributors&gt;&lt;titles&gt;&lt;title&gt;Treatment gap and barriers for mental health care: A cross-sectional community survey in Nepal&lt;/title&gt;&lt;secondary-title&gt;PLOS ONE&lt;/secondary-title&gt;&lt;/titles&gt;&lt;periodical&gt;&lt;full-title&gt;PLoS ONE&lt;/full-title&gt;&lt;/periodical&gt;&lt;pages&gt;e0183223&lt;/pages&gt;&lt;volume&gt;12&lt;/volume&gt;&lt;number&gt;8&lt;/number&gt;&lt;dates&gt;&lt;year&gt;2017&lt;/year&gt;&lt;/dates&gt;&lt;publisher&gt;Public Library of Science&lt;/publisher&gt;&lt;urls&gt;&lt;related-urls&gt;&lt;url&gt;https://doi.org/10.1371/journal.pone.0183223&lt;/url&gt;&lt;/related-urls&gt;&lt;/urls&gt;&lt;electronic-resource-num&gt;10.1371/journal.pone.0183223&lt;/electronic-resource-num&gt;&lt;/record&gt;&lt;/Cite&gt;&lt;/EndNote&gt;</w:instrText>
      </w:r>
      <w:r w:rsidRPr="00442A52">
        <w:rPr>
          <w:rFonts w:ascii="Arial" w:hAnsi="Arial" w:cs="Arial"/>
          <w:sz w:val="22"/>
          <w:szCs w:val="22"/>
        </w:rPr>
        <w:fldChar w:fldCharType="separate"/>
      </w:r>
      <w:r w:rsidR="008F3B85">
        <w:rPr>
          <w:rFonts w:ascii="Arial" w:hAnsi="Arial" w:cs="Arial"/>
          <w:noProof/>
          <w:sz w:val="22"/>
          <w:szCs w:val="22"/>
        </w:rPr>
        <w:t>[7]</w:t>
      </w:r>
      <w:r w:rsidRPr="00442A52">
        <w:rPr>
          <w:rFonts w:ascii="Arial" w:hAnsi="Arial" w:cs="Arial"/>
          <w:sz w:val="22"/>
          <w:szCs w:val="22"/>
        </w:rPr>
        <w:fldChar w:fldCharType="end"/>
      </w:r>
      <w:r w:rsidRPr="00442A52">
        <w:rPr>
          <w:rFonts w:ascii="Arial" w:eastAsia="Arial" w:hAnsi="Arial" w:cs="Arial"/>
          <w:bCs/>
          <w:color w:val="000000"/>
          <w:sz w:val="22"/>
          <w:szCs w:val="22"/>
        </w:rPr>
        <w:t xml:space="preserve"> and patient level stigma measured with the Discrimination and Stigma Scale Short Version (DISCUS) </w:t>
      </w:r>
      <w:r w:rsidRPr="00442A52">
        <w:rPr>
          <w:rFonts w:ascii="Arial" w:eastAsia="Arial" w:hAnsi="Arial" w:cs="Arial"/>
          <w:bCs/>
          <w:color w:val="000000"/>
          <w:sz w:val="22"/>
          <w:szCs w:val="22"/>
        </w:rPr>
        <w:fldChar w:fldCharType="begin">
          <w:fldData xml:space="preserve">PEVuZE5vdGU+PENpdGU+PEF1dGhvcj5Ccm9oYW48L0F1dGhvcj48WWVhcj4yMDEzPC9ZZWFyPjxS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</w:fldData>
        </w:fldChar>
      </w:r>
      <w:r w:rsidR="008F3B85">
        <w:rPr>
          <w:rFonts w:ascii="Arial" w:eastAsia="Arial" w:hAnsi="Arial" w:cs="Arial"/>
          <w:bCs/>
          <w:color w:val="000000"/>
          <w:sz w:val="22"/>
          <w:szCs w:val="22"/>
        </w:rPr>
        <w:instrText xml:space="preserve"> ADDIN EN.CITE </w:instrText>
      </w:r>
      <w:r w:rsidR="008F3B85">
        <w:rPr>
          <w:rFonts w:ascii="Arial" w:eastAsia="Arial" w:hAnsi="Arial" w:cs="Arial"/>
          <w:bCs/>
          <w:color w:val="000000"/>
          <w:sz w:val="22"/>
          <w:szCs w:val="22"/>
        </w:rPr>
        <w:fldChar w:fldCharType="begin">
          <w:fldData xml:space="preserve">PEVuZE5vdGU+PENpdGU+PEF1dGhvcj5Ccm9oYW48L0F1dGhvcj48WWVhcj4yMDEzPC9ZZWFyPjxS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</w:fldData>
        </w:fldChar>
      </w:r>
      <w:r w:rsidR="008F3B85">
        <w:rPr>
          <w:rFonts w:ascii="Arial" w:eastAsia="Arial" w:hAnsi="Arial" w:cs="Arial"/>
          <w:bCs/>
          <w:color w:val="000000"/>
          <w:sz w:val="22"/>
          <w:szCs w:val="22"/>
        </w:rPr>
        <w:instrText xml:space="preserve"> ADDIN EN.CITE.DATA </w:instrText>
      </w:r>
      <w:r w:rsidR="008F3B85">
        <w:rPr>
          <w:rFonts w:ascii="Arial" w:eastAsia="Arial" w:hAnsi="Arial" w:cs="Arial"/>
          <w:bCs/>
          <w:color w:val="000000"/>
          <w:sz w:val="22"/>
          <w:szCs w:val="22"/>
        </w:rPr>
      </w:r>
      <w:r w:rsidR="008F3B85">
        <w:rPr>
          <w:rFonts w:ascii="Arial" w:eastAsia="Arial" w:hAnsi="Arial" w:cs="Arial"/>
          <w:bCs/>
          <w:color w:val="000000"/>
          <w:sz w:val="22"/>
          <w:szCs w:val="22"/>
        </w:rPr>
        <w:fldChar w:fldCharType="end"/>
      </w:r>
      <w:r w:rsidRPr="00442A52">
        <w:rPr>
          <w:rFonts w:ascii="Arial" w:eastAsia="Arial" w:hAnsi="Arial" w:cs="Arial"/>
          <w:bCs/>
          <w:color w:val="000000"/>
          <w:sz w:val="22"/>
          <w:szCs w:val="22"/>
        </w:rPr>
      </w:r>
      <w:r w:rsidRPr="00442A52">
        <w:rPr>
          <w:rFonts w:ascii="Arial" w:eastAsia="Arial" w:hAnsi="Arial" w:cs="Arial"/>
          <w:bCs/>
          <w:color w:val="000000"/>
          <w:sz w:val="22"/>
          <w:szCs w:val="22"/>
        </w:rPr>
        <w:fldChar w:fldCharType="separate"/>
      </w:r>
      <w:r w:rsidR="008F3B85">
        <w:rPr>
          <w:rFonts w:ascii="Arial" w:eastAsia="Arial" w:hAnsi="Arial" w:cs="Arial"/>
          <w:bCs/>
          <w:noProof/>
          <w:color w:val="000000"/>
          <w:sz w:val="22"/>
          <w:szCs w:val="22"/>
        </w:rPr>
        <w:t>[8]</w:t>
      </w:r>
      <w:r w:rsidRPr="00442A52">
        <w:rPr>
          <w:rFonts w:ascii="Arial" w:eastAsia="Arial" w:hAnsi="Arial" w:cs="Arial"/>
          <w:bCs/>
          <w:color w:val="000000"/>
          <w:sz w:val="22"/>
          <w:szCs w:val="22"/>
        </w:rPr>
        <w:fldChar w:fldCharType="end"/>
      </w:r>
      <w:r w:rsidRPr="00442A52">
        <w:rPr>
          <w:rFonts w:ascii="Arial" w:eastAsia="Arial" w:hAnsi="Arial" w:cs="Arial"/>
          <w:bCs/>
          <w:color w:val="000000"/>
          <w:sz w:val="22"/>
          <w:szCs w:val="22"/>
        </w:rPr>
        <w:t xml:space="preserve"> and Internalized Stigma of Mental Illness (ISMI) </w:t>
      </w:r>
      <w:r w:rsidRPr="00442A52">
        <w:rPr>
          <w:rFonts w:ascii="Arial" w:eastAsia="Arial" w:hAnsi="Arial" w:cs="Arial"/>
          <w:bCs/>
          <w:color w:val="000000"/>
          <w:sz w:val="22"/>
          <w:szCs w:val="22"/>
        </w:rPr>
        <w:fldChar w:fldCharType="begin"/>
      </w:r>
      <w:r w:rsidR="008F3B85">
        <w:rPr>
          <w:rFonts w:ascii="Arial" w:eastAsia="Arial" w:hAnsi="Arial" w:cs="Arial"/>
          <w:bCs/>
          <w:color w:val="000000"/>
          <w:sz w:val="22"/>
          <w:szCs w:val="22"/>
        </w:rPr>
        <w:instrText xml:space="preserve"> ADDIN EN.CITE &lt;EndNote&gt;&lt;Cite&gt;&lt;Author&gt;Ritsher&lt;/Author&gt;&lt;Year&gt;2003&lt;/Year&gt;&lt;RecNum&gt;24486&lt;/RecNum&gt;&lt;DisplayText&gt;[9]&lt;/DisplayText&gt;&lt;record&gt;&lt;rec-number&gt;24486&lt;/rec-number&gt;&lt;foreign-keys&gt;&lt;key app="EN" db-id="ax0v2pxro500rte5pd0pvztksdwapad2rtaa" timestamp="1596203007"&gt;24486&lt;/key&gt;&lt;/foreign-keys&gt;&lt;ref-type name="Journal Article"&gt;17&lt;/ref-type&gt;&lt;contributors&gt;&lt;authors&gt;&lt;author&gt;Ritsher, Jennifer Boyd&lt;/author&gt;&lt;author&gt;Otilingam, Poorni G&lt;/author&gt;&lt;author&gt;Grajales, Monica&lt;/author&gt;&lt;/authors&gt;&lt;/contributors&gt;&lt;titles&gt;&lt;title&gt;Internalized stigma of mental illness: psychometric properties of a new measure&lt;/title&gt;&lt;secondary-title&gt;Psychiatry research&lt;/secondary-title&gt;&lt;/titles&gt;&lt;pages&gt;31-49&lt;/pages&gt;&lt;volume&gt;121&lt;/volume&gt;&lt;number&gt;1&lt;/number&gt;&lt;dates&gt;&lt;year&gt;2003&lt;/year&gt;&lt;/dates&gt;&lt;isbn&gt;0165-1781&lt;/isbn&gt;&lt;urls&gt;&lt;/urls&gt;&lt;/record&gt;&lt;/Cite&gt;&lt;/EndNote&gt;</w:instrText>
      </w:r>
      <w:r w:rsidRPr="00442A52">
        <w:rPr>
          <w:rFonts w:ascii="Arial" w:eastAsia="Arial" w:hAnsi="Arial" w:cs="Arial"/>
          <w:bCs/>
          <w:color w:val="000000"/>
          <w:sz w:val="22"/>
          <w:szCs w:val="22"/>
        </w:rPr>
        <w:fldChar w:fldCharType="separate"/>
      </w:r>
      <w:r w:rsidR="008F3B85">
        <w:rPr>
          <w:rFonts w:ascii="Arial" w:eastAsia="Arial" w:hAnsi="Arial" w:cs="Arial"/>
          <w:bCs/>
          <w:noProof/>
          <w:color w:val="000000"/>
          <w:sz w:val="22"/>
          <w:szCs w:val="22"/>
        </w:rPr>
        <w:t>[9]</w:t>
      </w:r>
      <w:r w:rsidRPr="00442A52">
        <w:rPr>
          <w:rFonts w:ascii="Arial" w:eastAsia="Arial" w:hAnsi="Arial" w:cs="Arial"/>
          <w:bCs/>
          <w:color w:val="000000"/>
          <w:sz w:val="22"/>
          <w:szCs w:val="22"/>
        </w:rPr>
        <w:fldChar w:fldCharType="end"/>
      </w:r>
      <w:r w:rsidRPr="00442A52">
        <w:rPr>
          <w:rFonts w:ascii="Arial" w:eastAsia="Arial" w:hAnsi="Arial" w:cs="Arial"/>
          <w:bCs/>
          <w:color w:val="000000"/>
          <w:sz w:val="22"/>
          <w:szCs w:val="22"/>
        </w:rPr>
        <w:t xml:space="preserve">. These measures will </w:t>
      </w:r>
      <w:r>
        <w:rPr>
          <w:rFonts w:ascii="Arial" w:eastAsia="Arial" w:hAnsi="Arial" w:cs="Arial"/>
          <w:bCs/>
          <w:color w:val="000000"/>
          <w:sz w:val="22"/>
          <w:szCs w:val="22"/>
        </w:rPr>
        <w:t xml:space="preserve">also </w:t>
      </w:r>
      <w:r w:rsidRPr="00442A52">
        <w:rPr>
          <w:rFonts w:ascii="Arial" w:eastAsia="Arial" w:hAnsi="Arial" w:cs="Arial"/>
          <w:bCs/>
          <w:color w:val="000000"/>
          <w:sz w:val="22"/>
          <w:szCs w:val="22"/>
        </w:rPr>
        <w:t xml:space="preserve">be research assistant administered tools collected at </w:t>
      </w:r>
      <w:r w:rsidR="007A5958">
        <w:rPr>
          <w:rFonts w:ascii="Arial" w:eastAsia="Arial" w:hAnsi="Arial" w:cs="Arial"/>
          <w:bCs/>
          <w:color w:val="000000"/>
          <w:sz w:val="22"/>
          <w:szCs w:val="22"/>
        </w:rPr>
        <w:t xml:space="preserve">the </w:t>
      </w:r>
      <w:r w:rsidRPr="00442A52">
        <w:rPr>
          <w:rFonts w:ascii="Arial" w:eastAsia="Arial" w:hAnsi="Arial" w:cs="Arial"/>
          <w:bCs/>
          <w:color w:val="000000"/>
          <w:sz w:val="22"/>
          <w:szCs w:val="22"/>
        </w:rPr>
        <w:t xml:space="preserve">3- and 6-month follow-ups. </w:t>
      </w:r>
    </w:p>
    <w:p w14:paraId="7AAB5DDA" w14:textId="77777777" w:rsidR="00756AB9" w:rsidRDefault="00756AB9" w:rsidP="00756AB9">
      <w:pPr>
        <w:widowControl w:val="0"/>
        <w:pBdr>
          <w:top w:val="nil"/>
          <w:left w:val="nil"/>
          <w:bottom w:val="nil"/>
          <w:right w:val="nil"/>
          <w:between w:val="nil"/>
        </w:pBdr>
        <w:rPr>
          <w:rFonts w:ascii="Arial" w:eastAsia="Arial" w:hAnsi="Arial" w:cs="Arial"/>
          <w:b/>
          <w:color w:val="000000"/>
          <w:sz w:val="22"/>
          <w:szCs w:val="22"/>
        </w:rPr>
      </w:pPr>
      <w:bookmarkStart w:id="2" w:name="SupplementalTable1"/>
      <w:r>
        <w:rPr>
          <w:rFonts w:ascii="Arial" w:eastAsia="Arial" w:hAnsi="Arial" w:cs="Arial"/>
          <w:b/>
          <w:color w:val="000000"/>
          <w:sz w:val="22"/>
          <w:szCs w:val="22"/>
        </w:rPr>
        <w:br w:type="page"/>
      </w:r>
    </w:p>
    <w:p w14:paraId="6C1075E0" w14:textId="28C3CD65" w:rsidR="00756AB9" w:rsidRPr="00442A52" w:rsidRDefault="00756AB9" w:rsidP="00756AB9">
      <w:pPr>
        <w:widowControl w:val="0"/>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lastRenderedPageBreak/>
        <w:t>Table S1</w:t>
      </w:r>
      <w:r w:rsidRPr="00442A52">
        <w:rPr>
          <w:rFonts w:ascii="Arial" w:eastAsia="Arial" w:hAnsi="Arial" w:cs="Arial"/>
          <w:b/>
          <w:color w:val="000000"/>
          <w:sz w:val="22"/>
          <w:szCs w:val="22"/>
        </w:rPr>
        <w:t xml:space="preserve">. Participant timeline: </w:t>
      </w:r>
      <w:r w:rsidRPr="00442A52">
        <w:rPr>
          <w:rFonts w:ascii="Arial" w:eastAsia="Arial" w:hAnsi="Arial" w:cs="Arial"/>
          <w:bCs/>
          <w:color w:val="000000"/>
          <w:sz w:val="22"/>
          <w:szCs w:val="22"/>
        </w:rPr>
        <w:t>s</w:t>
      </w:r>
      <w:r w:rsidRPr="00442A52">
        <w:rPr>
          <w:rFonts w:ascii="Arial" w:eastAsia="Arial" w:hAnsi="Arial" w:cs="Arial"/>
          <w:color w:val="000000"/>
          <w:sz w:val="22"/>
          <w:szCs w:val="22"/>
        </w:rPr>
        <w:t>chedule of enrollment, interventions, and assessments for RESHAPE and IAU arms.</w:t>
      </w:r>
    </w:p>
    <w:bookmarkEnd w:id="2"/>
    <w:tbl>
      <w:tblPr>
        <w:tblW w:w="10445" w:type="dxa"/>
        <w:tblInd w:w="-5" w:type="dxa"/>
        <w:tblBorders>
          <w:top w:val="single" w:sz="4" w:space="0" w:color="262626"/>
          <w:left w:val="single" w:sz="4" w:space="0" w:color="262626"/>
          <w:bottom w:val="single" w:sz="4" w:space="0" w:color="262626"/>
          <w:right w:val="single" w:sz="4" w:space="0" w:color="262626"/>
          <w:insideH w:val="single" w:sz="6" w:space="0" w:color="262626"/>
          <w:insideV w:val="single" w:sz="6" w:space="0" w:color="262626"/>
        </w:tblBorders>
        <w:tblLayout w:type="fixed"/>
        <w:tblLook w:val="0000" w:firstRow="0" w:lastRow="0" w:firstColumn="0" w:lastColumn="0" w:noHBand="0" w:noVBand="0"/>
      </w:tblPr>
      <w:tblGrid>
        <w:gridCol w:w="2250"/>
        <w:gridCol w:w="1167"/>
        <w:gridCol w:w="1168"/>
        <w:gridCol w:w="680"/>
        <w:gridCol w:w="680"/>
        <w:gridCol w:w="680"/>
        <w:gridCol w:w="748"/>
        <w:gridCol w:w="721"/>
        <w:gridCol w:w="725"/>
        <w:gridCol w:w="726"/>
        <w:gridCol w:w="900"/>
      </w:tblGrid>
      <w:tr w:rsidR="00756AB9" w:rsidRPr="00442A52" w14:paraId="0023327F" w14:textId="77777777" w:rsidTr="00BC0444">
        <w:trPr>
          <w:trHeight w:val="20"/>
        </w:trPr>
        <w:tc>
          <w:tcPr>
            <w:tcW w:w="2250" w:type="dxa"/>
            <w:tcBorders>
              <w:top w:val="single" w:sz="4" w:space="0" w:color="262626"/>
              <w:right w:val="single" w:sz="12" w:space="0" w:color="000000"/>
            </w:tcBorders>
            <w:shd w:val="clear" w:color="auto" w:fill="auto"/>
            <w:vAlign w:val="center"/>
          </w:tcPr>
          <w:p w14:paraId="4E86F50E" w14:textId="77777777" w:rsidR="00756AB9" w:rsidRPr="00442A52" w:rsidRDefault="00756AB9" w:rsidP="00BC0444">
            <w:pPr>
              <w:jc w:val="center"/>
              <w:rPr>
                <w:rFonts w:ascii="Arial" w:eastAsia="Arial" w:hAnsi="Arial" w:cs="Arial"/>
                <w:b/>
                <w:sz w:val="16"/>
                <w:szCs w:val="16"/>
              </w:rPr>
            </w:pPr>
          </w:p>
        </w:tc>
        <w:tc>
          <w:tcPr>
            <w:tcW w:w="7295" w:type="dxa"/>
            <w:gridSpan w:val="9"/>
            <w:tcBorders>
              <w:top w:val="single" w:sz="4" w:space="0" w:color="262626"/>
              <w:left w:val="single" w:sz="12" w:space="0" w:color="000000"/>
              <w:right w:val="single" w:sz="4" w:space="0" w:color="262626"/>
            </w:tcBorders>
            <w:vAlign w:val="center"/>
          </w:tcPr>
          <w:p w14:paraId="2A73FC78" w14:textId="77777777" w:rsidR="00756AB9" w:rsidRPr="00442A52" w:rsidRDefault="00756AB9" w:rsidP="00BC0444">
            <w:pPr>
              <w:jc w:val="center"/>
              <w:rPr>
                <w:rFonts w:ascii="Arial" w:eastAsia="Arial" w:hAnsi="Arial" w:cs="Arial"/>
                <w:b/>
                <w:sz w:val="16"/>
                <w:szCs w:val="16"/>
              </w:rPr>
            </w:pPr>
            <w:r w:rsidRPr="00442A52">
              <w:rPr>
                <w:rFonts w:ascii="Arial" w:eastAsia="Arial" w:hAnsi="Arial" w:cs="Arial"/>
                <w:b/>
                <w:sz w:val="16"/>
                <w:szCs w:val="16"/>
              </w:rPr>
              <w:t>STUDY PERIOD</w:t>
            </w:r>
          </w:p>
        </w:tc>
        <w:tc>
          <w:tcPr>
            <w:tcW w:w="900" w:type="dxa"/>
            <w:tcBorders>
              <w:top w:val="single" w:sz="4" w:space="0" w:color="262626"/>
              <w:left w:val="single" w:sz="12" w:space="0" w:color="000000"/>
              <w:right w:val="single" w:sz="4" w:space="0" w:color="262626"/>
            </w:tcBorders>
          </w:tcPr>
          <w:p w14:paraId="3EA94E07" w14:textId="77777777" w:rsidR="00756AB9" w:rsidRPr="00442A52" w:rsidRDefault="00756AB9" w:rsidP="00BC0444">
            <w:pPr>
              <w:jc w:val="center"/>
              <w:rPr>
                <w:rFonts w:ascii="Arial" w:eastAsia="Arial" w:hAnsi="Arial" w:cs="Arial"/>
                <w:b/>
                <w:sz w:val="16"/>
                <w:szCs w:val="16"/>
              </w:rPr>
            </w:pPr>
          </w:p>
        </w:tc>
      </w:tr>
      <w:tr w:rsidR="00756AB9" w:rsidRPr="00442A52" w14:paraId="0FE2B642" w14:textId="77777777" w:rsidTr="00BC0444">
        <w:trPr>
          <w:trHeight w:val="333"/>
        </w:trPr>
        <w:tc>
          <w:tcPr>
            <w:tcW w:w="10445" w:type="dxa"/>
            <w:gridSpan w:val="11"/>
            <w:tcBorders>
              <w:top w:val="single" w:sz="12" w:space="0" w:color="262626"/>
              <w:bottom w:val="nil"/>
              <w:right w:val="single" w:sz="4" w:space="0" w:color="262626"/>
            </w:tcBorders>
            <w:shd w:val="clear" w:color="auto" w:fill="BFBFBF"/>
            <w:vAlign w:val="bottom"/>
          </w:tcPr>
          <w:p w14:paraId="6154DE58" w14:textId="77777777" w:rsidR="00756AB9" w:rsidRPr="00442A52" w:rsidRDefault="00756AB9" w:rsidP="00BC0444">
            <w:pPr>
              <w:ind w:left="341" w:hanging="360"/>
              <w:rPr>
                <w:rFonts w:ascii="Arial" w:eastAsia="Arial" w:hAnsi="Arial" w:cs="Arial"/>
                <w:b/>
                <w:sz w:val="16"/>
                <w:szCs w:val="16"/>
              </w:rPr>
            </w:pPr>
            <w:r w:rsidRPr="00442A52">
              <w:rPr>
                <w:rFonts w:ascii="Arial" w:eastAsia="Arial" w:hAnsi="Arial" w:cs="Arial"/>
                <w:b/>
                <w:sz w:val="16"/>
                <w:szCs w:val="16"/>
              </w:rPr>
              <w:t>PRIMARY CARE PROVIDERS</w:t>
            </w:r>
            <w:r w:rsidRPr="00442A52">
              <w:rPr>
                <w:rFonts w:ascii="Arial" w:eastAsia="Arial" w:hAnsi="Arial" w:cs="Arial"/>
                <w:sz w:val="16"/>
                <w:szCs w:val="16"/>
              </w:rPr>
              <w:t xml:space="preserve"> – trained to deliver mental health services in IAU or RESHAPE implementation strategy</w:t>
            </w:r>
          </w:p>
        </w:tc>
      </w:tr>
      <w:tr w:rsidR="00756AB9" w:rsidRPr="00442A52" w14:paraId="3490F290" w14:textId="77777777" w:rsidTr="00BC0444">
        <w:trPr>
          <w:trHeight w:val="20"/>
        </w:trPr>
        <w:tc>
          <w:tcPr>
            <w:tcW w:w="2250" w:type="dxa"/>
            <w:tcBorders>
              <w:bottom w:val="single" w:sz="6" w:space="0" w:color="262626"/>
              <w:right w:val="single" w:sz="12" w:space="0" w:color="000000"/>
            </w:tcBorders>
            <w:shd w:val="clear" w:color="auto" w:fill="auto"/>
            <w:vAlign w:val="bottom"/>
          </w:tcPr>
          <w:p w14:paraId="0776AD24" w14:textId="77777777" w:rsidR="00756AB9" w:rsidRPr="00442A52" w:rsidRDefault="00756AB9" w:rsidP="00BC0444">
            <w:pPr>
              <w:jc w:val="right"/>
              <w:rPr>
                <w:rFonts w:ascii="Arial" w:eastAsia="Arial" w:hAnsi="Arial" w:cs="Arial"/>
                <w:b/>
                <w:sz w:val="16"/>
                <w:szCs w:val="16"/>
              </w:rPr>
            </w:pPr>
          </w:p>
        </w:tc>
        <w:tc>
          <w:tcPr>
            <w:tcW w:w="1167" w:type="dxa"/>
            <w:tcBorders>
              <w:top w:val="single" w:sz="6" w:space="0" w:color="262626"/>
              <w:left w:val="single" w:sz="12" w:space="0" w:color="000000"/>
              <w:bottom w:val="single" w:sz="6" w:space="0" w:color="262626"/>
              <w:right w:val="single" w:sz="12" w:space="0" w:color="262626"/>
            </w:tcBorders>
            <w:shd w:val="clear" w:color="auto" w:fill="auto"/>
            <w:vAlign w:val="center"/>
          </w:tcPr>
          <w:p w14:paraId="6EDCE32A" w14:textId="77777777" w:rsidR="00756AB9" w:rsidRPr="00442A52" w:rsidRDefault="00756AB9" w:rsidP="00BC0444">
            <w:pPr>
              <w:jc w:val="center"/>
              <w:rPr>
                <w:rFonts w:ascii="Arial" w:eastAsia="Arial" w:hAnsi="Arial" w:cs="Arial"/>
                <w:b/>
                <w:sz w:val="16"/>
                <w:szCs w:val="16"/>
              </w:rPr>
            </w:pPr>
            <w:r w:rsidRPr="00442A52">
              <w:rPr>
                <w:rFonts w:ascii="Arial" w:eastAsia="Arial" w:hAnsi="Arial" w:cs="Arial"/>
                <w:b/>
                <w:sz w:val="16"/>
                <w:szCs w:val="16"/>
              </w:rPr>
              <w:t>Cluster Allocation</w:t>
            </w:r>
          </w:p>
        </w:tc>
        <w:tc>
          <w:tcPr>
            <w:tcW w:w="1168" w:type="dxa"/>
            <w:tcBorders>
              <w:top w:val="single" w:sz="6" w:space="0" w:color="262626"/>
              <w:left w:val="single" w:sz="12" w:space="0" w:color="262626"/>
              <w:bottom w:val="single" w:sz="6" w:space="0" w:color="262626"/>
              <w:right w:val="single" w:sz="12" w:space="0" w:color="262626"/>
            </w:tcBorders>
            <w:shd w:val="clear" w:color="auto" w:fill="auto"/>
            <w:vAlign w:val="center"/>
          </w:tcPr>
          <w:p w14:paraId="2B03BF17" w14:textId="77777777" w:rsidR="00756AB9" w:rsidRPr="00442A52" w:rsidRDefault="00756AB9" w:rsidP="00BC0444">
            <w:pPr>
              <w:jc w:val="center"/>
              <w:rPr>
                <w:rFonts w:ascii="Arial" w:eastAsia="Arial" w:hAnsi="Arial" w:cs="Arial"/>
                <w:b/>
                <w:sz w:val="16"/>
                <w:szCs w:val="16"/>
              </w:rPr>
            </w:pPr>
            <w:r w:rsidRPr="00442A52">
              <w:rPr>
                <w:rFonts w:ascii="Arial" w:eastAsia="Arial" w:hAnsi="Arial" w:cs="Arial"/>
                <w:b/>
                <w:sz w:val="16"/>
                <w:szCs w:val="16"/>
              </w:rPr>
              <w:t>Enrollment</w:t>
            </w:r>
          </w:p>
        </w:tc>
        <w:tc>
          <w:tcPr>
            <w:tcW w:w="4960" w:type="dxa"/>
            <w:gridSpan w:val="7"/>
            <w:tcBorders>
              <w:left w:val="single" w:sz="12" w:space="0" w:color="262626"/>
              <w:bottom w:val="single" w:sz="6" w:space="0" w:color="262626"/>
              <w:right w:val="single" w:sz="4" w:space="0" w:color="262626"/>
            </w:tcBorders>
            <w:shd w:val="clear" w:color="auto" w:fill="auto"/>
            <w:vAlign w:val="center"/>
          </w:tcPr>
          <w:p w14:paraId="49C6A082" w14:textId="77777777" w:rsidR="00756AB9" w:rsidRPr="00442A52" w:rsidRDefault="00756AB9" w:rsidP="00BC0444">
            <w:pPr>
              <w:jc w:val="center"/>
              <w:rPr>
                <w:rFonts w:ascii="Arial" w:eastAsia="Arial" w:hAnsi="Arial" w:cs="Arial"/>
                <w:b/>
                <w:sz w:val="16"/>
                <w:szCs w:val="16"/>
              </w:rPr>
            </w:pPr>
            <w:r w:rsidRPr="00442A52">
              <w:rPr>
                <w:rFonts w:ascii="Arial" w:eastAsia="Arial" w:hAnsi="Arial" w:cs="Arial"/>
                <w:b/>
                <w:sz w:val="16"/>
                <w:szCs w:val="16"/>
              </w:rPr>
              <w:t>Post-allocation</w:t>
            </w:r>
          </w:p>
        </w:tc>
        <w:tc>
          <w:tcPr>
            <w:tcW w:w="900" w:type="dxa"/>
            <w:tcBorders>
              <w:left w:val="single" w:sz="12" w:space="0" w:color="000000"/>
              <w:bottom w:val="single" w:sz="6" w:space="0" w:color="262626"/>
              <w:right w:val="single" w:sz="4" w:space="0" w:color="262626"/>
            </w:tcBorders>
            <w:vAlign w:val="center"/>
          </w:tcPr>
          <w:p w14:paraId="64087C2F" w14:textId="77777777" w:rsidR="00756AB9" w:rsidRPr="00442A52" w:rsidRDefault="00756AB9" w:rsidP="00BC0444">
            <w:pPr>
              <w:jc w:val="center"/>
              <w:rPr>
                <w:rFonts w:ascii="Arial" w:eastAsia="Arial" w:hAnsi="Arial" w:cs="Arial"/>
                <w:b/>
                <w:sz w:val="16"/>
                <w:szCs w:val="16"/>
              </w:rPr>
            </w:pPr>
            <w:r w:rsidRPr="00442A52">
              <w:rPr>
                <w:rFonts w:ascii="Arial" w:eastAsia="Arial" w:hAnsi="Arial" w:cs="Arial"/>
                <w:b/>
                <w:sz w:val="16"/>
                <w:szCs w:val="16"/>
              </w:rPr>
              <w:t>Close-out</w:t>
            </w:r>
          </w:p>
        </w:tc>
      </w:tr>
      <w:tr w:rsidR="00756AB9" w:rsidRPr="00442A52" w14:paraId="40EA03C5" w14:textId="77777777" w:rsidTr="00BC0444">
        <w:trPr>
          <w:trHeight w:val="20"/>
        </w:trPr>
        <w:tc>
          <w:tcPr>
            <w:tcW w:w="2250" w:type="dxa"/>
            <w:tcBorders>
              <w:top w:val="single" w:sz="6" w:space="0" w:color="262626"/>
              <w:bottom w:val="single" w:sz="12" w:space="0" w:color="262626"/>
              <w:right w:val="single" w:sz="12" w:space="0" w:color="000000"/>
            </w:tcBorders>
            <w:shd w:val="clear" w:color="auto" w:fill="E6E6E6"/>
            <w:vAlign w:val="center"/>
          </w:tcPr>
          <w:p w14:paraId="37B64FD6" w14:textId="77777777" w:rsidR="00756AB9" w:rsidRPr="00442A52" w:rsidRDefault="00756AB9" w:rsidP="00BC0444">
            <w:pPr>
              <w:jc w:val="right"/>
              <w:rPr>
                <w:rFonts w:ascii="Arial" w:eastAsia="Arial" w:hAnsi="Arial" w:cs="Arial"/>
                <w:sz w:val="16"/>
                <w:szCs w:val="16"/>
              </w:rPr>
            </w:pPr>
            <w:r w:rsidRPr="00442A52">
              <w:rPr>
                <w:rFonts w:ascii="Arial" w:eastAsia="Arial" w:hAnsi="Arial" w:cs="Arial"/>
                <w:b/>
                <w:sz w:val="16"/>
                <w:szCs w:val="16"/>
              </w:rPr>
              <w:t>TIMEPOINT</w:t>
            </w:r>
          </w:p>
        </w:tc>
        <w:tc>
          <w:tcPr>
            <w:tcW w:w="1167" w:type="dxa"/>
            <w:tcBorders>
              <w:top w:val="single" w:sz="6" w:space="0" w:color="262626"/>
              <w:left w:val="single" w:sz="12" w:space="0" w:color="000000"/>
              <w:bottom w:val="single" w:sz="12" w:space="0" w:color="262626"/>
              <w:right w:val="single" w:sz="12" w:space="0" w:color="262626"/>
            </w:tcBorders>
            <w:shd w:val="clear" w:color="auto" w:fill="E6E6E6"/>
            <w:vAlign w:val="center"/>
          </w:tcPr>
          <w:p w14:paraId="68219031"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1</w:t>
            </w:r>
          </w:p>
        </w:tc>
        <w:tc>
          <w:tcPr>
            <w:tcW w:w="1168" w:type="dxa"/>
            <w:tcBorders>
              <w:top w:val="single" w:sz="6" w:space="0" w:color="262626"/>
              <w:left w:val="single" w:sz="12" w:space="0" w:color="262626"/>
              <w:bottom w:val="single" w:sz="12" w:space="0" w:color="262626"/>
              <w:right w:val="single" w:sz="12" w:space="0" w:color="262626"/>
            </w:tcBorders>
            <w:shd w:val="clear" w:color="auto" w:fill="E6E6E6"/>
            <w:vAlign w:val="center"/>
          </w:tcPr>
          <w:p w14:paraId="6AA5A4A1"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0</w:t>
            </w:r>
          </w:p>
        </w:tc>
        <w:tc>
          <w:tcPr>
            <w:tcW w:w="680" w:type="dxa"/>
            <w:tcBorders>
              <w:top w:val="single" w:sz="6" w:space="0" w:color="262626"/>
              <w:left w:val="single" w:sz="12" w:space="0" w:color="262626"/>
              <w:bottom w:val="single" w:sz="12" w:space="0" w:color="262626"/>
            </w:tcBorders>
            <w:shd w:val="clear" w:color="auto" w:fill="E6E6E6"/>
            <w:vAlign w:val="center"/>
          </w:tcPr>
          <w:p w14:paraId="6FA9A5DA"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1</w:t>
            </w:r>
          </w:p>
        </w:tc>
        <w:tc>
          <w:tcPr>
            <w:tcW w:w="680" w:type="dxa"/>
            <w:tcBorders>
              <w:top w:val="single" w:sz="6" w:space="0" w:color="262626"/>
              <w:bottom w:val="single" w:sz="12" w:space="0" w:color="262626"/>
            </w:tcBorders>
            <w:shd w:val="clear" w:color="auto" w:fill="E6E6E6"/>
            <w:vAlign w:val="center"/>
          </w:tcPr>
          <w:p w14:paraId="5A4C9594"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2</w:t>
            </w:r>
          </w:p>
        </w:tc>
        <w:tc>
          <w:tcPr>
            <w:tcW w:w="680" w:type="dxa"/>
            <w:tcBorders>
              <w:top w:val="single" w:sz="6" w:space="0" w:color="262626"/>
              <w:bottom w:val="single" w:sz="12" w:space="0" w:color="262626"/>
            </w:tcBorders>
            <w:shd w:val="clear" w:color="auto" w:fill="E6E6E6"/>
            <w:vAlign w:val="center"/>
          </w:tcPr>
          <w:p w14:paraId="4713327F"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3</w:t>
            </w:r>
          </w:p>
        </w:tc>
        <w:tc>
          <w:tcPr>
            <w:tcW w:w="748" w:type="dxa"/>
            <w:tcBorders>
              <w:top w:val="single" w:sz="6" w:space="0" w:color="262626"/>
              <w:bottom w:val="single" w:sz="12" w:space="0" w:color="262626"/>
            </w:tcBorders>
            <w:shd w:val="clear" w:color="auto" w:fill="E6E6E6"/>
            <w:vAlign w:val="center"/>
          </w:tcPr>
          <w:p w14:paraId="468502E9"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4</w:t>
            </w:r>
          </w:p>
        </w:tc>
        <w:tc>
          <w:tcPr>
            <w:tcW w:w="721" w:type="dxa"/>
            <w:tcBorders>
              <w:top w:val="single" w:sz="6" w:space="0" w:color="262626"/>
              <w:bottom w:val="single" w:sz="12" w:space="0" w:color="262626"/>
              <w:right w:val="single" w:sz="12" w:space="0" w:color="000000"/>
            </w:tcBorders>
            <w:shd w:val="clear" w:color="auto" w:fill="E6E6E6"/>
            <w:vAlign w:val="center"/>
          </w:tcPr>
          <w:p w14:paraId="77CD7723"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5</w:t>
            </w:r>
          </w:p>
        </w:tc>
        <w:tc>
          <w:tcPr>
            <w:tcW w:w="725"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20607965"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6</w:t>
            </w:r>
          </w:p>
        </w:tc>
        <w:tc>
          <w:tcPr>
            <w:tcW w:w="726"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301DDEF3"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7</w:t>
            </w:r>
          </w:p>
        </w:tc>
        <w:tc>
          <w:tcPr>
            <w:tcW w:w="900"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04FEE028"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8</w:t>
            </w:r>
          </w:p>
        </w:tc>
      </w:tr>
      <w:tr w:rsidR="00756AB9" w:rsidRPr="00442A52" w14:paraId="2387A234" w14:textId="77777777" w:rsidTr="00BC0444">
        <w:trPr>
          <w:trHeight w:val="20"/>
        </w:trPr>
        <w:tc>
          <w:tcPr>
            <w:tcW w:w="2250" w:type="dxa"/>
            <w:tcBorders>
              <w:top w:val="single" w:sz="6" w:space="0" w:color="262626"/>
              <w:bottom w:val="single" w:sz="12" w:space="0" w:color="262626"/>
              <w:right w:val="single" w:sz="12" w:space="0" w:color="000000"/>
            </w:tcBorders>
            <w:shd w:val="clear" w:color="auto" w:fill="E6E6E6"/>
            <w:vAlign w:val="center"/>
          </w:tcPr>
          <w:p w14:paraId="6C9F80F8" w14:textId="77777777" w:rsidR="00756AB9" w:rsidRPr="00442A52" w:rsidRDefault="00756AB9" w:rsidP="00BC0444">
            <w:pPr>
              <w:jc w:val="right"/>
              <w:rPr>
                <w:rFonts w:ascii="Arial" w:eastAsia="Arial" w:hAnsi="Arial" w:cs="Arial"/>
                <w:b/>
                <w:sz w:val="16"/>
                <w:szCs w:val="16"/>
              </w:rPr>
            </w:pPr>
            <w:r w:rsidRPr="00442A52">
              <w:rPr>
                <w:rFonts w:ascii="Arial" w:eastAsia="Arial" w:hAnsi="Arial" w:cs="Arial"/>
                <w:b/>
                <w:sz w:val="16"/>
                <w:szCs w:val="16"/>
              </w:rPr>
              <w:t xml:space="preserve">Month </w:t>
            </w:r>
          </w:p>
        </w:tc>
        <w:tc>
          <w:tcPr>
            <w:tcW w:w="1167" w:type="dxa"/>
            <w:tcBorders>
              <w:top w:val="single" w:sz="6" w:space="0" w:color="262626"/>
              <w:left w:val="single" w:sz="12" w:space="0" w:color="000000"/>
              <w:bottom w:val="single" w:sz="12" w:space="0" w:color="262626"/>
              <w:right w:val="single" w:sz="12" w:space="0" w:color="262626"/>
            </w:tcBorders>
            <w:shd w:val="clear" w:color="auto" w:fill="E6E6E6"/>
            <w:vAlign w:val="center"/>
          </w:tcPr>
          <w:p w14:paraId="3E239338"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0</w:t>
            </w:r>
          </w:p>
        </w:tc>
        <w:tc>
          <w:tcPr>
            <w:tcW w:w="1168" w:type="dxa"/>
            <w:tcBorders>
              <w:top w:val="single" w:sz="6" w:space="0" w:color="262626"/>
              <w:left w:val="single" w:sz="12" w:space="0" w:color="262626"/>
              <w:bottom w:val="single" w:sz="12" w:space="0" w:color="262626"/>
              <w:right w:val="single" w:sz="12" w:space="0" w:color="262626"/>
            </w:tcBorders>
            <w:shd w:val="clear" w:color="auto" w:fill="E6E6E6"/>
            <w:vAlign w:val="center"/>
          </w:tcPr>
          <w:p w14:paraId="75D39F30"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1</w:t>
            </w:r>
          </w:p>
        </w:tc>
        <w:tc>
          <w:tcPr>
            <w:tcW w:w="680" w:type="dxa"/>
            <w:tcBorders>
              <w:top w:val="single" w:sz="6" w:space="0" w:color="262626"/>
              <w:left w:val="single" w:sz="12" w:space="0" w:color="262626"/>
              <w:bottom w:val="single" w:sz="12" w:space="0" w:color="262626"/>
            </w:tcBorders>
            <w:shd w:val="clear" w:color="auto" w:fill="E6E6E6"/>
            <w:vAlign w:val="center"/>
          </w:tcPr>
          <w:p w14:paraId="528ED817"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1</w:t>
            </w:r>
          </w:p>
        </w:tc>
        <w:tc>
          <w:tcPr>
            <w:tcW w:w="680" w:type="dxa"/>
            <w:tcBorders>
              <w:top w:val="single" w:sz="6" w:space="0" w:color="262626"/>
              <w:bottom w:val="single" w:sz="12" w:space="0" w:color="262626"/>
            </w:tcBorders>
            <w:shd w:val="clear" w:color="auto" w:fill="E6E6E6"/>
            <w:vAlign w:val="center"/>
          </w:tcPr>
          <w:p w14:paraId="4D04DAAC"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1</w:t>
            </w:r>
          </w:p>
        </w:tc>
        <w:tc>
          <w:tcPr>
            <w:tcW w:w="680" w:type="dxa"/>
            <w:tcBorders>
              <w:top w:val="single" w:sz="6" w:space="0" w:color="262626"/>
              <w:bottom w:val="single" w:sz="12" w:space="0" w:color="262626"/>
            </w:tcBorders>
            <w:shd w:val="clear" w:color="auto" w:fill="E6E6E6"/>
            <w:vAlign w:val="center"/>
          </w:tcPr>
          <w:p w14:paraId="4E45DD0A"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3</w:t>
            </w:r>
          </w:p>
        </w:tc>
        <w:tc>
          <w:tcPr>
            <w:tcW w:w="748" w:type="dxa"/>
            <w:tcBorders>
              <w:top w:val="single" w:sz="6" w:space="0" w:color="262626"/>
              <w:bottom w:val="single" w:sz="12" w:space="0" w:color="262626"/>
            </w:tcBorders>
            <w:shd w:val="clear" w:color="auto" w:fill="E6E6E6"/>
            <w:vAlign w:val="center"/>
          </w:tcPr>
          <w:p w14:paraId="693D9954" w14:textId="77777777" w:rsidR="00756AB9" w:rsidRPr="00442A52" w:rsidRDefault="00756AB9" w:rsidP="00BC0444">
            <w:pPr>
              <w:jc w:val="center"/>
              <w:rPr>
                <w:rFonts w:ascii="Arial" w:eastAsia="Arial" w:hAnsi="Arial" w:cs="Arial"/>
                <w:bCs/>
                <w:i/>
                <w:sz w:val="16"/>
                <w:szCs w:val="16"/>
              </w:rPr>
            </w:pPr>
          </w:p>
        </w:tc>
        <w:tc>
          <w:tcPr>
            <w:tcW w:w="721" w:type="dxa"/>
            <w:tcBorders>
              <w:top w:val="single" w:sz="6" w:space="0" w:color="262626"/>
              <w:bottom w:val="single" w:sz="12" w:space="0" w:color="262626"/>
              <w:right w:val="single" w:sz="12" w:space="0" w:color="000000"/>
            </w:tcBorders>
            <w:shd w:val="clear" w:color="auto" w:fill="E6E6E6"/>
            <w:vAlign w:val="center"/>
          </w:tcPr>
          <w:p w14:paraId="7B301D67" w14:textId="77777777" w:rsidR="00756AB9" w:rsidRPr="00442A52" w:rsidRDefault="00756AB9" w:rsidP="00BC0444">
            <w:pPr>
              <w:jc w:val="center"/>
              <w:rPr>
                <w:rFonts w:ascii="Arial" w:eastAsia="Arial" w:hAnsi="Arial" w:cs="Arial"/>
                <w:bCs/>
                <w:i/>
                <w:sz w:val="16"/>
                <w:szCs w:val="16"/>
              </w:rPr>
            </w:pPr>
          </w:p>
        </w:tc>
        <w:tc>
          <w:tcPr>
            <w:tcW w:w="725"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7FE4FC37"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6</w:t>
            </w:r>
          </w:p>
        </w:tc>
        <w:tc>
          <w:tcPr>
            <w:tcW w:w="726"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0EACB74E" w14:textId="77777777" w:rsidR="00756AB9" w:rsidRPr="00442A52" w:rsidRDefault="00756AB9" w:rsidP="00BC0444">
            <w:pPr>
              <w:jc w:val="center"/>
              <w:rPr>
                <w:rFonts w:ascii="Arial" w:eastAsia="Arial" w:hAnsi="Arial" w:cs="Arial"/>
                <w:bCs/>
                <w:i/>
                <w:sz w:val="16"/>
                <w:szCs w:val="16"/>
              </w:rPr>
            </w:pPr>
          </w:p>
        </w:tc>
        <w:tc>
          <w:tcPr>
            <w:tcW w:w="900"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1300DF6A"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11</w:t>
            </w:r>
          </w:p>
        </w:tc>
      </w:tr>
      <w:tr w:rsidR="00756AB9" w:rsidRPr="00442A52" w14:paraId="06E983BA" w14:textId="77777777" w:rsidTr="00BC0444">
        <w:trPr>
          <w:trHeight w:val="20"/>
        </w:trPr>
        <w:tc>
          <w:tcPr>
            <w:tcW w:w="2250" w:type="dxa"/>
            <w:tcBorders>
              <w:top w:val="single" w:sz="6" w:space="0" w:color="262626"/>
              <w:bottom w:val="single" w:sz="12" w:space="0" w:color="262626"/>
              <w:right w:val="single" w:sz="12" w:space="0" w:color="000000"/>
            </w:tcBorders>
            <w:shd w:val="clear" w:color="auto" w:fill="E6E6E6"/>
            <w:vAlign w:val="center"/>
          </w:tcPr>
          <w:p w14:paraId="25665D50" w14:textId="77777777" w:rsidR="00756AB9" w:rsidRPr="00442A52" w:rsidRDefault="00756AB9" w:rsidP="00BC0444">
            <w:pPr>
              <w:jc w:val="right"/>
              <w:rPr>
                <w:rFonts w:ascii="Arial" w:eastAsia="Arial" w:hAnsi="Arial" w:cs="Arial"/>
                <w:b/>
                <w:sz w:val="16"/>
                <w:szCs w:val="16"/>
              </w:rPr>
            </w:pPr>
            <w:r w:rsidRPr="00442A52">
              <w:rPr>
                <w:rFonts w:ascii="Arial" w:eastAsia="Arial" w:hAnsi="Arial" w:cs="Arial"/>
                <w:b/>
                <w:sz w:val="16"/>
                <w:szCs w:val="16"/>
              </w:rPr>
              <w:t>Primary Care Provider</w:t>
            </w:r>
            <w:r w:rsidRPr="00442A52">
              <w:rPr>
                <w:rFonts w:ascii="Arial" w:eastAsia="Arial" w:hAnsi="Arial" w:cs="Arial"/>
                <w:b/>
                <w:sz w:val="16"/>
                <w:szCs w:val="16"/>
              </w:rPr>
              <w:br/>
              <w:t xml:space="preserve"> Data Collection Point</w:t>
            </w:r>
          </w:p>
        </w:tc>
        <w:tc>
          <w:tcPr>
            <w:tcW w:w="1167" w:type="dxa"/>
            <w:tcBorders>
              <w:top w:val="single" w:sz="6" w:space="0" w:color="262626"/>
              <w:left w:val="single" w:sz="12" w:space="0" w:color="000000"/>
              <w:bottom w:val="single" w:sz="12" w:space="0" w:color="262626"/>
              <w:right w:val="single" w:sz="12" w:space="0" w:color="262626"/>
            </w:tcBorders>
            <w:shd w:val="clear" w:color="auto" w:fill="E6E6E6"/>
            <w:vAlign w:val="center"/>
          </w:tcPr>
          <w:p w14:paraId="63169748" w14:textId="77777777" w:rsidR="00756AB9" w:rsidRPr="00442A52" w:rsidRDefault="00756AB9" w:rsidP="00BC0444">
            <w:pPr>
              <w:jc w:val="center"/>
              <w:rPr>
                <w:rFonts w:ascii="Arial" w:eastAsia="Arial" w:hAnsi="Arial" w:cs="Arial"/>
                <w:b/>
                <w:i/>
                <w:sz w:val="16"/>
                <w:szCs w:val="16"/>
              </w:rPr>
            </w:pPr>
          </w:p>
        </w:tc>
        <w:tc>
          <w:tcPr>
            <w:tcW w:w="1168" w:type="dxa"/>
            <w:tcBorders>
              <w:top w:val="single" w:sz="6" w:space="0" w:color="262626"/>
              <w:left w:val="single" w:sz="12" w:space="0" w:color="262626"/>
              <w:bottom w:val="single" w:sz="12" w:space="0" w:color="262626"/>
              <w:right w:val="single" w:sz="12" w:space="0" w:color="262626"/>
            </w:tcBorders>
            <w:shd w:val="clear" w:color="auto" w:fill="E6E6E6"/>
            <w:vAlign w:val="center"/>
          </w:tcPr>
          <w:p w14:paraId="74B6A176"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PCP</w:t>
            </w:r>
            <w:r w:rsidRPr="00442A52">
              <w:rPr>
                <w:rFonts w:ascii="Arial" w:eastAsia="Arial" w:hAnsi="Arial" w:cs="Arial"/>
                <w:b/>
                <w:i/>
                <w:sz w:val="16"/>
                <w:szCs w:val="16"/>
                <w:vertAlign w:val="subscript"/>
              </w:rPr>
              <w:t>Screen</w:t>
            </w:r>
          </w:p>
        </w:tc>
        <w:tc>
          <w:tcPr>
            <w:tcW w:w="680" w:type="dxa"/>
            <w:tcBorders>
              <w:top w:val="single" w:sz="6" w:space="0" w:color="262626"/>
              <w:left w:val="single" w:sz="12" w:space="0" w:color="262626"/>
              <w:bottom w:val="single" w:sz="12" w:space="0" w:color="262626"/>
            </w:tcBorders>
            <w:shd w:val="clear" w:color="auto" w:fill="E6E6E6"/>
            <w:vAlign w:val="center"/>
          </w:tcPr>
          <w:p w14:paraId="1D5D12D2"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PCP</w:t>
            </w:r>
            <w:r w:rsidRPr="00442A52">
              <w:rPr>
                <w:rFonts w:ascii="Arial" w:eastAsia="Arial" w:hAnsi="Arial" w:cs="Arial"/>
                <w:b/>
                <w:i/>
                <w:sz w:val="16"/>
                <w:szCs w:val="16"/>
                <w:vertAlign w:val="subscript"/>
              </w:rPr>
              <w:t>T0</w:t>
            </w:r>
          </w:p>
        </w:tc>
        <w:tc>
          <w:tcPr>
            <w:tcW w:w="680" w:type="dxa"/>
            <w:tcBorders>
              <w:top w:val="single" w:sz="6" w:space="0" w:color="262626"/>
              <w:bottom w:val="single" w:sz="12" w:space="0" w:color="262626"/>
            </w:tcBorders>
            <w:shd w:val="clear" w:color="auto" w:fill="E6E6E6"/>
            <w:vAlign w:val="center"/>
          </w:tcPr>
          <w:p w14:paraId="16A7CBF2"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PCP</w:t>
            </w:r>
            <w:r w:rsidRPr="00442A52">
              <w:rPr>
                <w:rFonts w:ascii="Arial" w:eastAsia="Arial" w:hAnsi="Arial" w:cs="Arial"/>
                <w:b/>
                <w:i/>
                <w:sz w:val="16"/>
                <w:szCs w:val="16"/>
                <w:vertAlign w:val="subscript"/>
              </w:rPr>
              <w:t>T1</w:t>
            </w:r>
          </w:p>
        </w:tc>
        <w:tc>
          <w:tcPr>
            <w:tcW w:w="680" w:type="dxa"/>
            <w:tcBorders>
              <w:top w:val="single" w:sz="6" w:space="0" w:color="262626"/>
              <w:bottom w:val="single" w:sz="12" w:space="0" w:color="262626"/>
            </w:tcBorders>
            <w:shd w:val="clear" w:color="auto" w:fill="E6E6E6"/>
            <w:vAlign w:val="center"/>
          </w:tcPr>
          <w:p w14:paraId="3E47CB98"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PCP</w:t>
            </w:r>
            <w:r w:rsidRPr="00442A52">
              <w:rPr>
                <w:rFonts w:ascii="Arial" w:eastAsia="Arial" w:hAnsi="Arial" w:cs="Arial"/>
                <w:b/>
                <w:i/>
                <w:sz w:val="16"/>
                <w:szCs w:val="16"/>
                <w:vertAlign w:val="subscript"/>
              </w:rPr>
              <w:t>T2</w:t>
            </w:r>
          </w:p>
        </w:tc>
        <w:tc>
          <w:tcPr>
            <w:tcW w:w="748" w:type="dxa"/>
            <w:tcBorders>
              <w:top w:val="single" w:sz="6" w:space="0" w:color="262626"/>
              <w:bottom w:val="single" w:sz="12" w:space="0" w:color="262626"/>
            </w:tcBorders>
            <w:shd w:val="clear" w:color="auto" w:fill="E6E6E6"/>
            <w:vAlign w:val="center"/>
          </w:tcPr>
          <w:p w14:paraId="635A6766" w14:textId="77777777" w:rsidR="00756AB9" w:rsidRPr="00442A52" w:rsidRDefault="00756AB9" w:rsidP="00BC0444">
            <w:pPr>
              <w:jc w:val="center"/>
              <w:rPr>
                <w:rFonts w:ascii="Arial" w:eastAsia="Arial" w:hAnsi="Arial" w:cs="Arial"/>
                <w:b/>
                <w:i/>
                <w:sz w:val="16"/>
                <w:szCs w:val="16"/>
              </w:rPr>
            </w:pPr>
          </w:p>
        </w:tc>
        <w:tc>
          <w:tcPr>
            <w:tcW w:w="721" w:type="dxa"/>
            <w:tcBorders>
              <w:top w:val="single" w:sz="6" w:space="0" w:color="262626"/>
              <w:bottom w:val="single" w:sz="12" w:space="0" w:color="262626"/>
              <w:right w:val="single" w:sz="12" w:space="0" w:color="000000"/>
            </w:tcBorders>
            <w:shd w:val="clear" w:color="auto" w:fill="E6E6E6"/>
            <w:vAlign w:val="center"/>
          </w:tcPr>
          <w:p w14:paraId="1E3DA473" w14:textId="77777777" w:rsidR="00756AB9" w:rsidRPr="00442A52" w:rsidRDefault="00756AB9" w:rsidP="00BC0444">
            <w:pPr>
              <w:jc w:val="center"/>
              <w:rPr>
                <w:rFonts w:ascii="Arial" w:eastAsia="Arial" w:hAnsi="Arial" w:cs="Arial"/>
                <w:b/>
                <w:i/>
                <w:sz w:val="16"/>
                <w:szCs w:val="16"/>
              </w:rPr>
            </w:pPr>
          </w:p>
        </w:tc>
        <w:tc>
          <w:tcPr>
            <w:tcW w:w="725"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3DDA94F0"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PCP</w:t>
            </w:r>
            <w:r w:rsidRPr="00442A52">
              <w:rPr>
                <w:rFonts w:ascii="Arial" w:eastAsia="Arial" w:hAnsi="Arial" w:cs="Arial"/>
                <w:b/>
                <w:i/>
                <w:sz w:val="16"/>
                <w:szCs w:val="16"/>
                <w:vertAlign w:val="subscript"/>
              </w:rPr>
              <w:t>T3</w:t>
            </w:r>
          </w:p>
        </w:tc>
        <w:tc>
          <w:tcPr>
            <w:tcW w:w="726"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059087C5" w14:textId="77777777" w:rsidR="00756AB9" w:rsidRPr="00442A52" w:rsidRDefault="00756AB9" w:rsidP="00BC0444">
            <w:pPr>
              <w:jc w:val="center"/>
              <w:rPr>
                <w:rFonts w:ascii="Arial" w:eastAsia="Arial" w:hAnsi="Arial" w:cs="Arial"/>
                <w:b/>
                <w:i/>
                <w:sz w:val="16"/>
                <w:szCs w:val="16"/>
              </w:rPr>
            </w:pPr>
          </w:p>
        </w:tc>
        <w:tc>
          <w:tcPr>
            <w:tcW w:w="900"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14B5361C" w14:textId="77777777" w:rsidR="00756AB9" w:rsidRPr="00442A52" w:rsidRDefault="00756AB9" w:rsidP="00BC0444">
            <w:pPr>
              <w:jc w:val="center"/>
              <w:rPr>
                <w:rFonts w:ascii="Arial" w:eastAsia="Arial" w:hAnsi="Arial" w:cs="Arial"/>
                <w:b/>
                <w:i/>
                <w:sz w:val="16"/>
                <w:szCs w:val="16"/>
              </w:rPr>
            </w:pPr>
          </w:p>
        </w:tc>
      </w:tr>
      <w:tr w:rsidR="00756AB9" w:rsidRPr="00442A52" w14:paraId="29730098" w14:textId="77777777" w:rsidTr="00BC0444">
        <w:trPr>
          <w:trHeight w:val="20"/>
        </w:trPr>
        <w:tc>
          <w:tcPr>
            <w:tcW w:w="2250" w:type="dxa"/>
            <w:tcBorders>
              <w:top w:val="single" w:sz="4" w:space="0" w:color="000000"/>
              <w:bottom w:val="nil"/>
              <w:right w:val="single" w:sz="12" w:space="0" w:color="000000"/>
            </w:tcBorders>
            <w:shd w:val="clear" w:color="auto" w:fill="auto"/>
            <w:vAlign w:val="center"/>
          </w:tcPr>
          <w:p w14:paraId="476F28D9" w14:textId="77777777" w:rsidR="00756AB9" w:rsidRPr="00442A52" w:rsidRDefault="00756AB9" w:rsidP="00BC0444">
            <w:pPr>
              <w:rPr>
                <w:rFonts w:ascii="Arial" w:eastAsia="Arial" w:hAnsi="Arial" w:cs="Arial"/>
                <w:b/>
                <w:sz w:val="16"/>
                <w:szCs w:val="16"/>
              </w:rPr>
            </w:pPr>
            <w:r w:rsidRPr="00442A52">
              <w:rPr>
                <w:rFonts w:ascii="Arial" w:eastAsia="Arial" w:hAnsi="Arial" w:cs="Arial"/>
                <w:b/>
                <w:sz w:val="16"/>
                <w:szCs w:val="16"/>
              </w:rPr>
              <w:t>ENROLLMENT:</w:t>
            </w:r>
          </w:p>
        </w:tc>
        <w:tc>
          <w:tcPr>
            <w:tcW w:w="6569" w:type="dxa"/>
            <w:gridSpan w:val="8"/>
            <w:tcBorders>
              <w:top w:val="single" w:sz="4" w:space="0" w:color="000000"/>
              <w:left w:val="single" w:sz="12" w:space="0" w:color="000000"/>
              <w:right w:val="single" w:sz="4" w:space="0" w:color="262626"/>
            </w:tcBorders>
            <w:shd w:val="clear" w:color="auto" w:fill="auto"/>
            <w:vAlign w:val="center"/>
          </w:tcPr>
          <w:p w14:paraId="0E7EE21B" w14:textId="77777777" w:rsidR="00756AB9" w:rsidRPr="00442A52" w:rsidRDefault="00756AB9" w:rsidP="00BC0444">
            <w:pPr>
              <w:jc w:val="center"/>
              <w:rPr>
                <w:rFonts w:ascii="Arial" w:eastAsia="Arial" w:hAnsi="Arial" w:cs="Arial"/>
                <w:sz w:val="16"/>
                <w:szCs w:val="16"/>
              </w:rPr>
            </w:pPr>
          </w:p>
        </w:tc>
        <w:tc>
          <w:tcPr>
            <w:tcW w:w="726" w:type="dxa"/>
            <w:tcBorders>
              <w:top w:val="single" w:sz="4" w:space="0" w:color="000000"/>
              <w:left w:val="single" w:sz="12" w:space="0" w:color="000000"/>
              <w:right w:val="single" w:sz="4" w:space="0" w:color="262626"/>
            </w:tcBorders>
            <w:vAlign w:val="center"/>
          </w:tcPr>
          <w:p w14:paraId="34B4CE0C" w14:textId="77777777" w:rsidR="00756AB9" w:rsidRPr="00442A52" w:rsidRDefault="00756AB9" w:rsidP="00BC0444">
            <w:pPr>
              <w:jc w:val="center"/>
              <w:rPr>
                <w:rFonts w:ascii="Arial" w:eastAsia="Arial" w:hAnsi="Arial" w:cs="Arial"/>
                <w:sz w:val="16"/>
                <w:szCs w:val="16"/>
              </w:rPr>
            </w:pPr>
          </w:p>
        </w:tc>
        <w:tc>
          <w:tcPr>
            <w:tcW w:w="900" w:type="dxa"/>
            <w:tcBorders>
              <w:top w:val="single" w:sz="4" w:space="0" w:color="000000"/>
              <w:left w:val="single" w:sz="12" w:space="0" w:color="000000"/>
              <w:right w:val="single" w:sz="4" w:space="0" w:color="262626"/>
            </w:tcBorders>
            <w:vAlign w:val="center"/>
          </w:tcPr>
          <w:p w14:paraId="17516A98" w14:textId="77777777" w:rsidR="00756AB9" w:rsidRPr="00442A52" w:rsidRDefault="00756AB9" w:rsidP="00BC0444">
            <w:pPr>
              <w:jc w:val="center"/>
              <w:rPr>
                <w:rFonts w:ascii="Arial" w:eastAsia="Arial" w:hAnsi="Arial" w:cs="Arial"/>
                <w:sz w:val="16"/>
                <w:szCs w:val="16"/>
              </w:rPr>
            </w:pPr>
          </w:p>
        </w:tc>
      </w:tr>
      <w:tr w:rsidR="00756AB9" w:rsidRPr="00442A52" w14:paraId="4E9411B4" w14:textId="77777777" w:rsidTr="00BC0444">
        <w:trPr>
          <w:trHeight w:val="20"/>
        </w:trPr>
        <w:tc>
          <w:tcPr>
            <w:tcW w:w="2250" w:type="dxa"/>
            <w:tcBorders>
              <w:top w:val="nil"/>
              <w:bottom w:val="nil"/>
              <w:right w:val="single" w:sz="12" w:space="0" w:color="000000"/>
            </w:tcBorders>
            <w:shd w:val="clear" w:color="auto" w:fill="auto"/>
            <w:vAlign w:val="center"/>
          </w:tcPr>
          <w:p w14:paraId="3BEA839D"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Allocation</w:t>
            </w:r>
          </w:p>
        </w:tc>
        <w:tc>
          <w:tcPr>
            <w:tcW w:w="1167" w:type="dxa"/>
            <w:tcBorders>
              <w:left w:val="single" w:sz="12" w:space="0" w:color="000000"/>
              <w:right w:val="single" w:sz="12" w:space="0" w:color="262626"/>
            </w:tcBorders>
            <w:shd w:val="clear" w:color="auto" w:fill="auto"/>
            <w:vAlign w:val="center"/>
          </w:tcPr>
          <w:p w14:paraId="2EC7E0F3"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1168" w:type="dxa"/>
            <w:tcBorders>
              <w:left w:val="single" w:sz="12" w:space="0" w:color="262626"/>
              <w:right w:val="single" w:sz="12" w:space="0" w:color="262626"/>
            </w:tcBorders>
            <w:shd w:val="clear" w:color="auto" w:fill="auto"/>
            <w:vAlign w:val="center"/>
          </w:tcPr>
          <w:p w14:paraId="450D859F"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32CBF935"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562434ED"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460F5DA9"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5688F602"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5F528DDB"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7D18F04F"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40C7FA2A"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52D4F3A6" w14:textId="77777777" w:rsidR="00756AB9" w:rsidRPr="00442A52" w:rsidRDefault="00756AB9" w:rsidP="00BC0444">
            <w:pPr>
              <w:jc w:val="center"/>
              <w:rPr>
                <w:rFonts w:ascii="Arial" w:eastAsia="Arial" w:hAnsi="Arial" w:cs="Arial"/>
                <w:sz w:val="16"/>
                <w:szCs w:val="16"/>
              </w:rPr>
            </w:pPr>
          </w:p>
        </w:tc>
      </w:tr>
      <w:tr w:rsidR="00756AB9" w:rsidRPr="00442A52" w14:paraId="711E7AA3" w14:textId="77777777" w:rsidTr="00BC0444">
        <w:trPr>
          <w:trHeight w:val="20"/>
        </w:trPr>
        <w:tc>
          <w:tcPr>
            <w:tcW w:w="2250" w:type="dxa"/>
            <w:tcBorders>
              <w:top w:val="nil"/>
              <w:bottom w:val="nil"/>
              <w:right w:val="single" w:sz="12" w:space="0" w:color="000000"/>
            </w:tcBorders>
            <w:shd w:val="clear" w:color="auto" w:fill="auto"/>
            <w:vAlign w:val="center"/>
          </w:tcPr>
          <w:p w14:paraId="2177FD89"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Eligibility screen</w:t>
            </w:r>
          </w:p>
        </w:tc>
        <w:tc>
          <w:tcPr>
            <w:tcW w:w="1167" w:type="dxa"/>
            <w:tcBorders>
              <w:left w:val="single" w:sz="12" w:space="0" w:color="000000"/>
              <w:right w:val="single" w:sz="12" w:space="0" w:color="262626"/>
            </w:tcBorders>
            <w:shd w:val="clear" w:color="auto" w:fill="auto"/>
            <w:vAlign w:val="center"/>
          </w:tcPr>
          <w:p w14:paraId="13462DC4"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06566623"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tcBorders>
              <w:left w:val="single" w:sz="12" w:space="0" w:color="262626"/>
            </w:tcBorders>
            <w:shd w:val="clear" w:color="auto" w:fill="auto"/>
            <w:vAlign w:val="center"/>
          </w:tcPr>
          <w:p w14:paraId="3B990D74"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79A5F294"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6E5816FE"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4476F899"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232BD5D5"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63B71475"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0198C2AC"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5C70DEC1" w14:textId="77777777" w:rsidR="00756AB9" w:rsidRPr="00442A52" w:rsidRDefault="00756AB9" w:rsidP="00BC0444">
            <w:pPr>
              <w:jc w:val="center"/>
              <w:rPr>
                <w:rFonts w:ascii="Arial" w:eastAsia="Arial" w:hAnsi="Arial" w:cs="Arial"/>
                <w:sz w:val="16"/>
                <w:szCs w:val="16"/>
              </w:rPr>
            </w:pPr>
          </w:p>
        </w:tc>
      </w:tr>
      <w:tr w:rsidR="00756AB9" w:rsidRPr="00442A52" w14:paraId="2833F3CC" w14:textId="77777777" w:rsidTr="00BC0444">
        <w:trPr>
          <w:trHeight w:val="20"/>
        </w:trPr>
        <w:tc>
          <w:tcPr>
            <w:tcW w:w="2250" w:type="dxa"/>
            <w:tcBorders>
              <w:top w:val="nil"/>
              <w:bottom w:val="nil"/>
              <w:right w:val="single" w:sz="12" w:space="0" w:color="000000"/>
            </w:tcBorders>
            <w:shd w:val="clear" w:color="auto" w:fill="auto"/>
            <w:vAlign w:val="center"/>
          </w:tcPr>
          <w:p w14:paraId="3953B36E"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 xml:space="preserve">Informed consent </w:t>
            </w:r>
          </w:p>
        </w:tc>
        <w:tc>
          <w:tcPr>
            <w:tcW w:w="1167" w:type="dxa"/>
            <w:tcBorders>
              <w:left w:val="single" w:sz="12" w:space="0" w:color="000000"/>
              <w:bottom w:val="single" w:sz="6" w:space="0" w:color="262626"/>
              <w:right w:val="single" w:sz="12" w:space="0" w:color="262626"/>
            </w:tcBorders>
            <w:shd w:val="clear" w:color="auto" w:fill="auto"/>
            <w:vAlign w:val="center"/>
          </w:tcPr>
          <w:p w14:paraId="5B17524F"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bottom w:val="single" w:sz="6" w:space="0" w:color="262626"/>
              <w:right w:val="single" w:sz="12" w:space="0" w:color="262626"/>
            </w:tcBorders>
            <w:shd w:val="clear" w:color="auto" w:fill="auto"/>
            <w:vAlign w:val="center"/>
          </w:tcPr>
          <w:p w14:paraId="28BD8840"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tcBorders>
              <w:left w:val="single" w:sz="12" w:space="0" w:color="262626"/>
              <w:bottom w:val="single" w:sz="6" w:space="0" w:color="262626"/>
            </w:tcBorders>
            <w:shd w:val="clear" w:color="auto" w:fill="auto"/>
            <w:vAlign w:val="center"/>
          </w:tcPr>
          <w:p w14:paraId="0A20DA24" w14:textId="77777777" w:rsidR="00756AB9" w:rsidRPr="00442A52" w:rsidRDefault="00756AB9" w:rsidP="00BC0444">
            <w:pPr>
              <w:jc w:val="center"/>
              <w:rPr>
                <w:rFonts w:ascii="Arial" w:eastAsia="Arial" w:hAnsi="Arial" w:cs="Arial"/>
                <w:sz w:val="16"/>
                <w:szCs w:val="16"/>
              </w:rPr>
            </w:pPr>
          </w:p>
        </w:tc>
        <w:tc>
          <w:tcPr>
            <w:tcW w:w="680" w:type="dxa"/>
            <w:tcBorders>
              <w:bottom w:val="single" w:sz="6" w:space="0" w:color="262626"/>
            </w:tcBorders>
            <w:shd w:val="clear" w:color="auto" w:fill="auto"/>
            <w:vAlign w:val="center"/>
          </w:tcPr>
          <w:p w14:paraId="295D5738" w14:textId="77777777" w:rsidR="00756AB9" w:rsidRPr="00442A52" w:rsidRDefault="00756AB9" w:rsidP="00BC0444">
            <w:pPr>
              <w:jc w:val="center"/>
              <w:rPr>
                <w:rFonts w:ascii="Arial" w:eastAsia="Arial" w:hAnsi="Arial" w:cs="Arial"/>
                <w:sz w:val="16"/>
                <w:szCs w:val="16"/>
              </w:rPr>
            </w:pPr>
          </w:p>
        </w:tc>
        <w:tc>
          <w:tcPr>
            <w:tcW w:w="680" w:type="dxa"/>
            <w:tcBorders>
              <w:bottom w:val="single" w:sz="6" w:space="0" w:color="262626"/>
            </w:tcBorders>
            <w:shd w:val="clear" w:color="auto" w:fill="auto"/>
            <w:vAlign w:val="center"/>
          </w:tcPr>
          <w:p w14:paraId="7CE7C566" w14:textId="77777777" w:rsidR="00756AB9" w:rsidRPr="00442A52" w:rsidRDefault="00756AB9" w:rsidP="00BC0444">
            <w:pPr>
              <w:jc w:val="center"/>
              <w:rPr>
                <w:rFonts w:ascii="Arial" w:eastAsia="Arial" w:hAnsi="Arial" w:cs="Arial"/>
                <w:sz w:val="16"/>
                <w:szCs w:val="16"/>
              </w:rPr>
            </w:pPr>
          </w:p>
        </w:tc>
        <w:tc>
          <w:tcPr>
            <w:tcW w:w="748" w:type="dxa"/>
            <w:tcBorders>
              <w:bottom w:val="single" w:sz="6" w:space="0" w:color="262626"/>
            </w:tcBorders>
            <w:shd w:val="clear" w:color="auto" w:fill="auto"/>
            <w:vAlign w:val="center"/>
          </w:tcPr>
          <w:p w14:paraId="628CD3E3" w14:textId="77777777" w:rsidR="00756AB9" w:rsidRPr="00442A52" w:rsidRDefault="00756AB9" w:rsidP="00BC0444">
            <w:pPr>
              <w:jc w:val="center"/>
              <w:rPr>
                <w:rFonts w:ascii="Arial" w:eastAsia="Arial" w:hAnsi="Arial" w:cs="Arial"/>
                <w:sz w:val="16"/>
                <w:szCs w:val="16"/>
              </w:rPr>
            </w:pPr>
          </w:p>
        </w:tc>
        <w:tc>
          <w:tcPr>
            <w:tcW w:w="721" w:type="dxa"/>
            <w:tcBorders>
              <w:bottom w:val="single" w:sz="6" w:space="0" w:color="262626"/>
              <w:right w:val="single" w:sz="12" w:space="0" w:color="000000"/>
            </w:tcBorders>
            <w:vAlign w:val="center"/>
          </w:tcPr>
          <w:p w14:paraId="4FA992CA"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bottom w:val="single" w:sz="6" w:space="0" w:color="262626"/>
              <w:right w:val="single" w:sz="4" w:space="0" w:color="262626"/>
            </w:tcBorders>
            <w:shd w:val="clear" w:color="auto" w:fill="auto"/>
            <w:vAlign w:val="center"/>
          </w:tcPr>
          <w:p w14:paraId="37713BBB"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bottom w:val="single" w:sz="6" w:space="0" w:color="262626"/>
              <w:right w:val="single" w:sz="4" w:space="0" w:color="262626"/>
            </w:tcBorders>
            <w:vAlign w:val="center"/>
          </w:tcPr>
          <w:p w14:paraId="0E0D4170"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bottom w:val="single" w:sz="6" w:space="0" w:color="262626"/>
              <w:right w:val="single" w:sz="4" w:space="0" w:color="262626"/>
            </w:tcBorders>
            <w:vAlign w:val="center"/>
          </w:tcPr>
          <w:p w14:paraId="2D942A9F" w14:textId="77777777" w:rsidR="00756AB9" w:rsidRPr="00442A52" w:rsidRDefault="00756AB9" w:rsidP="00BC0444">
            <w:pPr>
              <w:jc w:val="center"/>
              <w:rPr>
                <w:rFonts w:ascii="Arial" w:eastAsia="Arial" w:hAnsi="Arial" w:cs="Arial"/>
                <w:sz w:val="16"/>
                <w:szCs w:val="16"/>
              </w:rPr>
            </w:pPr>
          </w:p>
        </w:tc>
      </w:tr>
      <w:tr w:rsidR="00756AB9" w:rsidRPr="00442A52" w14:paraId="72B6EB39" w14:textId="77777777" w:rsidTr="00BC0444">
        <w:trPr>
          <w:trHeight w:val="20"/>
        </w:trPr>
        <w:tc>
          <w:tcPr>
            <w:tcW w:w="2250" w:type="dxa"/>
            <w:tcBorders>
              <w:top w:val="single" w:sz="12" w:space="0" w:color="262626"/>
              <w:bottom w:val="nil"/>
              <w:right w:val="single" w:sz="12" w:space="0" w:color="000000"/>
            </w:tcBorders>
            <w:shd w:val="clear" w:color="auto" w:fill="auto"/>
            <w:vAlign w:val="center"/>
          </w:tcPr>
          <w:p w14:paraId="6C1CB15F" w14:textId="77777777" w:rsidR="00756AB9" w:rsidRPr="00442A52" w:rsidRDefault="00756AB9" w:rsidP="00BC0444">
            <w:pPr>
              <w:rPr>
                <w:rFonts w:ascii="Arial" w:eastAsia="Arial" w:hAnsi="Arial" w:cs="Arial"/>
                <w:b/>
                <w:sz w:val="16"/>
                <w:szCs w:val="16"/>
              </w:rPr>
            </w:pPr>
            <w:r w:rsidRPr="00442A52">
              <w:rPr>
                <w:rFonts w:ascii="Arial" w:eastAsia="Arial" w:hAnsi="Arial" w:cs="Arial"/>
                <w:b/>
                <w:sz w:val="16"/>
                <w:szCs w:val="16"/>
              </w:rPr>
              <w:t>INTERVENTIONS:</w:t>
            </w:r>
          </w:p>
        </w:tc>
        <w:tc>
          <w:tcPr>
            <w:tcW w:w="6569" w:type="dxa"/>
            <w:gridSpan w:val="8"/>
            <w:tcBorders>
              <w:top w:val="single" w:sz="12" w:space="0" w:color="262626"/>
              <w:left w:val="single" w:sz="12" w:space="0" w:color="000000"/>
              <w:right w:val="single" w:sz="4" w:space="0" w:color="262626"/>
            </w:tcBorders>
            <w:shd w:val="clear" w:color="auto" w:fill="auto"/>
            <w:vAlign w:val="center"/>
          </w:tcPr>
          <w:p w14:paraId="23CD88AB" w14:textId="77777777" w:rsidR="00756AB9" w:rsidRPr="00442A52" w:rsidRDefault="00756AB9" w:rsidP="00BC0444">
            <w:pPr>
              <w:jc w:val="center"/>
              <w:rPr>
                <w:rFonts w:ascii="Arial" w:eastAsia="Arial" w:hAnsi="Arial" w:cs="Arial"/>
                <w:sz w:val="16"/>
                <w:szCs w:val="16"/>
              </w:rPr>
            </w:pPr>
          </w:p>
        </w:tc>
        <w:tc>
          <w:tcPr>
            <w:tcW w:w="726" w:type="dxa"/>
            <w:tcBorders>
              <w:top w:val="single" w:sz="12" w:space="0" w:color="262626"/>
              <w:left w:val="single" w:sz="12" w:space="0" w:color="000000"/>
              <w:right w:val="single" w:sz="4" w:space="0" w:color="262626"/>
            </w:tcBorders>
            <w:vAlign w:val="center"/>
          </w:tcPr>
          <w:p w14:paraId="1F00C50A" w14:textId="77777777" w:rsidR="00756AB9" w:rsidRPr="00442A52" w:rsidRDefault="00756AB9" w:rsidP="00BC0444">
            <w:pPr>
              <w:jc w:val="center"/>
              <w:rPr>
                <w:rFonts w:ascii="Arial" w:eastAsia="Arial" w:hAnsi="Arial" w:cs="Arial"/>
                <w:sz w:val="16"/>
                <w:szCs w:val="16"/>
              </w:rPr>
            </w:pPr>
          </w:p>
        </w:tc>
        <w:tc>
          <w:tcPr>
            <w:tcW w:w="900" w:type="dxa"/>
            <w:tcBorders>
              <w:top w:val="single" w:sz="12" w:space="0" w:color="262626"/>
              <w:left w:val="single" w:sz="12" w:space="0" w:color="000000"/>
              <w:right w:val="single" w:sz="4" w:space="0" w:color="262626"/>
            </w:tcBorders>
            <w:vAlign w:val="center"/>
          </w:tcPr>
          <w:p w14:paraId="7B93DDF5" w14:textId="77777777" w:rsidR="00756AB9" w:rsidRPr="00442A52" w:rsidRDefault="00756AB9" w:rsidP="00BC0444">
            <w:pPr>
              <w:jc w:val="center"/>
              <w:rPr>
                <w:rFonts w:ascii="Arial" w:eastAsia="Arial" w:hAnsi="Arial" w:cs="Arial"/>
                <w:sz w:val="16"/>
                <w:szCs w:val="16"/>
              </w:rPr>
            </w:pPr>
          </w:p>
        </w:tc>
      </w:tr>
      <w:tr w:rsidR="00756AB9" w:rsidRPr="00442A52" w14:paraId="4CDD9474" w14:textId="77777777" w:rsidTr="00BC0444">
        <w:trPr>
          <w:trHeight w:val="20"/>
        </w:trPr>
        <w:tc>
          <w:tcPr>
            <w:tcW w:w="2250" w:type="dxa"/>
            <w:tcBorders>
              <w:top w:val="nil"/>
              <w:bottom w:val="nil"/>
              <w:right w:val="single" w:sz="12" w:space="0" w:color="000000"/>
            </w:tcBorders>
            <w:shd w:val="clear" w:color="auto" w:fill="auto"/>
            <w:vAlign w:val="center"/>
          </w:tcPr>
          <w:p w14:paraId="6E6AE736"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 xml:space="preserve">mhGAP training </w:t>
            </w:r>
          </w:p>
        </w:tc>
        <w:tc>
          <w:tcPr>
            <w:tcW w:w="1167" w:type="dxa"/>
            <w:tcBorders>
              <w:left w:val="single" w:sz="12" w:space="0" w:color="000000"/>
              <w:right w:val="single" w:sz="12" w:space="0" w:color="262626"/>
            </w:tcBorders>
            <w:shd w:val="clear" w:color="auto" w:fill="auto"/>
            <w:vAlign w:val="center"/>
          </w:tcPr>
          <w:p w14:paraId="1634E60D"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066A35B3" w14:textId="77777777" w:rsidR="00756AB9" w:rsidRPr="00442A52" w:rsidRDefault="00756AB9" w:rsidP="00BC0444">
            <w:pPr>
              <w:jc w:val="center"/>
              <w:rPr>
                <w:rFonts w:ascii="Arial" w:eastAsia="Arial" w:hAnsi="Arial" w:cs="Arial"/>
                <w:sz w:val="16"/>
                <w:szCs w:val="16"/>
              </w:rPr>
            </w:pPr>
          </w:p>
        </w:tc>
        <w:tc>
          <w:tcPr>
            <w:tcW w:w="1360" w:type="dxa"/>
            <w:gridSpan w:val="2"/>
            <w:tcBorders>
              <w:top w:val="single" w:sz="6" w:space="0" w:color="262626"/>
              <w:left w:val="single" w:sz="12" w:space="0" w:color="262626"/>
              <w:right w:val="single" w:sz="12" w:space="0" w:color="000000"/>
            </w:tcBorders>
            <w:shd w:val="clear" w:color="auto" w:fill="auto"/>
            <w:vAlign w:val="center"/>
          </w:tcPr>
          <w:p w14:paraId="339AD79D"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&lt;---------</w:t>
            </w:r>
            <w:r w:rsidRPr="00442A52">
              <w:rPr>
                <w:rFonts w:ascii="Arial" w:eastAsia="Wingdings" w:hAnsi="Arial" w:cs="Arial"/>
                <w:sz w:val="16"/>
                <w:szCs w:val="16"/>
              </w:rPr>
              <w:sym w:font="Wingdings" w:char="F0E0"/>
            </w:r>
          </w:p>
        </w:tc>
        <w:tc>
          <w:tcPr>
            <w:tcW w:w="680" w:type="dxa"/>
            <w:tcBorders>
              <w:top w:val="single" w:sz="6" w:space="0" w:color="262626"/>
              <w:left w:val="single" w:sz="12" w:space="0" w:color="262626"/>
              <w:right w:val="single" w:sz="12" w:space="0" w:color="000000"/>
            </w:tcBorders>
            <w:shd w:val="clear" w:color="auto" w:fill="auto"/>
            <w:vAlign w:val="center"/>
          </w:tcPr>
          <w:p w14:paraId="564E75BB" w14:textId="77777777" w:rsidR="00756AB9" w:rsidRPr="00442A52" w:rsidRDefault="00756AB9" w:rsidP="00BC0444">
            <w:pPr>
              <w:jc w:val="center"/>
              <w:rPr>
                <w:rFonts w:ascii="Arial" w:eastAsia="Arial" w:hAnsi="Arial" w:cs="Arial"/>
                <w:sz w:val="16"/>
                <w:szCs w:val="16"/>
              </w:rPr>
            </w:pPr>
          </w:p>
        </w:tc>
        <w:tc>
          <w:tcPr>
            <w:tcW w:w="748" w:type="dxa"/>
            <w:tcBorders>
              <w:top w:val="single" w:sz="6" w:space="0" w:color="262626"/>
              <w:left w:val="single" w:sz="12" w:space="0" w:color="262626"/>
              <w:right w:val="single" w:sz="12" w:space="0" w:color="000000"/>
            </w:tcBorders>
            <w:shd w:val="clear" w:color="auto" w:fill="auto"/>
            <w:vAlign w:val="center"/>
          </w:tcPr>
          <w:p w14:paraId="1B075CA7" w14:textId="77777777" w:rsidR="00756AB9" w:rsidRPr="00442A52" w:rsidRDefault="00756AB9" w:rsidP="00BC0444">
            <w:pPr>
              <w:jc w:val="center"/>
              <w:rPr>
                <w:rFonts w:ascii="Arial" w:eastAsia="Arial" w:hAnsi="Arial" w:cs="Arial"/>
                <w:sz w:val="16"/>
                <w:szCs w:val="16"/>
              </w:rPr>
            </w:pPr>
          </w:p>
        </w:tc>
        <w:tc>
          <w:tcPr>
            <w:tcW w:w="721" w:type="dxa"/>
            <w:tcBorders>
              <w:top w:val="single" w:sz="6" w:space="0" w:color="262626"/>
              <w:left w:val="single" w:sz="12" w:space="0" w:color="262626"/>
              <w:right w:val="single" w:sz="12" w:space="0" w:color="000000"/>
            </w:tcBorders>
            <w:shd w:val="clear" w:color="auto" w:fill="auto"/>
            <w:vAlign w:val="center"/>
          </w:tcPr>
          <w:p w14:paraId="047A44B8"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61AAF659"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76B99450"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487BB50D" w14:textId="77777777" w:rsidR="00756AB9" w:rsidRPr="00442A52" w:rsidRDefault="00756AB9" w:rsidP="00BC0444">
            <w:pPr>
              <w:jc w:val="center"/>
              <w:rPr>
                <w:rFonts w:ascii="Arial" w:eastAsia="Arial" w:hAnsi="Arial" w:cs="Arial"/>
                <w:sz w:val="16"/>
                <w:szCs w:val="16"/>
              </w:rPr>
            </w:pPr>
          </w:p>
        </w:tc>
      </w:tr>
      <w:tr w:rsidR="00756AB9" w:rsidRPr="00442A52" w14:paraId="65B0E408" w14:textId="77777777" w:rsidTr="00BC0444">
        <w:trPr>
          <w:trHeight w:val="20"/>
        </w:trPr>
        <w:tc>
          <w:tcPr>
            <w:tcW w:w="2250" w:type="dxa"/>
            <w:tcBorders>
              <w:top w:val="nil"/>
              <w:bottom w:val="nil"/>
              <w:right w:val="single" w:sz="12" w:space="0" w:color="000000"/>
            </w:tcBorders>
            <w:shd w:val="clear" w:color="auto" w:fill="auto"/>
            <w:vAlign w:val="center"/>
          </w:tcPr>
          <w:p w14:paraId="6B951316"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 xml:space="preserve">Supervision and health facility management </w:t>
            </w:r>
          </w:p>
        </w:tc>
        <w:tc>
          <w:tcPr>
            <w:tcW w:w="1167" w:type="dxa"/>
            <w:tcBorders>
              <w:left w:val="single" w:sz="12" w:space="0" w:color="000000"/>
              <w:right w:val="single" w:sz="12" w:space="0" w:color="262626"/>
            </w:tcBorders>
            <w:shd w:val="clear" w:color="auto" w:fill="auto"/>
            <w:vAlign w:val="center"/>
          </w:tcPr>
          <w:p w14:paraId="510A10E0"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0A365225"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right w:val="single" w:sz="12" w:space="0" w:color="000000"/>
            </w:tcBorders>
            <w:shd w:val="clear" w:color="auto" w:fill="auto"/>
            <w:vAlign w:val="center"/>
          </w:tcPr>
          <w:p w14:paraId="60FA1714"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right w:val="single" w:sz="12" w:space="0" w:color="000000"/>
            </w:tcBorders>
            <w:shd w:val="clear" w:color="auto" w:fill="auto"/>
            <w:vAlign w:val="center"/>
          </w:tcPr>
          <w:p w14:paraId="75543899" w14:textId="77777777" w:rsidR="00756AB9" w:rsidRPr="00442A52" w:rsidRDefault="00756AB9" w:rsidP="00BC0444">
            <w:pPr>
              <w:jc w:val="center"/>
              <w:rPr>
                <w:rFonts w:ascii="Arial" w:eastAsia="Arial" w:hAnsi="Arial" w:cs="Arial"/>
                <w:sz w:val="16"/>
                <w:szCs w:val="16"/>
              </w:rPr>
            </w:pPr>
          </w:p>
        </w:tc>
        <w:tc>
          <w:tcPr>
            <w:tcW w:w="3600" w:type="dxa"/>
            <w:gridSpan w:val="5"/>
            <w:tcBorders>
              <w:left w:val="single" w:sz="12" w:space="0" w:color="262626"/>
              <w:right w:val="single" w:sz="4" w:space="0" w:color="262626"/>
            </w:tcBorders>
            <w:shd w:val="clear" w:color="auto" w:fill="auto"/>
            <w:vAlign w:val="center"/>
          </w:tcPr>
          <w:p w14:paraId="3B0C39B9" w14:textId="77777777" w:rsidR="00756AB9" w:rsidRPr="00442A52" w:rsidRDefault="00756AB9" w:rsidP="00BC0444">
            <w:pPr>
              <w:jc w:val="center"/>
              <w:rPr>
                <w:rFonts w:ascii="Arial" w:eastAsia="Arial" w:hAnsi="Arial" w:cs="Arial"/>
                <w:sz w:val="16"/>
                <w:szCs w:val="16"/>
              </w:rPr>
            </w:pPr>
            <w:r w:rsidRPr="00442A52">
              <w:rPr>
                <w:rFonts w:ascii="Arial" w:eastAsia="Wingdings" w:hAnsi="Arial" w:cs="Arial"/>
                <w:sz w:val="16"/>
                <w:szCs w:val="16"/>
              </w:rPr>
              <w:t>&lt;</w:t>
            </w:r>
            <w:r w:rsidRPr="00442A52">
              <w:rPr>
                <w:rFonts w:ascii="Arial" w:eastAsia="Arial" w:hAnsi="Arial" w:cs="Arial"/>
                <w:sz w:val="16"/>
                <w:szCs w:val="16"/>
              </w:rPr>
              <w:t>------------------------------------------</w:t>
            </w:r>
            <w:r w:rsidRPr="00442A52">
              <w:rPr>
                <w:rFonts w:ascii="Arial" w:eastAsia="Wingdings" w:hAnsi="Arial" w:cs="Arial"/>
                <w:sz w:val="16"/>
                <w:szCs w:val="16"/>
              </w:rPr>
              <w:sym w:font="Wingdings" w:char="F0E0"/>
            </w:r>
          </w:p>
        </w:tc>
        <w:tc>
          <w:tcPr>
            <w:tcW w:w="900" w:type="dxa"/>
            <w:tcBorders>
              <w:left w:val="single" w:sz="12" w:space="0" w:color="000000"/>
              <w:right w:val="single" w:sz="4" w:space="0" w:color="262626"/>
            </w:tcBorders>
            <w:vAlign w:val="center"/>
          </w:tcPr>
          <w:p w14:paraId="5F0F36A9" w14:textId="77777777" w:rsidR="00756AB9" w:rsidRPr="00442A52" w:rsidRDefault="00756AB9" w:rsidP="00BC0444">
            <w:pPr>
              <w:jc w:val="center"/>
              <w:rPr>
                <w:rFonts w:ascii="Arial" w:eastAsia="Arial" w:hAnsi="Arial" w:cs="Arial"/>
                <w:sz w:val="16"/>
                <w:szCs w:val="16"/>
              </w:rPr>
            </w:pPr>
          </w:p>
        </w:tc>
      </w:tr>
      <w:tr w:rsidR="00756AB9" w:rsidRPr="00442A52" w14:paraId="5248AD95" w14:textId="77777777" w:rsidTr="00BC0444">
        <w:trPr>
          <w:trHeight w:val="20"/>
        </w:trPr>
        <w:tc>
          <w:tcPr>
            <w:tcW w:w="2250" w:type="dxa"/>
            <w:tcBorders>
              <w:top w:val="single" w:sz="12" w:space="0" w:color="262626"/>
              <w:bottom w:val="nil"/>
              <w:right w:val="single" w:sz="12" w:space="0" w:color="000000"/>
            </w:tcBorders>
            <w:shd w:val="clear" w:color="auto" w:fill="auto"/>
            <w:vAlign w:val="center"/>
          </w:tcPr>
          <w:p w14:paraId="4E2903A9" w14:textId="77777777" w:rsidR="00756AB9" w:rsidRPr="00442A52" w:rsidRDefault="00756AB9" w:rsidP="00BC0444">
            <w:pPr>
              <w:rPr>
                <w:rFonts w:ascii="Arial" w:eastAsia="Arial" w:hAnsi="Arial" w:cs="Arial"/>
                <w:b/>
                <w:sz w:val="16"/>
                <w:szCs w:val="16"/>
              </w:rPr>
            </w:pPr>
            <w:r w:rsidRPr="00442A52">
              <w:rPr>
                <w:rFonts w:ascii="Arial" w:eastAsia="Arial" w:hAnsi="Arial" w:cs="Arial"/>
                <w:b/>
                <w:sz w:val="16"/>
                <w:szCs w:val="16"/>
              </w:rPr>
              <w:t>ASSESSMENTS:</w:t>
            </w:r>
          </w:p>
        </w:tc>
        <w:tc>
          <w:tcPr>
            <w:tcW w:w="6569" w:type="dxa"/>
            <w:gridSpan w:val="8"/>
            <w:tcBorders>
              <w:top w:val="single" w:sz="12" w:space="0" w:color="262626"/>
              <w:left w:val="single" w:sz="12" w:space="0" w:color="000000"/>
              <w:right w:val="single" w:sz="4" w:space="0" w:color="262626"/>
            </w:tcBorders>
            <w:shd w:val="clear" w:color="auto" w:fill="auto"/>
            <w:vAlign w:val="center"/>
          </w:tcPr>
          <w:p w14:paraId="167E54CC" w14:textId="77777777" w:rsidR="00756AB9" w:rsidRPr="00442A52" w:rsidRDefault="00756AB9" w:rsidP="00BC0444">
            <w:pPr>
              <w:jc w:val="center"/>
              <w:rPr>
                <w:rFonts w:ascii="Arial" w:eastAsia="Arial" w:hAnsi="Arial" w:cs="Arial"/>
                <w:sz w:val="16"/>
                <w:szCs w:val="16"/>
              </w:rPr>
            </w:pPr>
          </w:p>
        </w:tc>
        <w:tc>
          <w:tcPr>
            <w:tcW w:w="726" w:type="dxa"/>
            <w:tcBorders>
              <w:top w:val="single" w:sz="12" w:space="0" w:color="262626"/>
              <w:left w:val="single" w:sz="12" w:space="0" w:color="000000"/>
              <w:right w:val="single" w:sz="4" w:space="0" w:color="262626"/>
            </w:tcBorders>
            <w:vAlign w:val="center"/>
          </w:tcPr>
          <w:p w14:paraId="0787C6E4" w14:textId="77777777" w:rsidR="00756AB9" w:rsidRPr="00442A52" w:rsidRDefault="00756AB9" w:rsidP="00BC0444">
            <w:pPr>
              <w:jc w:val="center"/>
              <w:rPr>
                <w:rFonts w:ascii="Arial" w:eastAsia="Arial" w:hAnsi="Arial" w:cs="Arial"/>
                <w:sz w:val="16"/>
                <w:szCs w:val="16"/>
              </w:rPr>
            </w:pPr>
          </w:p>
        </w:tc>
        <w:tc>
          <w:tcPr>
            <w:tcW w:w="900" w:type="dxa"/>
            <w:tcBorders>
              <w:top w:val="single" w:sz="12" w:space="0" w:color="262626"/>
              <w:left w:val="single" w:sz="12" w:space="0" w:color="000000"/>
              <w:right w:val="single" w:sz="4" w:space="0" w:color="262626"/>
            </w:tcBorders>
            <w:vAlign w:val="center"/>
          </w:tcPr>
          <w:p w14:paraId="7EE5D5D1" w14:textId="77777777" w:rsidR="00756AB9" w:rsidRPr="00442A52" w:rsidRDefault="00756AB9" w:rsidP="00BC0444">
            <w:pPr>
              <w:jc w:val="center"/>
              <w:rPr>
                <w:rFonts w:ascii="Arial" w:eastAsia="Arial" w:hAnsi="Arial" w:cs="Arial"/>
                <w:sz w:val="16"/>
                <w:szCs w:val="16"/>
              </w:rPr>
            </w:pPr>
          </w:p>
        </w:tc>
      </w:tr>
      <w:tr w:rsidR="00756AB9" w:rsidRPr="00442A52" w14:paraId="7727C7AA" w14:textId="77777777" w:rsidTr="00BC0444">
        <w:trPr>
          <w:trHeight w:val="20"/>
        </w:trPr>
        <w:tc>
          <w:tcPr>
            <w:tcW w:w="2250" w:type="dxa"/>
            <w:tcBorders>
              <w:top w:val="nil"/>
              <w:bottom w:val="nil"/>
              <w:right w:val="single" w:sz="12" w:space="0" w:color="000000"/>
            </w:tcBorders>
            <w:shd w:val="clear" w:color="auto" w:fill="auto"/>
            <w:vAlign w:val="bottom"/>
          </w:tcPr>
          <w:p w14:paraId="4938144E"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Social Distance Scale (SDS)</w:t>
            </w:r>
          </w:p>
        </w:tc>
        <w:tc>
          <w:tcPr>
            <w:tcW w:w="1167" w:type="dxa"/>
            <w:tcBorders>
              <w:left w:val="single" w:sz="12" w:space="0" w:color="000000"/>
              <w:right w:val="single" w:sz="12" w:space="0" w:color="262626"/>
            </w:tcBorders>
            <w:shd w:val="clear" w:color="auto" w:fill="auto"/>
            <w:vAlign w:val="center"/>
          </w:tcPr>
          <w:p w14:paraId="076FD2C0"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67F4BE21"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332EE28A"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28B586D9"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57030DF2"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48" w:type="dxa"/>
            <w:shd w:val="clear" w:color="auto" w:fill="auto"/>
            <w:vAlign w:val="center"/>
          </w:tcPr>
          <w:p w14:paraId="2B3AD1F6"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0A958411"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FFFFFF"/>
            <w:vAlign w:val="center"/>
          </w:tcPr>
          <w:p w14:paraId="24F82E69"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6" w:type="dxa"/>
            <w:tcBorders>
              <w:left w:val="single" w:sz="12" w:space="0" w:color="000000"/>
              <w:right w:val="single" w:sz="4" w:space="0" w:color="262626"/>
            </w:tcBorders>
            <w:shd w:val="clear" w:color="auto" w:fill="FFFFFF"/>
            <w:vAlign w:val="center"/>
          </w:tcPr>
          <w:p w14:paraId="60192864"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shd w:val="clear" w:color="auto" w:fill="FFFFFF"/>
            <w:vAlign w:val="center"/>
          </w:tcPr>
          <w:p w14:paraId="402F71A6" w14:textId="77777777" w:rsidR="00756AB9" w:rsidRPr="00442A52" w:rsidRDefault="00756AB9" w:rsidP="00BC0444">
            <w:pPr>
              <w:jc w:val="center"/>
              <w:rPr>
                <w:rFonts w:ascii="Arial" w:eastAsia="Arial" w:hAnsi="Arial" w:cs="Arial"/>
                <w:sz w:val="16"/>
                <w:szCs w:val="16"/>
              </w:rPr>
            </w:pPr>
          </w:p>
        </w:tc>
      </w:tr>
      <w:tr w:rsidR="00756AB9" w:rsidRPr="00442A52" w14:paraId="6F999C58" w14:textId="77777777" w:rsidTr="00BC0444">
        <w:trPr>
          <w:trHeight w:val="20"/>
        </w:trPr>
        <w:tc>
          <w:tcPr>
            <w:tcW w:w="2250" w:type="dxa"/>
            <w:tcBorders>
              <w:top w:val="nil"/>
              <w:bottom w:val="nil"/>
              <w:right w:val="single" w:sz="12" w:space="0" w:color="000000"/>
            </w:tcBorders>
            <w:shd w:val="clear" w:color="auto" w:fill="auto"/>
            <w:vAlign w:val="bottom"/>
          </w:tcPr>
          <w:p w14:paraId="4C23C735"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Reported and Intended Behavior Scale (RIBS)</w:t>
            </w:r>
          </w:p>
        </w:tc>
        <w:tc>
          <w:tcPr>
            <w:tcW w:w="1167" w:type="dxa"/>
            <w:tcBorders>
              <w:left w:val="single" w:sz="12" w:space="0" w:color="000000"/>
              <w:right w:val="single" w:sz="12" w:space="0" w:color="262626"/>
            </w:tcBorders>
            <w:shd w:val="clear" w:color="auto" w:fill="auto"/>
            <w:vAlign w:val="center"/>
          </w:tcPr>
          <w:p w14:paraId="139E1F3D"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3421189D"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74BA1460"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21ACA2CF"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76EEA375"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48" w:type="dxa"/>
            <w:shd w:val="clear" w:color="auto" w:fill="auto"/>
            <w:vAlign w:val="center"/>
          </w:tcPr>
          <w:p w14:paraId="3C01AB8D"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271F175E"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FFFFFF"/>
            <w:vAlign w:val="center"/>
          </w:tcPr>
          <w:p w14:paraId="6ED02E23"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6" w:type="dxa"/>
            <w:tcBorders>
              <w:left w:val="single" w:sz="12" w:space="0" w:color="000000"/>
              <w:right w:val="single" w:sz="4" w:space="0" w:color="262626"/>
            </w:tcBorders>
            <w:shd w:val="clear" w:color="auto" w:fill="FFFFFF"/>
            <w:vAlign w:val="center"/>
          </w:tcPr>
          <w:p w14:paraId="4386EF5F"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shd w:val="clear" w:color="auto" w:fill="FFFFFF"/>
            <w:vAlign w:val="center"/>
          </w:tcPr>
          <w:p w14:paraId="2A99F6B1" w14:textId="77777777" w:rsidR="00756AB9" w:rsidRPr="00442A52" w:rsidRDefault="00756AB9" w:rsidP="00BC0444">
            <w:pPr>
              <w:jc w:val="center"/>
              <w:rPr>
                <w:rFonts w:ascii="Arial" w:eastAsia="Arial" w:hAnsi="Arial" w:cs="Arial"/>
                <w:sz w:val="16"/>
                <w:szCs w:val="16"/>
              </w:rPr>
            </w:pPr>
          </w:p>
        </w:tc>
      </w:tr>
      <w:tr w:rsidR="00756AB9" w:rsidRPr="00442A52" w14:paraId="0F26B59F" w14:textId="77777777" w:rsidTr="00BC0444">
        <w:trPr>
          <w:trHeight w:val="20"/>
        </w:trPr>
        <w:tc>
          <w:tcPr>
            <w:tcW w:w="2250" w:type="dxa"/>
            <w:tcBorders>
              <w:top w:val="nil"/>
              <w:bottom w:val="nil"/>
              <w:right w:val="single" w:sz="12" w:space="0" w:color="000000"/>
            </w:tcBorders>
            <w:shd w:val="clear" w:color="auto" w:fill="auto"/>
            <w:vAlign w:val="bottom"/>
          </w:tcPr>
          <w:p w14:paraId="730FD713"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Implicit Association Test (IAT)</w:t>
            </w:r>
          </w:p>
        </w:tc>
        <w:tc>
          <w:tcPr>
            <w:tcW w:w="1167" w:type="dxa"/>
            <w:tcBorders>
              <w:left w:val="single" w:sz="12" w:space="0" w:color="000000"/>
              <w:right w:val="single" w:sz="12" w:space="0" w:color="262626"/>
            </w:tcBorders>
            <w:shd w:val="clear" w:color="auto" w:fill="auto"/>
            <w:vAlign w:val="center"/>
          </w:tcPr>
          <w:p w14:paraId="41BADE87"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38F7A6CD"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0FC6E470"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5C36479F"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29667BAD"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48" w:type="dxa"/>
            <w:shd w:val="clear" w:color="auto" w:fill="auto"/>
            <w:vAlign w:val="center"/>
          </w:tcPr>
          <w:p w14:paraId="5BA35850"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247FE54F"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FFFFFF"/>
            <w:vAlign w:val="center"/>
          </w:tcPr>
          <w:p w14:paraId="598CBEEC"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6" w:type="dxa"/>
            <w:tcBorders>
              <w:left w:val="single" w:sz="12" w:space="0" w:color="000000"/>
              <w:right w:val="single" w:sz="4" w:space="0" w:color="262626"/>
            </w:tcBorders>
            <w:shd w:val="clear" w:color="auto" w:fill="FFFFFF"/>
            <w:vAlign w:val="center"/>
          </w:tcPr>
          <w:p w14:paraId="0785388F"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shd w:val="clear" w:color="auto" w:fill="FFFFFF"/>
            <w:vAlign w:val="center"/>
          </w:tcPr>
          <w:p w14:paraId="1CD76ABE" w14:textId="77777777" w:rsidR="00756AB9" w:rsidRPr="00442A52" w:rsidRDefault="00756AB9" w:rsidP="00BC0444">
            <w:pPr>
              <w:jc w:val="center"/>
              <w:rPr>
                <w:rFonts w:ascii="Arial" w:eastAsia="Arial" w:hAnsi="Arial" w:cs="Arial"/>
                <w:sz w:val="16"/>
                <w:szCs w:val="16"/>
              </w:rPr>
            </w:pPr>
          </w:p>
        </w:tc>
      </w:tr>
      <w:tr w:rsidR="00756AB9" w:rsidRPr="00442A52" w14:paraId="636C7838" w14:textId="77777777" w:rsidTr="00BC0444">
        <w:trPr>
          <w:trHeight w:val="20"/>
        </w:trPr>
        <w:tc>
          <w:tcPr>
            <w:tcW w:w="2250" w:type="dxa"/>
            <w:tcBorders>
              <w:top w:val="nil"/>
              <w:bottom w:val="nil"/>
              <w:right w:val="single" w:sz="12" w:space="0" w:color="000000"/>
            </w:tcBorders>
            <w:shd w:val="clear" w:color="auto" w:fill="auto"/>
            <w:vAlign w:val="bottom"/>
          </w:tcPr>
          <w:p w14:paraId="5B1249E2"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mhGAP Knowledge</w:t>
            </w:r>
          </w:p>
        </w:tc>
        <w:tc>
          <w:tcPr>
            <w:tcW w:w="1167" w:type="dxa"/>
            <w:tcBorders>
              <w:left w:val="single" w:sz="12" w:space="0" w:color="000000"/>
              <w:right w:val="single" w:sz="12" w:space="0" w:color="262626"/>
            </w:tcBorders>
            <w:shd w:val="clear" w:color="auto" w:fill="auto"/>
            <w:vAlign w:val="center"/>
          </w:tcPr>
          <w:p w14:paraId="67A95AFC"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6714675C"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14CE3141"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4544559E"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6995616B"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48" w:type="dxa"/>
            <w:shd w:val="clear" w:color="auto" w:fill="auto"/>
            <w:vAlign w:val="center"/>
          </w:tcPr>
          <w:p w14:paraId="22C7299A"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4D93C9B8"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FFFFFF"/>
            <w:vAlign w:val="center"/>
          </w:tcPr>
          <w:p w14:paraId="39AE6A57"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6" w:type="dxa"/>
            <w:tcBorders>
              <w:left w:val="single" w:sz="12" w:space="0" w:color="000000"/>
              <w:right w:val="single" w:sz="4" w:space="0" w:color="262626"/>
            </w:tcBorders>
            <w:shd w:val="clear" w:color="auto" w:fill="FFFFFF"/>
            <w:vAlign w:val="center"/>
          </w:tcPr>
          <w:p w14:paraId="733264EB"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shd w:val="clear" w:color="auto" w:fill="FFFFFF"/>
            <w:vAlign w:val="center"/>
          </w:tcPr>
          <w:p w14:paraId="6F5678FD" w14:textId="77777777" w:rsidR="00756AB9" w:rsidRPr="00442A52" w:rsidRDefault="00756AB9" w:rsidP="00BC0444">
            <w:pPr>
              <w:jc w:val="center"/>
              <w:rPr>
                <w:rFonts w:ascii="Arial" w:eastAsia="Arial" w:hAnsi="Arial" w:cs="Arial"/>
                <w:sz w:val="16"/>
                <w:szCs w:val="16"/>
              </w:rPr>
            </w:pPr>
          </w:p>
        </w:tc>
      </w:tr>
      <w:tr w:rsidR="00756AB9" w:rsidRPr="00442A52" w14:paraId="6D18E304" w14:textId="77777777" w:rsidTr="00BC0444">
        <w:trPr>
          <w:trHeight w:val="20"/>
        </w:trPr>
        <w:tc>
          <w:tcPr>
            <w:tcW w:w="2250" w:type="dxa"/>
            <w:tcBorders>
              <w:top w:val="nil"/>
              <w:bottom w:val="nil"/>
              <w:right w:val="single" w:sz="12" w:space="0" w:color="000000"/>
            </w:tcBorders>
            <w:shd w:val="clear" w:color="auto" w:fill="auto"/>
            <w:vAlign w:val="bottom"/>
          </w:tcPr>
          <w:p w14:paraId="534CF55A"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Observed competency (ENACT)</w:t>
            </w:r>
          </w:p>
        </w:tc>
        <w:tc>
          <w:tcPr>
            <w:tcW w:w="1167" w:type="dxa"/>
            <w:tcBorders>
              <w:left w:val="single" w:sz="12" w:space="0" w:color="000000"/>
              <w:right w:val="single" w:sz="12" w:space="0" w:color="262626"/>
            </w:tcBorders>
            <w:shd w:val="clear" w:color="auto" w:fill="auto"/>
            <w:vAlign w:val="center"/>
          </w:tcPr>
          <w:p w14:paraId="4A6D64F2"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61C67D4A"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16C176DF"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16FA0D93"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11E77B99"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48" w:type="dxa"/>
            <w:shd w:val="clear" w:color="auto" w:fill="auto"/>
            <w:vAlign w:val="center"/>
          </w:tcPr>
          <w:p w14:paraId="787D6316"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7D4F4045"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FFFFFF"/>
            <w:vAlign w:val="center"/>
          </w:tcPr>
          <w:p w14:paraId="64618BE1"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6" w:type="dxa"/>
            <w:tcBorders>
              <w:left w:val="single" w:sz="12" w:space="0" w:color="000000"/>
              <w:right w:val="single" w:sz="4" w:space="0" w:color="262626"/>
            </w:tcBorders>
            <w:shd w:val="clear" w:color="auto" w:fill="FFFFFF"/>
            <w:vAlign w:val="center"/>
          </w:tcPr>
          <w:p w14:paraId="0D401779"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shd w:val="clear" w:color="auto" w:fill="FFFFFF"/>
            <w:vAlign w:val="center"/>
          </w:tcPr>
          <w:p w14:paraId="6ED14389" w14:textId="77777777" w:rsidR="00756AB9" w:rsidRPr="00442A52" w:rsidRDefault="00756AB9" w:rsidP="00BC0444">
            <w:pPr>
              <w:jc w:val="center"/>
              <w:rPr>
                <w:rFonts w:ascii="Arial" w:eastAsia="Arial" w:hAnsi="Arial" w:cs="Arial"/>
                <w:sz w:val="16"/>
                <w:szCs w:val="16"/>
              </w:rPr>
            </w:pPr>
          </w:p>
        </w:tc>
      </w:tr>
      <w:tr w:rsidR="00756AB9" w:rsidRPr="00442A52" w14:paraId="767569C1" w14:textId="77777777" w:rsidTr="00BC0444">
        <w:trPr>
          <w:trHeight w:val="20"/>
        </w:trPr>
        <w:tc>
          <w:tcPr>
            <w:tcW w:w="2250" w:type="dxa"/>
            <w:tcBorders>
              <w:top w:val="nil"/>
              <w:bottom w:val="nil"/>
              <w:right w:val="single" w:sz="12" w:space="0" w:color="000000"/>
            </w:tcBorders>
            <w:shd w:val="clear" w:color="auto" w:fill="auto"/>
            <w:vAlign w:val="bottom"/>
          </w:tcPr>
          <w:p w14:paraId="6ECA0138"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mhGAP Self-Efficacy</w:t>
            </w:r>
          </w:p>
        </w:tc>
        <w:tc>
          <w:tcPr>
            <w:tcW w:w="1167" w:type="dxa"/>
            <w:tcBorders>
              <w:left w:val="single" w:sz="12" w:space="0" w:color="000000"/>
              <w:right w:val="single" w:sz="12" w:space="0" w:color="262626"/>
            </w:tcBorders>
            <w:shd w:val="clear" w:color="auto" w:fill="auto"/>
            <w:vAlign w:val="center"/>
          </w:tcPr>
          <w:p w14:paraId="569DA96B"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7979533F"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3E7B8EE0"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2524EBF0"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680" w:type="dxa"/>
            <w:shd w:val="clear" w:color="auto" w:fill="auto"/>
            <w:vAlign w:val="center"/>
          </w:tcPr>
          <w:p w14:paraId="147C1162"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48" w:type="dxa"/>
            <w:shd w:val="clear" w:color="auto" w:fill="auto"/>
            <w:vAlign w:val="center"/>
          </w:tcPr>
          <w:p w14:paraId="76B3A31B"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64854016"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FFFFFF"/>
            <w:vAlign w:val="center"/>
          </w:tcPr>
          <w:p w14:paraId="66F880CE"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6" w:type="dxa"/>
            <w:tcBorders>
              <w:left w:val="single" w:sz="12" w:space="0" w:color="000000"/>
              <w:right w:val="single" w:sz="4" w:space="0" w:color="262626"/>
            </w:tcBorders>
            <w:shd w:val="clear" w:color="auto" w:fill="FFFFFF"/>
            <w:vAlign w:val="center"/>
          </w:tcPr>
          <w:p w14:paraId="66723F7E"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shd w:val="clear" w:color="auto" w:fill="FFFFFF"/>
            <w:vAlign w:val="center"/>
          </w:tcPr>
          <w:p w14:paraId="47FAAAC0" w14:textId="77777777" w:rsidR="00756AB9" w:rsidRPr="00442A52" w:rsidRDefault="00756AB9" w:rsidP="00BC0444">
            <w:pPr>
              <w:jc w:val="center"/>
              <w:rPr>
                <w:rFonts w:ascii="Arial" w:eastAsia="Arial" w:hAnsi="Arial" w:cs="Arial"/>
                <w:sz w:val="16"/>
                <w:szCs w:val="16"/>
              </w:rPr>
            </w:pPr>
          </w:p>
        </w:tc>
      </w:tr>
      <w:tr w:rsidR="00756AB9" w:rsidRPr="00442A52" w14:paraId="7944640C" w14:textId="77777777" w:rsidTr="00BC0444">
        <w:trPr>
          <w:trHeight w:val="20"/>
        </w:trPr>
        <w:tc>
          <w:tcPr>
            <w:tcW w:w="2250" w:type="dxa"/>
            <w:tcBorders>
              <w:top w:val="nil"/>
              <w:bottom w:val="nil"/>
              <w:right w:val="single" w:sz="12" w:space="0" w:color="000000"/>
            </w:tcBorders>
            <w:shd w:val="clear" w:color="auto" w:fill="auto"/>
            <w:vAlign w:val="bottom"/>
          </w:tcPr>
          <w:p w14:paraId="1167016F"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Qualitative interviews</w:t>
            </w:r>
          </w:p>
        </w:tc>
        <w:tc>
          <w:tcPr>
            <w:tcW w:w="1167" w:type="dxa"/>
            <w:tcBorders>
              <w:left w:val="single" w:sz="12" w:space="0" w:color="000000"/>
              <w:right w:val="single" w:sz="12" w:space="0" w:color="262626"/>
            </w:tcBorders>
            <w:shd w:val="clear" w:color="auto" w:fill="auto"/>
            <w:vAlign w:val="center"/>
          </w:tcPr>
          <w:p w14:paraId="37AEBD97"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45AC2186"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778ED915"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3E2AFECE"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127DE833"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0341AB52"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09562483"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48C36027"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0A4C893C"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35397B85"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6F43293C" w14:textId="77777777" w:rsidTr="00BC0444">
        <w:trPr>
          <w:trHeight w:val="378"/>
        </w:trPr>
        <w:tc>
          <w:tcPr>
            <w:tcW w:w="10445" w:type="dxa"/>
            <w:gridSpan w:val="11"/>
            <w:tcBorders>
              <w:top w:val="single" w:sz="12" w:space="0" w:color="262626"/>
              <w:bottom w:val="nil"/>
              <w:right w:val="single" w:sz="4" w:space="0" w:color="262626"/>
            </w:tcBorders>
            <w:shd w:val="clear" w:color="auto" w:fill="BFBFBF"/>
            <w:vAlign w:val="bottom"/>
          </w:tcPr>
          <w:p w14:paraId="4FBF0C2E" w14:textId="77777777" w:rsidR="00756AB9" w:rsidRPr="00442A52" w:rsidRDefault="00756AB9" w:rsidP="00BC0444">
            <w:pPr>
              <w:rPr>
                <w:rFonts w:ascii="Arial" w:eastAsia="Arial" w:hAnsi="Arial" w:cs="Arial"/>
                <w:b/>
                <w:sz w:val="16"/>
                <w:szCs w:val="16"/>
              </w:rPr>
            </w:pPr>
            <w:r w:rsidRPr="00442A52">
              <w:rPr>
                <w:rFonts w:ascii="Arial" w:eastAsia="Arial" w:hAnsi="Arial" w:cs="Arial"/>
                <w:b/>
                <w:sz w:val="16"/>
                <w:szCs w:val="16"/>
              </w:rPr>
              <w:t>PATIENTS</w:t>
            </w:r>
            <w:r w:rsidRPr="00442A52">
              <w:rPr>
                <w:rFonts w:ascii="Arial" w:eastAsia="Arial" w:hAnsi="Arial" w:cs="Arial"/>
                <w:sz w:val="16"/>
                <w:szCs w:val="16"/>
              </w:rPr>
              <w:t>– patients treated by IAU or RESHAPE-trained primary healthcare workers</w:t>
            </w:r>
          </w:p>
        </w:tc>
      </w:tr>
      <w:tr w:rsidR="00756AB9" w:rsidRPr="00442A52" w14:paraId="02AB0CFA" w14:textId="77777777" w:rsidTr="00BC0444">
        <w:trPr>
          <w:trHeight w:val="20"/>
        </w:trPr>
        <w:tc>
          <w:tcPr>
            <w:tcW w:w="2250" w:type="dxa"/>
            <w:tcBorders>
              <w:bottom w:val="single" w:sz="6" w:space="0" w:color="262626"/>
              <w:right w:val="single" w:sz="12" w:space="0" w:color="000000"/>
            </w:tcBorders>
            <w:shd w:val="clear" w:color="auto" w:fill="auto"/>
            <w:vAlign w:val="bottom"/>
          </w:tcPr>
          <w:p w14:paraId="7E91CB8B" w14:textId="77777777" w:rsidR="00756AB9" w:rsidRPr="00442A52" w:rsidRDefault="00756AB9" w:rsidP="00BC0444">
            <w:pPr>
              <w:jc w:val="right"/>
              <w:rPr>
                <w:rFonts w:ascii="Arial" w:eastAsia="Arial" w:hAnsi="Arial" w:cs="Arial"/>
                <w:b/>
                <w:sz w:val="16"/>
                <w:szCs w:val="16"/>
              </w:rPr>
            </w:pPr>
          </w:p>
        </w:tc>
        <w:tc>
          <w:tcPr>
            <w:tcW w:w="1167" w:type="dxa"/>
            <w:tcBorders>
              <w:top w:val="single" w:sz="6" w:space="0" w:color="262626"/>
              <w:left w:val="single" w:sz="12" w:space="0" w:color="000000"/>
              <w:bottom w:val="single" w:sz="6" w:space="0" w:color="262626"/>
              <w:right w:val="single" w:sz="12" w:space="0" w:color="262626"/>
            </w:tcBorders>
            <w:shd w:val="clear" w:color="auto" w:fill="auto"/>
            <w:vAlign w:val="center"/>
          </w:tcPr>
          <w:p w14:paraId="3A3A914D" w14:textId="77777777" w:rsidR="00756AB9" w:rsidRPr="00442A52" w:rsidRDefault="00756AB9" w:rsidP="00BC0444">
            <w:pPr>
              <w:jc w:val="center"/>
              <w:rPr>
                <w:rFonts w:ascii="Arial" w:eastAsia="Arial" w:hAnsi="Arial" w:cs="Arial"/>
                <w:b/>
                <w:sz w:val="16"/>
                <w:szCs w:val="16"/>
              </w:rPr>
            </w:pPr>
            <w:r w:rsidRPr="00442A52">
              <w:rPr>
                <w:rFonts w:ascii="Arial" w:eastAsia="Arial" w:hAnsi="Arial" w:cs="Arial"/>
                <w:b/>
                <w:sz w:val="16"/>
                <w:szCs w:val="16"/>
              </w:rPr>
              <w:t>Cluster Allocation</w:t>
            </w:r>
          </w:p>
        </w:tc>
        <w:tc>
          <w:tcPr>
            <w:tcW w:w="1168" w:type="dxa"/>
            <w:tcBorders>
              <w:top w:val="single" w:sz="6" w:space="0" w:color="262626"/>
              <w:left w:val="single" w:sz="12" w:space="0" w:color="262626"/>
              <w:bottom w:val="single" w:sz="6" w:space="0" w:color="262626"/>
              <w:right w:val="single" w:sz="12" w:space="0" w:color="262626"/>
            </w:tcBorders>
            <w:shd w:val="clear" w:color="auto" w:fill="auto"/>
            <w:vAlign w:val="center"/>
          </w:tcPr>
          <w:p w14:paraId="73E50FE9" w14:textId="77777777" w:rsidR="00756AB9" w:rsidRPr="00442A52" w:rsidRDefault="00756AB9" w:rsidP="00BC0444">
            <w:pPr>
              <w:jc w:val="center"/>
              <w:rPr>
                <w:rFonts w:ascii="Arial" w:eastAsia="Arial" w:hAnsi="Arial" w:cs="Arial"/>
                <w:b/>
                <w:sz w:val="16"/>
                <w:szCs w:val="16"/>
              </w:rPr>
            </w:pPr>
          </w:p>
        </w:tc>
        <w:tc>
          <w:tcPr>
            <w:tcW w:w="4960" w:type="dxa"/>
            <w:gridSpan w:val="7"/>
            <w:tcBorders>
              <w:left w:val="single" w:sz="12" w:space="0" w:color="262626"/>
              <w:bottom w:val="single" w:sz="6" w:space="0" w:color="262626"/>
              <w:right w:val="single" w:sz="4" w:space="0" w:color="262626"/>
            </w:tcBorders>
            <w:shd w:val="clear" w:color="auto" w:fill="auto"/>
            <w:vAlign w:val="center"/>
          </w:tcPr>
          <w:p w14:paraId="35A04ECA" w14:textId="77777777" w:rsidR="00756AB9" w:rsidRPr="00442A52" w:rsidRDefault="00756AB9" w:rsidP="00BC0444">
            <w:pPr>
              <w:jc w:val="center"/>
              <w:rPr>
                <w:rFonts w:ascii="Arial" w:eastAsia="Arial" w:hAnsi="Arial" w:cs="Arial"/>
                <w:b/>
                <w:sz w:val="16"/>
                <w:szCs w:val="16"/>
              </w:rPr>
            </w:pPr>
            <w:r w:rsidRPr="00442A52">
              <w:rPr>
                <w:rFonts w:ascii="Arial" w:eastAsia="Arial" w:hAnsi="Arial" w:cs="Arial"/>
                <w:b/>
                <w:sz w:val="16"/>
                <w:szCs w:val="16"/>
              </w:rPr>
              <w:t>Post-allocation</w:t>
            </w:r>
          </w:p>
        </w:tc>
        <w:tc>
          <w:tcPr>
            <w:tcW w:w="900" w:type="dxa"/>
            <w:tcBorders>
              <w:left w:val="single" w:sz="12" w:space="0" w:color="000000"/>
              <w:bottom w:val="single" w:sz="6" w:space="0" w:color="262626"/>
              <w:right w:val="single" w:sz="4" w:space="0" w:color="262626"/>
            </w:tcBorders>
            <w:vAlign w:val="center"/>
          </w:tcPr>
          <w:p w14:paraId="61FB59A5" w14:textId="77777777" w:rsidR="00756AB9" w:rsidRPr="00442A52" w:rsidRDefault="00756AB9" w:rsidP="00BC0444">
            <w:pPr>
              <w:jc w:val="center"/>
              <w:rPr>
                <w:rFonts w:ascii="Arial" w:eastAsia="Arial" w:hAnsi="Arial" w:cs="Arial"/>
                <w:b/>
                <w:sz w:val="16"/>
                <w:szCs w:val="16"/>
              </w:rPr>
            </w:pPr>
            <w:r w:rsidRPr="00442A52">
              <w:rPr>
                <w:rFonts w:ascii="Arial" w:eastAsia="Arial" w:hAnsi="Arial" w:cs="Arial"/>
                <w:b/>
                <w:sz w:val="16"/>
                <w:szCs w:val="16"/>
              </w:rPr>
              <w:t>Close-out</w:t>
            </w:r>
          </w:p>
        </w:tc>
      </w:tr>
      <w:tr w:rsidR="00756AB9" w:rsidRPr="00442A52" w14:paraId="1FB27EB7" w14:textId="77777777" w:rsidTr="00BC0444">
        <w:trPr>
          <w:trHeight w:val="20"/>
        </w:trPr>
        <w:tc>
          <w:tcPr>
            <w:tcW w:w="2250" w:type="dxa"/>
            <w:tcBorders>
              <w:top w:val="single" w:sz="6" w:space="0" w:color="262626"/>
              <w:bottom w:val="single" w:sz="12" w:space="0" w:color="262626"/>
              <w:right w:val="single" w:sz="12" w:space="0" w:color="000000"/>
            </w:tcBorders>
            <w:shd w:val="clear" w:color="auto" w:fill="E6E6E6"/>
            <w:vAlign w:val="center"/>
          </w:tcPr>
          <w:p w14:paraId="771D73DC" w14:textId="77777777" w:rsidR="00756AB9" w:rsidRPr="00442A52" w:rsidRDefault="00756AB9" w:rsidP="00BC0444">
            <w:pPr>
              <w:jc w:val="right"/>
              <w:rPr>
                <w:rFonts w:ascii="Arial" w:eastAsia="Arial" w:hAnsi="Arial" w:cs="Arial"/>
                <w:sz w:val="16"/>
                <w:szCs w:val="16"/>
              </w:rPr>
            </w:pPr>
            <w:r w:rsidRPr="00442A52">
              <w:rPr>
                <w:rFonts w:ascii="Arial" w:eastAsia="Arial" w:hAnsi="Arial" w:cs="Arial"/>
                <w:b/>
                <w:sz w:val="16"/>
                <w:szCs w:val="16"/>
              </w:rPr>
              <w:t>TIMEPOINT</w:t>
            </w:r>
          </w:p>
        </w:tc>
        <w:tc>
          <w:tcPr>
            <w:tcW w:w="1167" w:type="dxa"/>
            <w:tcBorders>
              <w:top w:val="single" w:sz="6" w:space="0" w:color="262626"/>
              <w:left w:val="single" w:sz="12" w:space="0" w:color="000000"/>
              <w:bottom w:val="single" w:sz="12" w:space="0" w:color="262626"/>
              <w:right w:val="single" w:sz="12" w:space="0" w:color="262626"/>
            </w:tcBorders>
            <w:shd w:val="clear" w:color="auto" w:fill="E6E6E6"/>
            <w:vAlign w:val="center"/>
          </w:tcPr>
          <w:p w14:paraId="3FF2C319"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1</w:t>
            </w:r>
          </w:p>
        </w:tc>
        <w:tc>
          <w:tcPr>
            <w:tcW w:w="1168" w:type="dxa"/>
            <w:tcBorders>
              <w:top w:val="single" w:sz="6" w:space="0" w:color="262626"/>
              <w:left w:val="single" w:sz="12" w:space="0" w:color="262626"/>
              <w:bottom w:val="single" w:sz="12" w:space="0" w:color="262626"/>
              <w:right w:val="single" w:sz="12" w:space="0" w:color="262626"/>
            </w:tcBorders>
            <w:shd w:val="clear" w:color="auto" w:fill="E6E6E6"/>
            <w:vAlign w:val="center"/>
          </w:tcPr>
          <w:p w14:paraId="5F337085" w14:textId="77777777" w:rsidR="00756AB9" w:rsidRPr="00442A52" w:rsidRDefault="00756AB9" w:rsidP="00BC0444">
            <w:pPr>
              <w:jc w:val="center"/>
              <w:rPr>
                <w:rFonts w:ascii="Arial" w:eastAsia="Arial" w:hAnsi="Arial" w:cs="Arial"/>
                <w:b/>
                <w:sz w:val="16"/>
                <w:szCs w:val="16"/>
              </w:rPr>
            </w:pPr>
          </w:p>
        </w:tc>
        <w:tc>
          <w:tcPr>
            <w:tcW w:w="680" w:type="dxa"/>
            <w:tcBorders>
              <w:top w:val="single" w:sz="6" w:space="0" w:color="262626"/>
              <w:left w:val="single" w:sz="12" w:space="0" w:color="262626"/>
              <w:bottom w:val="single" w:sz="12" w:space="0" w:color="262626"/>
            </w:tcBorders>
            <w:shd w:val="clear" w:color="auto" w:fill="E6E6E6"/>
            <w:vAlign w:val="center"/>
          </w:tcPr>
          <w:p w14:paraId="5370815F"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1</w:t>
            </w:r>
          </w:p>
        </w:tc>
        <w:tc>
          <w:tcPr>
            <w:tcW w:w="680" w:type="dxa"/>
            <w:tcBorders>
              <w:top w:val="single" w:sz="6" w:space="0" w:color="262626"/>
              <w:bottom w:val="single" w:sz="12" w:space="0" w:color="262626"/>
            </w:tcBorders>
            <w:shd w:val="clear" w:color="auto" w:fill="E6E6E6"/>
            <w:vAlign w:val="center"/>
          </w:tcPr>
          <w:p w14:paraId="1E1FF84C"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2</w:t>
            </w:r>
          </w:p>
        </w:tc>
        <w:tc>
          <w:tcPr>
            <w:tcW w:w="680" w:type="dxa"/>
            <w:tcBorders>
              <w:top w:val="single" w:sz="6" w:space="0" w:color="262626"/>
              <w:bottom w:val="single" w:sz="12" w:space="0" w:color="262626"/>
            </w:tcBorders>
            <w:shd w:val="clear" w:color="auto" w:fill="E6E6E6"/>
            <w:vAlign w:val="center"/>
          </w:tcPr>
          <w:p w14:paraId="4B854CD5"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3</w:t>
            </w:r>
          </w:p>
        </w:tc>
        <w:tc>
          <w:tcPr>
            <w:tcW w:w="748" w:type="dxa"/>
            <w:tcBorders>
              <w:top w:val="single" w:sz="6" w:space="0" w:color="262626"/>
              <w:bottom w:val="single" w:sz="12" w:space="0" w:color="262626"/>
            </w:tcBorders>
            <w:shd w:val="clear" w:color="auto" w:fill="E6E6E6"/>
            <w:vAlign w:val="center"/>
          </w:tcPr>
          <w:p w14:paraId="53E15D52"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4</w:t>
            </w:r>
          </w:p>
        </w:tc>
        <w:tc>
          <w:tcPr>
            <w:tcW w:w="721" w:type="dxa"/>
            <w:tcBorders>
              <w:top w:val="single" w:sz="6" w:space="0" w:color="262626"/>
              <w:bottom w:val="single" w:sz="12" w:space="0" w:color="262626"/>
              <w:right w:val="single" w:sz="12" w:space="0" w:color="000000"/>
            </w:tcBorders>
            <w:shd w:val="clear" w:color="auto" w:fill="E6E6E6"/>
            <w:vAlign w:val="center"/>
          </w:tcPr>
          <w:p w14:paraId="07C5F9BF"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5</w:t>
            </w:r>
          </w:p>
        </w:tc>
        <w:tc>
          <w:tcPr>
            <w:tcW w:w="725"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510AB787"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6</w:t>
            </w:r>
          </w:p>
        </w:tc>
        <w:tc>
          <w:tcPr>
            <w:tcW w:w="726"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232F9727"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7</w:t>
            </w:r>
          </w:p>
        </w:tc>
        <w:tc>
          <w:tcPr>
            <w:tcW w:w="900"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73C6763A"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t</w:t>
            </w:r>
            <w:r w:rsidRPr="00442A52">
              <w:rPr>
                <w:rFonts w:ascii="Arial" w:eastAsia="Arial" w:hAnsi="Arial" w:cs="Arial"/>
                <w:b/>
                <w:i/>
                <w:sz w:val="16"/>
                <w:szCs w:val="16"/>
                <w:vertAlign w:val="subscript"/>
              </w:rPr>
              <w:t>8</w:t>
            </w:r>
          </w:p>
        </w:tc>
      </w:tr>
      <w:tr w:rsidR="00756AB9" w:rsidRPr="00442A52" w14:paraId="57DF6418" w14:textId="77777777" w:rsidTr="00BC0444">
        <w:trPr>
          <w:trHeight w:val="20"/>
        </w:trPr>
        <w:tc>
          <w:tcPr>
            <w:tcW w:w="2250" w:type="dxa"/>
            <w:tcBorders>
              <w:top w:val="single" w:sz="6" w:space="0" w:color="262626"/>
              <w:bottom w:val="single" w:sz="12" w:space="0" w:color="262626"/>
              <w:right w:val="single" w:sz="12" w:space="0" w:color="000000"/>
            </w:tcBorders>
            <w:shd w:val="clear" w:color="auto" w:fill="E6E6E6"/>
            <w:vAlign w:val="center"/>
          </w:tcPr>
          <w:p w14:paraId="1DB3FED6" w14:textId="77777777" w:rsidR="00756AB9" w:rsidRPr="00442A52" w:rsidRDefault="00756AB9" w:rsidP="00BC0444">
            <w:pPr>
              <w:jc w:val="right"/>
              <w:rPr>
                <w:rFonts w:ascii="Arial" w:eastAsia="Arial" w:hAnsi="Arial" w:cs="Arial"/>
                <w:b/>
                <w:sz w:val="16"/>
                <w:szCs w:val="16"/>
              </w:rPr>
            </w:pPr>
            <w:r w:rsidRPr="00442A52">
              <w:rPr>
                <w:rFonts w:ascii="Arial" w:eastAsia="Arial" w:hAnsi="Arial" w:cs="Arial"/>
                <w:b/>
                <w:sz w:val="16"/>
                <w:szCs w:val="16"/>
              </w:rPr>
              <w:t xml:space="preserve">Month </w:t>
            </w:r>
          </w:p>
        </w:tc>
        <w:tc>
          <w:tcPr>
            <w:tcW w:w="1167" w:type="dxa"/>
            <w:tcBorders>
              <w:top w:val="single" w:sz="6" w:space="0" w:color="262626"/>
              <w:left w:val="single" w:sz="12" w:space="0" w:color="000000"/>
              <w:bottom w:val="single" w:sz="12" w:space="0" w:color="262626"/>
              <w:right w:val="single" w:sz="12" w:space="0" w:color="262626"/>
            </w:tcBorders>
            <w:shd w:val="clear" w:color="auto" w:fill="E6E6E6"/>
            <w:vAlign w:val="center"/>
          </w:tcPr>
          <w:p w14:paraId="1D440EBE"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0</w:t>
            </w:r>
          </w:p>
        </w:tc>
        <w:tc>
          <w:tcPr>
            <w:tcW w:w="1168" w:type="dxa"/>
            <w:tcBorders>
              <w:top w:val="single" w:sz="6" w:space="0" w:color="262626"/>
              <w:left w:val="single" w:sz="12" w:space="0" w:color="262626"/>
              <w:bottom w:val="single" w:sz="12" w:space="0" w:color="262626"/>
              <w:right w:val="single" w:sz="12" w:space="0" w:color="262626"/>
            </w:tcBorders>
            <w:shd w:val="clear" w:color="auto" w:fill="E6E6E6"/>
            <w:vAlign w:val="center"/>
          </w:tcPr>
          <w:p w14:paraId="56F64EF0" w14:textId="77777777" w:rsidR="00756AB9" w:rsidRPr="00442A52" w:rsidRDefault="00756AB9" w:rsidP="00BC0444">
            <w:pPr>
              <w:jc w:val="center"/>
              <w:rPr>
                <w:rFonts w:ascii="Arial" w:eastAsia="Arial" w:hAnsi="Arial" w:cs="Arial"/>
                <w:bCs/>
                <w:sz w:val="16"/>
                <w:szCs w:val="16"/>
              </w:rPr>
            </w:pPr>
          </w:p>
        </w:tc>
        <w:tc>
          <w:tcPr>
            <w:tcW w:w="680" w:type="dxa"/>
            <w:tcBorders>
              <w:top w:val="single" w:sz="6" w:space="0" w:color="262626"/>
              <w:left w:val="single" w:sz="12" w:space="0" w:color="262626"/>
              <w:bottom w:val="single" w:sz="12" w:space="0" w:color="262626"/>
            </w:tcBorders>
            <w:shd w:val="clear" w:color="auto" w:fill="E6E6E6"/>
            <w:vAlign w:val="center"/>
          </w:tcPr>
          <w:p w14:paraId="423F24B4" w14:textId="77777777" w:rsidR="00756AB9" w:rsidRPr="00442A52" w:rsidRDefault="00756AB9" w:rsidP="00BC0444">
            <w:pPr>
              <w:jc w:val="center"/>
              <w:rPr>
                <w:rFonts w:ascii="Arial" w:eastAsia="Arial" w:hAnsi="Arial" w:cs="Arial"/>
                <w:bCs/>
                <w:i/>
                <w:sz w:val="16"/>
                <w:szCs w:val="16"/>
              </w:rPr>
            </w:pPr>
          </w:p>
        </w:tc>
        <w:tc>
          <w:tcPr>
            <w:tcW w:w="680" w:type="dxa"/>
            <w:tcBorders>
              <w:top w:val="single" w:sz="6" w:space="0" w:color="262626"/>
              <w:bottom w:val="single" w:sz="12" w:space="0" w:color="262626"/>
            </w:tcBorders>
            <w:shd w:val="clear" w:color="auto" w:fill="E6E6E6"/>
            <w:vAlign w:val="center"/>
          </w:tcPr>
          <w:p w14:paraId="0B6FED3A" w14:textId="77777777" w:rsidR="00756AB9" w:rsidRPr="00442A52" w:rsidRDefault="00756AB9" w:rsidP="00BC0444">
            <w:pPr>
              <w:jc w:val="center"/>
              <w:rPr>
                <w:rFonts w:ascii="Arial" w:eastAsia="Arial" w:hAnsi="Arial" w:cs="Arial"/>
                <w:bCs/>
                <w:i/>
                <w:sz w:val="16"/>
                <w:szCs w:val="16"/>
              </w:rPr>
            </w:pPr>
          </w:p>
        </w:tc>
        <w:tc>
          <w:tcPr>
            <w:tcW w:w="680" w:type="dxa"/>
            <w:tcBorders>
              <w:top w:val="single" w:sz="6" w:space="0" w:color="262626"/>
              <w:bottom w:val="single" w:sz="12" w:space="0" w:color="262626"/>
            </w:tcBorders>
            <w:shd w:val="clear" w:color="auto" w:fill="E6E6E6"/>
            <w:vAlign w:val="center"/>
          </w:tcPr>
          <w:p w14:paraId="5FEC89C2" w14:textId="77777777" w:rsidR="00756AB9" w:rsidRPr="00442A52" w:rsidRDefault="00756AB9" w:rsidP="00BC0444">
            <w:pPr>
              <w:jc w:val="center"/>
              <w:rPr>
                <w:rFonts w:ascii="Arial" w:eastAsia="Arial" w:hAnsi="Arial" w:cs="Arial"/>
                <w:bCs/>
                <w:i/>
                <w:sz w:val="16"/>
                <w:szCs w:val="16"/>
              </w:rPr>
            </w:pPr>
          </w:p>
        </w:tc>
        <w:tc>
          <w:tcPr>
            <w:tcW w:w="748" w:type="dxa"/>
            <w:tcBorders>
              <w:top w:val="single" w:sz="6" w:space="0" w:color="262626"/>
              <w:bottom w:val="single" w:sz="12" w:space="0" w:color="262626"/>
            </w:tcBorders>
            <w:shd w:val="clear" w:color="auto" w:fill="E6E6E6"/>
            <w:vAlign w:val="center"/>
          </w:tcPr>
          <w:p w14:paraId="106DC074"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3-5</w:t>
            </w:r>
          </w:p>
        </w:tc>
        <w:tc>
          <w:tcPr>
            <w:tcW w:w="721" w:type="dxa"/>
            <w:tcBorders>
              <w:top w:val="single" w:sz="6" w:space="0" w:color="262626"/>
              <w:bottom w:val="single" w:sz="12" w:space="0" w:color="262626"/>
              <w:right w:val="single" w:sz="12" w:space="0" w:color="000000"/>
            </w:tcBorders>
            <w:shd w:val="clear" w:color="auto" w:fill="E6E6E6"/>
            <w:vAlign w:val="center"/>
          </w:tcPr>
          <w:p w14:paraId="5D7CE7F9"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3-5</w:t>
            </w:r>
          </w:p>
        </w:tc>
        <w:tc>
          <w:tcPr>
            <w:tcW w:w="725"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1BDC2063" w14:textId="77777777" w:rsidR="00756AB9" w:rsidRPr="00442A52" w:rsidRDefault="00756AB9" w:rsidP="00BC0444">
            <w:pPr>
              <w:jc w:val="center"/>
              <w:rPr>
                <w:rFonts w:ascii="Arial" w:eastAsia="Arial" w:hAnsi="Arial" w:cs="Arial"/>
                <w:bCs/>
                <w:i/>
                <w:sz w:val="16"/>
                <w:szCs w:val="16"/>
              </w:rPr>
            </w:pPr>
          </w:p>
        </w:tc>
        <w:tc>
          <w:tcPr>
            <w:tcW w:w="726"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66D34324"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6-8</w:t>
            </w:r>
          </w:p>
        </w:tc>
        <w:tc>
          <w:tcPr>
            <w:tcW w:w="900"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51C3995D" w14:textId="77777777" w:rsidR="00756AB9" w:rsidRPr="00442A52" w:rsidRDefault="00756AB9" w:rsidP="00BC0444">
            <w:pPr>
              <w:jc w:val="center"/>
              <w:rPr>
                <w:rFonts w:ascii="Arial" w:eastAsia="Arial" w:hAnsi="Arial" w:cs="Arial"/>
                <w:bCs/>
                <w:i/>
                <w:sz w:val="16"/>
                <w:szCs w:val="16"/>
              </w:rPr>
            </w:pPr>
            <w:r w:rsidRPr="00442A52">
              <w:rPr>
                <w:rFonts w:ascii="Arial" w:eastAsia="Arial" w:hAnsi="Arial" w:cs="Arial"/>
                <w:bCs/>
                <w:i/>
                <w:sz w:val="16"/>
                <w:szCs w:val="16"/>
              </w:rPr>
              <w:t>9-11</w:t>
            </w:r>
          </w:p>
        </w:tc>
      </w:tr>
      <w:tr w:rsidR="00756AB9" w:rsidRPr="00442A52" w14:paraId="65EAAA00" w14:textId="77777777" w:rsidTr="00BC0444">
        <w:trPr>
          <w:trHeight w:val="20"/>
        </w:trPr>
        <w:tc>
          <w:tcPr>
            <w:tcW w:w="2250" w:type="dxa"/>
            <w:tcBorders>
              <w:top w:val="single" w:sz="6" w:space="0" w:color="262626"/>
              <w:bottom w:val="single" w:sz="12" w:space="0" w:color="262626"/>
              <w:right w:val="single" w:sz="12" w:space="0" w:color="000000"/>
            </w:tcBorders>
            <w:shd w:val="clear" w:color="auto" w:fill="E6E6E6"/>
            <w:vAlign w:val="center"/>
          </w:tcPr>
          <w:p w14:paraId="300FC85B" w14:textId="77777777" w:rsidR="00756AB9" w:rsidRPr="00442A52" w:rsidRDefault="00756AB9" w:rsidP="00BC0444">
            <w:pPr>
              <w:jc w:val="right"/>
              <w:rPr>
                <w:rFonts w:ascii="Arial" w:eastAsia="Arial" w:hAnsi="Arial" w:cs="Arial"/>
                <w:b/>
                <w:sz w:val="16"/>
                <w:szCs w:val="16"/>
              </w:rPr>
            </w:pPr>
            <w:r w:rsidRPr="00442A52">
              <w:rPr>
                <w:rFonts w:ascii="Arial" w:eastAsia="Arial" w:hAnsi="Arial" w:cs="Arial"/>
                <w:b/>
                <w:sz w:val="16"/>
                <w:szCs w:val="16"/>
              </w:rPr>
              <w:t>Patient Data Collection Point</w:t>
            </w:r>
          </w:p>
        </w:tc>
        <w:tc>
          <w:tcPr>
            <w:tcW w:w="1167" w:type="dxa"/>
            <w:tcBorders>
              <w:top w:val="single" w:sz="6" w:space="0" w:color="262626"/>
              <w:left w:val="single" w:sz="12" w:space="0" w:color="000000"/>
              <w:bottom w:val="single" w:sz="12" w:space="0" w:color="262626"/>
              <w:right w:val="single" w:sz="12" w:space="0" w:color="262626"/>
            </w:tcBorders>
            <w:shd w:val="clear" w:color="auto" w:fill="E6E6E6"/>
            <w:vAlign w:val="center"/>
          </w:tcPr>
          <w:p w14:paraId="68862A84" w14:textId="77777777" w:rsidR="00756AB9" w:rsidRPr="00442A52" w:rsidRDefault="00756AB9" w:rsidP="00BC0444">
            <w:pPr>
              <w:jc w:val="center"/>
              <w:rPr>
                <w:rFonts w:ascii="Arial" w:eastAsia="Arial" w:hAnsi="Arial" w:cs="Arial"/>
                <w:b/>
                <w:i/>
                <w:sz w:val="16"/>
                <w:szCs w:val="16"/>
              </w:rPr>
            </w:pPr>
          </w:p>
        </w:tc>
        <w:tc>
          <w:tcPr>
            <w:tcW w:w="1168" w:type="dxa"/>
            <w:tcBorders>
              <w:top w:val="single" w:sz="6" w:space="0" w:color="262626"/>
              <w:left w:val="single" w:sz="12" w:space="0" w:color="262626"/>
              <w:bottom w:val="single" w:sz="12" w:space="0" w:color="262626"/>
              <w:right w:val="single" w:sz="12" w:space="0" w:color="262626"/>
            </w:tcBorders>
            <w:shd w:val="clear" w:color="auto" w:fill="E6E6E6"/>
            <w:vAlign w:val="center"/>
          </w:tcPr>
          <w:p w14:paraId="7E19F386" w14:textId="77777777" w:rsidR="00756AB9" w:rsidRPr="00442A52" w:rsidRDefault="00756AB9" w:rsidP="00BC0444">
            <w:pPr>
              <w:jc w:val="center"/>
              <w:rPr>
                <w:rFonts w:ascii="Arial" w:eastAsia="Arial" w:hAnsi="Arial" w:cs="Arial"/>
                <w:b/>
                <w:sz w:val="16"/>
                <w:szCs w:val="16"/>
              </w:rPr>
            </w:pPr>
          </w:p>
        </w:tc>
        <w:tc>
          <w:tcPr>
            <w:tcW w:w="680" w:type="dxa"/>
            <w:tcBorders>
              <w:top w:val="single" w:sz="6" w:space="0" w:color="262626"/>
              <w:left w:val="single" w:sz="12" w:space="0" w:color="262626"/>
              <w:bottom w:val="single" w:sz="12" w:space="0" w:color="262626"/>
            </w:tcBorders>
            <w:shd w:val="clear" w:color="auto" w:fill="E6E6E6"/>
            <w:vAlign w:val="center"/>
          </w:tcPr>
          <w:p w14:paraId="44A05942" w14:textId="77777777" w:rsidR="00756AB9" w:rsidRPr="00442A52" w:rsidRDefault="00756AB9" w:rsidP="00BC0444">
            <w:pPr>
              <w:jc w:val="center"/>
              <w:rPr>
                <w:rFonts w:ascii="Arial" w:eastAsia="Arial" w:hAnsi="Arial" w:cs="Arial"/>
                <w:b/>
                <w:i/>
                <w:sz w:val="16"/>
                <w:szCs w:val="16"/>
              </w:rPr>
            </w:pPr>
          </w:p>
        </w:tc>
        <w:tc>
          <w:tcPr>
            <w:tcW w:w="680" w:type="dxa"/>
            <w:tcBorders>
              <w:top w:val="single" w:sz="6" w:space="0" w:color="262626"/>
              <w:bottom w:val="single" w:sz="12" w:space="0" w:color="262626"/>
            </w:tcBorders>
            <w:shd w:val="clear" w:color="auto" w:fill="E6E6E6"/>
            <w:vAlign w:val="center"/>
          </w:tcPr>
          <w:p w14:paraId="568D234C" w14:textId="77777777" w:rsidR="00756AB9" w:rsidRPr="00442A52" w:rsidRDefault="00756AB9" w:rsidP="00BC0444">
            <w:pPr>
              <w:jc w:val="center"/>
              <w:rPr>
                <w:rFonts w:ascii="Arial" w:eastAsia="Arial" w:hAnsi="Arial" w:cs="Arial"/>
                <w:b/>
                <w:i/>
                <w:sz w:val="16"/>
                <w:szCs w:val="16"/>
              </w:rPr>
            </w:pPr>
          </w:p>
        </w:tc>
        <w:tc>
          <w:tcPr>
            <w:tcW w:w="680" w:type="dxa"/>
            <w:tcBorders>
              <w:top w:val="single" w:sz="6" w:space="0" w:color="262626"/>
              <w:bottom w:val="single" w:sz="12" w:space="0" w:color="262626"/>
            </w:tcBorders>
            <w:shd w:val="clear" w:color="auto" w:fill="E6E6E6"/>
            <w:vAlign w:val="center"/>
          </w:tcPr>
          <w:p w14:paraId="7F901124" w14:textId="77777777" w:rsidR="00756AB9" w:rsidRPr="00442A52" w:rsidRDefault="00756AB9" w:rsidP="00BC0444">
            <w:pPr>
              <w:jc w:val="center"/>
              <w:rPr>
                <w:rFonts w:ascii="Arial" w:eastAsia="Arial" w:hAnsi="Arial" w:cs="Arial"/>
                <w:b/>
                <w:i/>
                <w:sz w:val="16"/>
                <w:szCs w:val="16"/>
              </w:rPr>
            </w:pPr>
          </w:p>
        </w:tc>
        <w:tc>
          <w:tcPr>
            <w:tcW w:w="748" w:type="dxa"/>
            <w:tcBorders>
              <w:top w:val="single" w:sz="6" w:space="0" w:color="262626"/>
              <w:bottom w:val="single" w:sz="12" w:space="0" w:color="262626"/>
            </w:tcBorders>
            <w:shd w:val="clear" w:color="auto" w:fill="E6E6E6"/>
            <w:vAlign w:val="center"/>
          </w:tcPr>
          <w:p w14:paraId="54EE9FEB"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 xml:space="preserve">PT </w:t>
            </w:r>
            <w:r w:rsidRPr="00442A52">
              <w:rPr>
                <w:rFonts w:ascii="Arial" w:eastAsia="Arial" w:hAnsi="Arial" w:cs="Arial"/>
                <w:b/>
                <w:i/>
                <w:sz w:val="12"/>
                <w:szCs w:val="12"/>
              </w:rPr>
              <w:t>Screen</w:t>
            </w:r>
          </w:p>
        </w:tc>
        <w:tc>
          <w:tcPr>
            <w:tcW w:w="721" w:type="dxa"/>
            <w:tcBorders>
              <w:top w:val="single" w:sz="6" w:space="0" w:color="262626"/>
              <w:bottom w:val="single" w:sz="12" w:space="0" w:color="262626"/>
              <w:right w:val="single" w:sz="12" w:space="0" w:color="000000"/>
            </w:tcBorders>
            <w:shd w:val="clear" w:color="auto" w:fill="E6E6E6"/>
            <w:vAlign w:val="center"/>
          </w:tcPr>
          <w:p w14:paraId="6179CE5D"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PT</w:t>
            </w:r>
            <w:r w:rsidRPr="00442A52">
              <w:rPr>
                <w:rFonts w:ascii="Arial" w:eastAsia="Arial" w:hAnsi="Arial" w:cs="Arial"/>
                <w:b/>
                <w:i/>
                <w:sz w:val="16"/>
                <w:szCs w:val="16"/>
                <w:vertAlign w:val="subscript"/>
              </w:rPr>
              <w:t>T0</w:t>
            </w:r>
          </w:p>
        </w:tc>
        <w:tc>
          <w:tcPr>
            <w:tcW w:w="725"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18EEB761" w14:textId="77777777" w:rsidR="00756AB9" w:rsidRPr="00442A52" w:rsidRDefault="00756AB9" w:rsidP="00BC0444">
            <w:pPr>
              <w:jc w:val="center"/>
              <w:rPr>
                <w:rFonts w:ascii="Arial" w:eastAsia="Arial" w:hAnsi="Arial" w:cs="Arial"/>
                <w:b/>
                <w:i/>
                <w:sz w:val="16"/>
                <w:szCs w:val="16"/>
              </w:rPr>
            </w:pPr>
          </w:p>
        </w:tc>
        <w:tc>
          <w:tcPr>
            <w:tcW w:w="726"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18FDC5CE"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PT</w:t>
            </w:r>
            <w:r w:rsidRPr="00442A52">
              <w:rPr>
                <w:rFonts w:ascii="Arial" w:eastAsia="Arial" w:hAnsi="Arial" w:cs="Arial"/>
                <w:b/>
                <w:i/>
                <w:sz w:val="16"/>
                <w:szCs w:val="16"/>
                <w:vertAlign w:val="subscript"/>
              </w:rPr>
              <w:t>T1</w:t>
            </w:r>
          </w:p>
        </w:tc>
        <w:tc>
          <w:tcPr>
            <w:tcW w:w="900" w:type="dxa"/>
            <w:tcBorders>
              <w:top w:val="single" w:sz="6" w:space="0" w:color="262626"/>
              <w:left w:val="single" w:sz="12" w:space="0" w:color="000000"/>
              <w:bottom w:val="single" w:sz="12" w:space="0" w:color="262626"/>
              <w:right w:val="single" w:sz="4" w:space="0" w:color="262626"/>
            </w:tcBorders>
            <w:shd w:val="clear" w:color="auto" w:fill="E6E6E6"/>
            <w:vAlign w:val="center"/>
          </w:tcPr>
          <w:p w14:paraId="5A9A20D6" w14:textId="77777777" w:rsidR="00756AB9" w:rsidRPr="00442A52" w:rsidRDefault="00756AB9" w:rsidP="00BC0444">
            <w:pPr>
              <w:jc w:val="center"/>
              <w:rPr>
                <w:rFonts w:ascii="Arial" w:eastAsia="Arial" w:hAnsi="Arial" w:cs="Arial"/>
                <w:b/>
                <w:i/>
                <w:sz w:val="16"/>
                <w:szCs w:val="16"/>
              </w:rPr>
            </w:pPr>
            <w:r w:rsidRPr="00442A52">
              <w:rPr>
                <w:rFonts w:ascii="Arial" w:eastAsia="Arial" w:hAnsi="Arial" w:cs="Arial"/>
                <w:b/>
                <w:i/>
                <w:sz w:val="16"/>
                <w:szCs w:val="16"/>
              </w:rPr>
              <w:t>PT</w:t>
            </w:r>
            <w:r w:rsidRPr="00442A52">
              <w:rPr>
                <w:rFonts w:ascii="Arial" w:eastAsia="Arial" w:hAnsi="Arial" w:cs="Arial"/>
                <w:b/>
                <w:i/>
                <w:sz w:val="16"/>
                <w:szCs w:val="16"/>
                <w:vertAlign w:val="subscript"/>
              </w:rPr>
              <w:t>T2</w:t>
            </w:r>
          </w:p>
        </w:tc>
      </w:tr>
      <w:tr w:rsidR="00756AB9" w:rsidRPr="00442A52" w14:paraId="53A48FE8" w14:textId="77777777" w:rsidTr="00BC0444">
        <w:trPr>
          <w:trHeight w:val="20"/>
        </w:trPr>
        <w:tc>
          <w:tcPr>
            <w:tcW w:w="2250" w:type="dxa"/>
            <w:tcBorders>
              <w:top w:val="single" w:sz="12" w:space="0" w:color="262626"/>
              <w:bottom w:val="nil"/>
              <w:right w:val="single" w:sz="12" w:space="0" w:color="000000"/>
            </w:tcBorders>
            <w:shd w:val="clear" w:color="auto" w:fill="auto"/>
            <w:vAlign w:val="center"/>
          </w:tcPr>
          <w:p w14:paraId="7688B04B" w14:textId="77777777" w:rsidR="00756AB9" w:rsidRPr="00442A52" w:rsidRDefault="00756AB9" w:rsidP="00BC0444">
            <w:pPr>
              <w:rPr>
                <w:rFonts w:ascii="Arial" w:eastAsia="Arial" w:hAnsi="Arial" w:cs="Arial"/>
                <w:b/>
                <w:sz w:val="16"/>
                <w:szCs w:val="16"/>
              </w:rPr>
            </w:pPr>
            <w:r w:rsidRPr="00442A52">
              <w:rPr>
                <w:rFonts w:ascii="Arial" w:eastAsia="Arial" w:hAnsi="Arial" w:cs="Arial"/>
                <w:b/>
                <w:sz w:val="16"/>
                <w:szCs w:val="16"/>
              </w:rPr>
              <w:t>ENROLLMENT:</w:t>
            </w:r>
          </w:p>
        </w:tc>
        <w:tc>
          <w:tcPr>
            <w:tcW w:w="8195" w:type="dxa"/>
            <w:gridSpan w:val="10"/>
            <w:tcBorders>
              <w:top w:val="single" w:sz="12" w:space="0" w:color="262626"/>
              <w:left w:val="single" w:sz="12" w:space="0" w:color="000000"/>
              <w:right w:val="single" w:sz="4" w:space="0" w:color="262626"/>
            </w:tcBorders>
            <w:shd w:val="clear" w:color="auto" w:fill="auto"/>
            <w:vAlign w:val="center"/>
          </w:tcPr>
          <w:p w14:paraId="74E01578" w14:textId="77777777" w:rsidR="00756AB9" w:rsidRPr="00442A52" w:rsidRDefault="00756AB9" w:rsidP="00BC0444">
            <w:pPr>
              <w:jc w:val="center"/>
              <w:rPr>
                <w:rFonts w:ascii="Arial" w:eastAsia="Arial" w:hAnsi="Arial" w:cs="Arial"/>
                <w:sz w:val="16"/>
                <w:szCs w:val="16"/>
              </w:rPr>
            </w:pPr>
          </w:p>
        </w:tc>
      </w:tr>
      <w:tr w:rsidR="00756AB9" w:rsidRPr="00442A52" w14:paraId="2DF4B39E" w14:textId="77777777" w:rsidTr="00BC0444">
        <w:trPr>
          <w:trHeight w:val="20"/>
        </w:trPr>
        <w:tc>
          <w:tcPr>
            <w:tcW w:w="2250" w:type="dxa"/>
            <w:tcBorders>
              <w:top w:val="nil"/>
              <w:bottom w:val="nil"/>
              <w:right w:val="single" w:sz="12" w:space="0" w:color="000000"/>
            </w:tcBorders>
            <w:shd w:val="clear" w:color="auto" w:fill="auto"/>
            <w:vAlign w:val="center"/>
          </w:tcPr>
          <w:p w14:paraId="6B31A619"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Allocation</w:t>
            </w:r>
          </w:p>
        </w:tc>
        <w:tc>
          <w:tcPr>
            <w:tcW w:w="1167" w:type="dxa"/>
            <w:tcBorders>
              <w:left w:val="single" w:sz="12" w:space="0" w:color="000000"/>
              <w:right w:val="single" w:sz="12" w:space="0" w:color="262626"/>
            </w:tcBorders>
            <w:shd w:val="clear" w:color="auto" w:fill="auto"/>
            <w:vAlign w:val="center"/>
          </w:tcPr>
          <w:p w14:paraId="6ABDFFB8"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1168" w:type="dxa"/>
            <w:tcBorders>
              <w:left w:val="single" w:sz="12" w:space="0" w:color="262626"/>
              <w:right w:val="single" w:sz="12" w:space="0" w:color="262626"/>
            </w:tcBorders>
            <w:shd w:val="clear" w:color="auto" w:fill="auto"/>
            <w:vAlign w:val="center"/>
          </w:tcPr>
          <w:p w14:paraId="160832C1"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538FC1B8"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4D07A51B"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3955E0EA"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2EA23E43"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213B4E3C"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7B35089E"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3C9897C6"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450362DE" w14:textId="77777777" w:rsidR="00756AB9" w:rsidRPr="00442A52" w:rsidRDefault="00756AB9" w:rsidP="00BC0444">
            <w:pPr>
              <w:jc w:val="center"/>
              <w:rPr>
                <w:rFonts w:ascii="Arial" w:eastAsia="Arial" w:hAnsi="Arial" w:cs="Arial"/>
                <w:sz w:val="16"/>
                <w:szCs w:val="16"/>
              </w:rPr>
            </w:pPr>
          </w:p>
        </w:tc>
      </w:tr>
      <w:tr w:rsidR="00756AB9" w:rsidRPr="00442A52" w14:paraId="7CF6A3E1" w14:textId="77777777" w:rsidTr="00BC0444">
        <w:trPr>
          <w:trHeight w:val="20"/>
        </w:trPr>
        <w:tc>
          <w:tcPr>
            <w:tcW w:w="2250" w:type="dxa"/>
            <w:tcBorders>
              <w:top w:val="nil"/>
              <w:bottom w:val="nil"/>
              <w:right w:val="single" w:sz="12" w:space="0" w:color="000000"/>
            </w:tcBorders>
            <w:shd w:val="clear" w:color="auto" w:fill="auto"/>
            <w:vAlign w:val="center"/>
          </w:tcPr>
          <w:p w14:paraId="1F9B8D7E"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Eligibility screen</w:t>
            </w:r>
          </w:p>
        </w:tc>
        <w:tc>
          <w:tcPr>
            <w:tcW w:w="1167" w:type="dxa"/>
            <w:tcBorders>
              <w:left w:val="single" w:sz="12" w:space="0" w:color="000000"/>
              <w:right w:val="single" w:sz="12" w:space="0" w:color="262626"/>
            </w:tcBorders>
            <w:shd w:val="clear" w:color="auto" w:fill="auto"/>
            <w:vAlign w:val="center"/>
          </w:tcPr>
          <w:p w14:paraId="2D8FCD20"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00BD20DE"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72A288C3"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60658FCF"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334ADE07"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5A34869C"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1" w:type="dxa"/>
            <w:tcBorders>
              <w:right w:val="single" w:sz="12" w:space="0" w:color="000000"/>
            </w:tcBorders>
            <w:vAlign w:val="center"/>
          </w:tcPr>
          <w:p w14:paraId="2C1D073C"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70AB463C"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75B269E6"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5895915E" w14:textId="77777777" w:rsidR="00756AB9" w:rsidRPr="00442A52" w:rsidRDefault="00756AB9" w:rsidP="00BC0444">
            <w:pPr>
              <w:jc w:val="center"/>
              <w:rPr>
                <w:rFonts w:ascii="Arial" w:eastAsia="Arial" w:hAnsi="Arial" w:cs="Arial"/>
                <w:sz w:val="16"/>
                <w:szCs w:val="16"/>
              </w:rPr>
            </w:pPr>
          </w:p>
        </w:tc>
      </w:tr>
      <w:tr w:rsidR="00756AB9" w:rsidRPr="00442A52" w14:paraId="5AF0FEA8" w14:textId="77777777" w:rsidTr="00BC0444">
        <w:trPr>
          <w:trHeight w:val="20"/>
        </w:trPr>
        <w:tc>
          <w:tcPr>
            <w:tcW w:w="2250" w:type="dxa"/>
            <w:tcBorders>
              <w:top w:val="nil"/>
              <w:bottom w:val="nil"/>
              <w:right w:val="single" w:sz="12" w:space="0" w:color="000000"/>
            </w:tcBorders>
            <w:shd w:val="clear" w:color="auto" w:fill="auto"/>
            <w:vAlign w:val="center"/>
          </w:tcPr>
          <w:p w14:paraId="1CF9DBB0"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 xml:space="preserve">Informed consent </w:t>
            </w:r>
          </w:p>
        </w:tc>
        <w:tc>
          <w:tcPr>
            <w:tcW w:w="1167" w:type="dxa"/>
            <w:tcBorders>
              <w:left w:val="single" w:sz="12" w:space="0" w:color="000000"/>
              <w:bottom w:val="single" w:sz="6" w:space="0" w:color="262626"/>
              <w:right w:val="single" w:sz="12" w:space="0" w:color="262626"/>
            </w:tcBorders>
            <w:shd w:val="clear" w:color="auto" w:fill="auto"/>
            <w:vAlign w:val="center"/>
          </w:tcPr>
          <w:p w14:paraId="386DA69C"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bottom w:val="single" w:sz="6" w:space="0" w:color="262626"/>
              <w:right w:val="single" w:sz="12" w:space="0" w:color="262626"/>
            </w:tcBorders>
            <w:shd w:val="clear" w:color="auto" w:fill="auto"/>
            <w:vAlign w:val="center"/>
          </w:tcPr>
          <w:p w14:paraId="619D86F0"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bottom w:val="single" w:sz="6" w:space="0" w:color="262626"/>
            </w:tcBorders>
            <w:shd w:val="clear" w:color="auto" w:fill="auto"/>
            <w:vAlign w:val="center"/>
          </w:tcPr>
          <w:p w14:paraId="734E7DFA" w14:textId="77777777" w:rsidR="00756AB9" w:rsidRPr="00442A52" w:rsidRDefault="00756AB9" w:rsidP="00BC0444">
            <w:pPr>
              <w:jc w:val="center"/>
              <w:rPr>
                <w:rFonts w:ascii="Arial" w:eastAsia="Arial" w:hAnsi="Arial" w:cs="Arial"/>
                <w:sz w:val="16"/>
                <w:szCs w:val="16"/>
              </w:rPr>
            </w:pPr>
          </w:p>
        </w:tc>
        <w:tc>
          <w:tcPr>
            <w:tcW w:w="680" w:type="dxa"/>
            <w:tcBorders>
              <w:bottom w:val="single" w:sz="6" w:space="0" w:color="262626"/>
            </w:tcBorders>
            <w:shd w:val="clear" w:color="auto" w:fill="auto"/>
            <w:vAlign w:val="center"/>
          </w:tcPr>
          <w:p w14:paraId="2543C307" w14:textId="77777777" w:rsidR="00756AB9" w:rsidRPr="00442A52" w:rsidRDefault="00756AB9" w:rsidP="00BC0444">
            <w:pPr>
              <w:jc w:val="center"/>
              <w:rPr>
                <w:rFonts w:ascii="Arial" w:eastAsia="Arial" w:hAnsi="Arial" w:cs="Arial"/>
                <w:sz w:val="16"/>
                <w:szCs w:val="16"/>
              </w:rPr>
            </w:pPr>
          </w:p>
        </w:tc>
        <w:tc>
          <w:tcPr>
            <w:tcW w:w="680" w:type="dxa"/>
            <w:tcBorders>
              <w:bottom w:val="single" w:sz="6" w:space="0" w:color="262626"/>
            </w:tcBorders>
            <w:shd w:val="clear" w:color="auto" w:fill="auto"/>
            <w:vAlign w:val="center"/>
          </w:tcPr>
          <w:p w14:paraId="339DA9E7" w14:textId="77777777" w:rsidR="00756AB9" w:rsidRPr="00442A52" w:rsidRDefault="00756AB9" w:rsidP="00BC0444">
            <w:pPr>
              <w:jc w:val="center"/>
              <w:rPr>
                <w:rFonts w:ascii="Arial" w:eastAsia="Arial" w:hAnsi="Arial" w:cs="Arial"/>
                <w:sz w:val="16"/>
                <w:szCs w:val="16"/>
              </w:rPr>
            </w:pPr>
          </w:p>
        </w:tc>
        <w:tc>
          <w:tcPr>
            <w:tcW w:w="748" w:type="dxa"/>
            <w:tcBorders>
              <w:bottom w:val="single" w:sz="6" w:space="0" w:color="262626"/>
            </w:tcBorders>
            <w:shd w:val="clear" w:color="auto" w:fill="auto"/>
            <w:vAlign w:val="center"/>
          </w:tcPr>
          <w:p w14:paraId="428BCBE6"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1" w:type="dxa"/>
            <w:tcBorders>
              <w:bottom w:val="single" w:sz="6" w:space="0" w:color="262626"/>
              <w:right w:val="single" w:sz="12" w:space="0" w:color="000000"/>
            </w:tcBorders>
            <w:vAlign w:val="center"/>
          </w:tcPr>
          <w:p w14:paraId="081A0D40"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bottom w:val="single" w:sz="6" w:space="0" w:color="262626"/>
              <w:right w:val="single" w:sz="4" w:space="0" w:color="262626"/>
            </w:tcBorders>
            <w:shd w:val="clear" w:color="auto" w:fill="auto"/>
            <w:vAlign w:val="center"/>
          </w:tcPr>
          <w:p w14:paraId="6A7B09CB"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bottom w:val="single" w:sz="6" w:space="0" w:color="262626"/>
              <w:right w:val="single" w:sz="4" w:space="0" w:color="262626"/>
            </w:tcBorders>
            <w:vAlign w:val="center"/>
          </w:tcPr>
          <w:p w14:paraId="0D339DC5"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bottom w:val="single" w:sz="6" w:space="0" w:color="262626"/>
              <w:right w:val="single" w:sz="4" w:space="0" w:color="262626"/>
            </w:tcBorders>
            <w:vAlign w:val="center"/>
          </w:tcPr>
          <w:p w14:paraId="10384D0F" w14:textId="77777777" w:rsidR="00756AB9" w:rsidRPr="00442A52" w:rsidRDefault="00756AB9" w:rsidP="00BC0444">
            <w:pPr>
              <w:jc w:val="center"/>
              <w:rPr>
                <w:rFonts w:ascii="Arial" w:eastAsia="Arial" w:hAnsi="Arial" w:cs="Arial"/>
                <w:sz w:val="16"/>
                <w:szCs w:val="16"/>
              </w:rPr>
            </w:pPr>
          </w:p>
        </w:tc>
      </w:tr>
      <w:tr w:rsidR="00756AB9" w:rsidRPr="00442A52" w14:paraId="37A181C4" w14:textId="77777777" w:rsidTr="00BC0444">
        <w:trPr>
          <w:trHeight w:val="20"/>
        </w:trPr>
        <w:tc>
          <w:tcPr>
            <w:tcW w:w="2250" w:type="dxa"/>
            <w:tcBorders>
              <w:top w:val="single" w:sz="12" w:space="0" w:color="262626"/>
              <w:bottom w:val="nil"/>
              <w:right w:val="single" w:sz="12" w:space="0" w:color="000000"/>
            </w:tcBorders>
            <w:shd w:val="clear" w:color="auto" w:fill="auto"/>
            <w:vAlign w:val="center"/>
          </w:tcPr>
          <w:p w14:paraId="6A665470" w14:textId="77777777" w:rsidR="00756AB9" w:rsidRPr="00442A52" w:rsidRDefault="00756AB9" w:rsidP="00BC0444">
            <w:pPr>
              <w:rPr>
                <w:rFonts w:ascii="Arial" w:eastAsia="Arial" w:hAnsi="Arial" w:cs="Arial"/>
                <w:b/>
                <w:sz w:val="16"/>
                <w:szCs w:val="16"/>
              </w:rPr>
            </w:pPr>
            <w:r w:rsidRPr="00442A52">
              <w:rPr>
                <w:rFonts w:ascii="Arial" w:eastAsia="Arial" w:hAnsi="Arial" w:cs="Arial"/>
                <w:b/>
                <w:sz w:val="16"/>
                <w:szCs w:val="16"/>
              </w:rPr>
              <w:t>INTERVENTIONS:</w:t>
            </w:r>
          </w:p>
        </w:tc>
        <w:tc>
          <w:tcPr>
            <w:tcW w:w="6569" w:type="dxa"/>
            <w:gridSpan w:val="8"/>
            <w:tcBorders>
              <w:top w:val="single" w:sz="12" w:space="0" w:color="262626"/>
              <w:left w:val="single" w:sz="12" w:space="0" w:color="000000"/>
              <w:right w:val="single" w:sz="4" w:space="0" w:color="262626"/>
            </w:tcBorders>
            <w:shd w:val="clear" w:color="auto" w:fill="auto"/>
            <w:vAlign w:val="center"/>
          </w:tcPr>
          <w:p w14:paraId="72C22B9E" w14:textId="77777777" w:rsidR="00756AB9" w:rsidRPr="00442A52" w:rsidRDefault="00756AB9" w:rsidP="00BC0444">
            <w:pPr>
              <w:jc w:val="center"/>
              <w:rPr>
                <w:rFonts w:ascii="Arial" w:eastAsia="Arial" w:hAnsi="Arial" w:cs="Arial"/>
                <w:sz w:val="16"/>
                <w:szCs w:val="16"/>
              </w:rPr>
            </w:pPr>
          </w:p>
        </w:tc>
        <w:tc>
          <w:tcPr>
            <w:tcW w:w="726" w:type="dxa"/>
            <w:tcBorders>
              <w:top w:val="single" w:sz="12" w:space="0" w:color="262626"/>
              <w:left w:val="single" w:sz="12" w:space="0" w:color="000000"/>
              <w:right w:val="single" w:sz="4" w:space="0" w:color="262626"/>
            </w:tcBorders>
            <w:vAlign w:val="center"/>
          </w:tcPr>
          <w:p w14:paraId="1E1051EC" w14:textId="77777777" w:rsidR="00756AB9" w:rsidRPr="00442A52" w:rsidRDefault="00756AB9" w:rsidP="00BC0444">
            <w:pPr>
              <w:jc w:val="center"/>
              <w:rPr>
                <w:rFonts w:ascii="Arial" w:eastAsia="Arial" w:hAnsi="Arial" w:cs="Arial"/>
                <w:sz w:val="16"/>
                <w:szCs w:val="16"/>
              </w:rPr>
            </w:pPr>
          </w:p>
        </w:tc>
        <w:tc>
          <w:tcPr>
            <w:tcW w:w="900" w:type="dxa"/>
            <w:tcBorders>
              <w:top w:val="single" w:sz="12" w:space="0" w:color="262626"/>
              <w:left w:val="single" w:sz="12" w:space="0" w:color="000000"/>
              <w:right w:val="single" w:sz="4" w:space="0" w:color="262626"/>
            </w:tcBorders>
            <w:vAlign w:val="center"/>
          </w:tcPr>
          <w:p w14:paraId="73239895" w14:textId="77777777" w:rsidR="00756AB9" w:rsidRPr="00442A52" w:rsidRDefault="00756AB9" w:rsidP="00BC0444">
            <w:pPr>
              <w:jc w:val="center"/>
              <w:rPr>
                <w:rFonts w:ascii="Arial" w:eastAsia="Arial" w:hAnsi="Arial" w:cs="Arial"/>
                <w:sz w:val="16"/>
                <w:szCs w:val="16"/>
              </w:rPr>
            </w:pPr>
          </w:p>
        </w:tc>
      </w:tr>
      <w:tr w:rsidR="00756AB9" w:rsidRPr="00442A52" w14:paraId="28B8C706" w14:textId="77777777" w:rsidTr="00BC0444">
        <w:trPr>
          <w:trHeight w:val="20"/>
        </w:trPr>
        <w:tc>
          <w:tcPr>
            <w:tcW w:w="2250" w:type="dxa"/>
            <w:tcBorders>
              <w:top w:val="nil"/>
              <w:bottom w:val="nil"/>
              <w:right w:val="single" w:sz="12" w:space="0" w:color="000000"/>
            </w:tcBorders>
            <w:shd w:val="clear" w:color="auto" w:fill="auto"/>
            <w:vAlign w:val="center"/>
          </w:tcPr>
          <w:p w14:paraId="49FC1CEF"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 xml:space="preserve">mhGAP-based diagnosis </w:t>
            </w:r>
          </w:p>
        </w:tc>
        <w:tc>
          <w:tcPr>
            <w:tcW w:w="1167" w:type="dxa"/>
            <w:tcBorders>
              <w:left w:val="single" w:sz="12" w:space="0" w:color="000000"/>
              <w:right w:val="single" w:sz="12" w:space="0" w:color="262626"/>
            </w:tcBorders>
            <w:shd w:val="clear" w:color="auto" w:fill="auto"/>
            <w:vAlign w:val="center"/>
          </w:tcPr>
          <w:p w14:paraId="67EEE9C5"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538B0873"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left w:val="single" w:sz="12" w:space="0" w:color="262626"/>
              <w:bottom w:val="single" w:sz="6" w:space="0" w:color="262626"/>
            </w:tcBorders>
            <w:shd w:val="clear" w:color="auto" w:fill="auto"/>
            <w:vAlign w:val="center"/>
          </w:tcPr>
          <w:p w14:paraId="17D01479"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bottom w:val="single" w:sz="6" w:space="0" w:color="262626"/>
            </w:tcBorders>
            <w:shd w:val="clear" w:color="auto" w:fill="auto"/>
            <w:vAlign w:val="center"/>
          </w:tcPr>
          <w:p w14:paraId="24AE20A1"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bottom w:val="single" w:sz="6" w:space="0" w:color="262626"/>
              <w:right w:val="single" w:sz="4" w:space="0" w:color="262626"/>
            </w:tcBorders>
            <w:shd w:val="clear" w:color="auto" w:fill="auto"/>
            <w:vAlign w:val="center"/>
          </w:tcPr>
          <w:p w14:paraId="47267C95" w14:textId="77777777" w:rsidR="00756AB9" w:rsidRPr="00442A52" w:rsidRDefault="00756AB9" w:rsidP="00BC0444">
            <w:pPr>
              <w:jc w:val="center"/>
              <w:rPr>
                <w:rFonts w:ascii="Arial" w:eastAsia="Arial" w:hAnsi="Arial" w:cs="Arial"/>
                <w:sz w:val="16"/>
                <w:szCs w:val="16"/>
              </w:rPr>
            </w:pPr>
          </w:p>
        </w:tc>
        <w:tc>
          <w:tcPr>
            <w:tcW w:w="748" w:type="dxa"/>
            <w:tcBorders>
              <w:top w:val="single" w:sz="6" w:space="0" w:color="262626"/>
              <w:left w:val="single" w:sz="4" w:space="0" w:color="262626"/>
              <w:bottom w:val="single" w:sz="6" w:space="0" w:color="262626"/>
              <w:right w:val="single" w:sz="6" w:space="0" w:color="262626"/>
            </w:tcBorders>
            <w:shd w:val="clear" w:color="auto" w:fill="auto"/>
            <w:vAlign w:val="center"/>
          </w:tcPr>
          <w:p w14:paraId="2A862D88" w14:textId="77777777" w:rsidR="00756AB9" w:rsidRPr="00442A52" w:rsidRDefault="00756AB9" w:rsidP="00BC0444">
            <w:pPr>
              <w:jc w:val="center"/>
              <w:rPr>
                <w:rFonts w:ascii="Arial" w:eastAsia="Arial" w:hAnsi="Arial" w:cs="Arial"/>
                <w:sz w:val="16"/>
                <w:szCs w:val="16"/>
              </w:rPr>
            </w:pPr>
            <w:r w:rsidRPr="00442A52">
              <w:rPr>
                <w:rFonts w:ascii="Arial" w:eastAsia="Wingdings" w:hAnsi="Arial" w:cs="Arial"/>
                <w:sz w:val="16"/>
                <w:szCs w:val="16"/>
              </w:rPr>
              <w:t>&lt;-&gt;</w:t>
            </w:r>
          </w:p>
        </w:tc>
        <w:tc>
          <w:tcPr>
            <w:tcW w:w="721" w:type="dxa"/>
            <w:tcBorders>
              <w:top w:val="single" w:sz="6" w:space="0" w:color="262626"/>
              <w:left w:val="single" w:sz="6" w:space="0" w:color="262626"/>
              <w:bottom w:val="single" w:sz="6" w:space="0" w:color="262626"/>
              <w:right w:val="single" w:sz="12" w:space="0" w:color="000000"/>
            </w:tcBorders>
            <w:shd w:val="clear" w:color="auto" w:fill="auto"/>
            <w:vAlign w:val="center"/>
          </w:tcPr>
          <w:p w14:paraId="788D863B"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68637EBE"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4C021BDC"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07F3A2CA" w14:textId="77777777" w:rsidR="00756AB9" w:rsidRPr="00442A52" w:rsidRDefault="00756AB9" w:rsidP="00BC0444">
            <w:pPr>
              <w:jc w:val="center"/>
              <w:rPr>
                <w:rFonts w:ascii="Arial" w:eastAsia="Arial" w:hAnsi="Arial" w:cs="Arial"/>
                <w:sz w:val="16"/>
                <w:szCs w:val="16"/>
              </w:rPr>
            </w:pPr>
          </w:p>
        </w:tc>
      </w:tr>
      <w:tr w:rsidR="00756AB9" w:rsidRPr="00442A52" w14:paraId="4587AC1A" w14:textId="77777777" w:rsidTr="00BC0444">
        <w:trPr>
          <w:trHeight w:val="20"/>
        </w:trPr>
        <w:tc>
          <w:tcPr>
            <w:tcW w:w="2250" w:type="dxa"/>
            <w:tcBorders>
              <w:top w:val="nil"/>
              <w:bottom w:val="nil"/>
              <w:right w:val="single" w:sz="12" w:space="0" w:color="000000"/>
            </w:tcBorders>
            <w:shd w:val="clear" w:color="auto" w:fill="auto"/>
            <w:vAlign w:val="center"/>
          </w:tcPr>
          <w:p w14:paraId="53B7E807"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mhGAP-based medication management</w:t>
            </w:r>
          </w:p>
        </w:tc>
        <w:tc>
          <w:tcPr>
            <w:tcW w:w="1167" w:type="dxa"/>
            <w:tcBorders>
              <w:left w:val="single" w:sz="12" w:space="0" w:color="000000"/>
              <w:right w:val="single" w:sz="12" w:space="0" w:color="262626"/>
            </w:tcBorders>
            <w:shd w:val="clear" w:color="auto" w:fill="auto"/>
            <w:vAlign w:val="center"/>
          </w:tcPr>
          <w:p w14:paraId="514D2CE2"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18BFB9DD"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left w:val="single" w:sz="12" w:space="0" w:color="262626"/>
              <w:bottom w:val="single" w:sz="6" w:space="0" w:color="262626"/>
            </w:tcBorders>
            <w:shd w:val="clear" w:color="auto" w:fill="auto"/>
            <w:vAlign w:val="center"/>
          </w:tcPr>
          <w:p w14:paraId="0E4A0C02"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bottom w:val="single" w:sz="6" w:space="0" w:color="262626"/>
            </w:tcBorders>
            <w:shd w:val="clear" w:color="auto" w:fill="auto"/>
            <w:vAlign w:val="center"/>
          </w:tcPr>
          <w:p w14:paraId="49BB6F75"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bottom w:val="single" w:sz="6" w:space="0" w:color="262626"/>
              <w:right w:val="single" w:sz="4" w:space="0" w:color="262626"/>
            </w:tcBorders>
            <w:shd w:val="clear" w:color="auto" w:fill="auto"/>
            <w:vAlign w:val="center"/>
          </w:tcPr>
          <w:p w14:paraId="36AFC754" w14:textId="77777777" w:rsidR="00756AB9" w:rsidRPr="00442A52" w:rsidRDefault="00756AB9" w:rsidP="00BC0444">
            <w:pPr>
              <w:jc w:val="center"/>
              <w:rPr>
                <w:rFonts w:ascii="Arial" w:eastAsia="Arial" w:hAnsi="Arial" w:cs="Arial"/>
                <w:sz w:val="16"/>
                <w:szCs w:val="16"/>
              </w:rPr>
            </w:pPr>
          </w:p>
        </w:tc>
        <w:tc>
          <w:tcPr>
            <w:tcW w:w="748" w:type="dxa"/>
            <w:tcBorders>
              <w:top w:val="single" w:sz="6" w:space="0" w:color="262626"/>
              <w:left w:val="single" w:sz="4" w:space="0" w:color="262626"/>
              <w:bottom w:val="single" w:sz="6" w:space="0" w:color="262626"/>
              <w:right w:val="single" w:sz="6" w:space="0" w:color="262626"/>
            </w:tcBorders>
            <w:shd w:val="clear" w:color="auto" w:fill="auto"/>
            <w:vAlign w:val="center"/>
          </w:tcPr>
          <w:p w14:paraId="107EA39B" w14:textId="77777777" w:rsidR="00756AB9" w:rsidRPr="00442A52" w:rsidRDefault="00756AB9" w:rsidP="00BC0444">
            <w:pPr>
              <w:jc w:val="center"/>
              <w:rPr>
                <w:rFonts w:ascii="Arial" w:eastAsia="Arial" w:hAnsi="Arial" w:cs="Arial"/>
                <w:sz w:val="16"/>
                <w:szCs w:val="16"/>
              </w:rPr>
            </w:pPr>
          </w:p>
        </w:tc>
        <w:tc>
          <w:tcPr>
            <w:tcW w:w="2172" w:type="dxa"/>
            <w:gridSpan w:val="3"/>
            <w:tcBorders>
              <w:top w:val="single" w:sz="6" w:space="0" w:color="262626"/>
              <w:left w:val="single" w:sz="6" w:space="0" w:color="262626"/>
              <w:bottom w:val="single" w:sz="6" w:space="0" w:color="262626"/>
              <w:right w:val="single" w:sz="4" w:space="0" w:color="262626"/>
            </w:tcBorders>
            <w:shd w:val="clear" w:color="auto" w:fill="auto"/>
            <w:vAlign w:val="center"/>
          </w:tcPr>
          <w:p w14:paraId="65572CBA" w14:textId="77777777" w:rsidR="00756AB9" w:rsidRPr="00442A52" w:rsidRDefault="00756AB9" w:rsidP="00BC0444">
            <w:pPr>
              <w:jc w:val="center"/>
              <w:rPr>
                <w:rFonts w:ascii="Arial" w:eastAsia="Arial" w:hAnsi="Arial" w:cs="Arial"/>
                <w:sz w:val="16"/>
                <w:szCs w:val="16"/>
              </w:rPr>
            </w:pPr>
            <w:r w:rsidRPr="00442A52">
              <w:rPr>
                <w:rFonts w:ascii="Arial" w:eastAsia="Wingdings" w:hAnsi="Arial" w:cs="Arial"/>
                <w:sz w:val="16"/>
                <w:szCs w:val="16"/>
              </w:rPr>
              <w:t>&lt;</w:t>
            </w:r>
            <w:r w:rsidRPr="00442A52">
              <w:rPr>
                <w:rFonts w:ascii="Arial" w:eastAsia="Arial" w:hAnsi="Arial" w:cs="Arial"/>
                <w:sz w:val="16"/>
                <w:szCs w:val="16"/>
              </w:rPr>
              <w:t>----------------------</w:t>
            </w:r>
            <w:r w:rsidRPr="00442A52">
              <w:rPr>
                <w:rFonts w:ascii="Arial" w:eastAsia="Wingdings" w:hAnsi="Arial" w:cs="Arial"/>
                <w:sz w:val="16"/>
                <w:szCs w:val="16"/>
              </w:rPr>
              <w:sym w:font="Wingdings" w:char="F0E0"/>
            </w:r>
          </w:p>
        </w:tc>
        <w:tc>
          <w:tcPr>
            <w:tcW w:w="900" w:type="dxa"/>
            <w:tcBorders>
              <w:left w:val="single" w:sz="12" w:space="0" w:color="000000"/>
              <w:right w:val="single" w:sz="4" w:space="0" w:color="262626"/>
            </w:tcBorders>
            <w:vAlign w:val="center"/>
          </w:tcPr>
          <w:p w14:paraId="5C5BB6FB" w14:textId="77777777" w:rsidR="00756AB9" w:rsidRPr="00442A52" w:rsidRDefault="00756AB9" w:rsidP="00BC0444">
            <w:pPr>
              <w:jc w:val="center"/>
              <w:rPr>
                <w:rFonts w:ascii="Arial" w:eastAsia="Arial" w:hAnsi="Arial" w:cs="Arial"/>
                <w:sz w:val="16"/>
                <w:szCs w:val="16"/>
              </w:rPr>
            </w:pPr>
          </w:p>
        </w:tc>
      </w:tr>
      <w:tr w:rsidR="00756AB9" w:rsidRPr="00442A52" w14:paraId="3BB405AC" w14:textId="77777777" w:rsidTr="00BC0444">
        <w:trPr>
          <w:trHeight w:val="20"/>
        </w:trPr>
        <w:tc>
          <w:tcPr>
            <w:tcW w:w="2250" w:type="dxa"/>
            <w:tcBorders>
              <w:top w:val="nil"/>
              <w:bottom w:val="nil"/>
              <w:right w:val="single" w:sz="12" w:space="0" w:color="000000"/>
            </w:tcBorders>
            <w:shd w:val="clear" w:color="auto" w:fill="auto"/>
            <w:vAlign w:val="center"/>
          </w:tcPr>
          <w:p w14:paraId="00E23106" w14:textId="77777777" w:rsidR="00756AB9" w:rsidRPr="00442A52" w:rsidRDefault="00756AB9" w:rsidP="00BC0444">
            <w:pPr>
              <w:ind w:left="245"/>
              <w:rPr>
                <w:rFonts w:ascii="Arial" w:eastAsia="Arial" w:hAnsi="Arial" w:cs="Arial"/>
                <w:sz w:val="16"/>
                <w:szCs w:val="16"/>
              </w:rPr>
            </w:pPr>
            <w:r w:rsidRPr="00442A52">
              <w:rPr>
                <w:rFonts w:ascii="Arial" w:eastAsia="Arial" w:hAnsi="Arial" w:cs="Arial"/>
                <w:sz w:val="16"/>
                <w:szCs w:val="16"/>
              </w:rPr>
              <w:t>Psychological treatments (HAP/CAP)</w:t>
            </w:r>
          </w:p>
        </w:tc>
        <w:tc>
          <w:tcPr>
            <w:tcW w:w="1167" w:type="dxa"/>
            <w:tcBorders>
              <w:left w:val="single" w:sz="12" w:space="0" w:color="000000"/>
              <w:right w:val="single" w:sz="12" w:space="0" w:color="262626"/>
            </w:tcBorders>
            <w:shd w:val="clear" w:color="auto" w:fill="auto"/>
            <w:vAlign w:val="center"/>
          </w:tcPr>
          <w:p w14:paraId="007F62EA"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3202532C"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left w:val="single" w:sz="12" w:space="0" w:color="262626"/>
              <w:bottom w:val="single" w:sz="6" w:space="0" w:color="262626"/>
            </w:tcBorders>
            <w:shd w:val="clear" w:color="auto" w:fill="auto"/>
            <w:vAlign w:val="center"/>
          </w:tcPr>
          <w:p w14:paraId="1E3D8BC0"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bottom w:val="single" w:sz="6" w:space="0" w:color="262626"/>
            </w:tcBorders>
            <w:shd w:val="clear" w:color="auto" w:fill="auto"/>
            <w:vAlign w:val="center"/>
          </w:tcPr>
          <w:p w14:paraId="3A26F7E4" w14:textId="77777777" w:rsidR="00756AB9" w:rsidRPr="00442A52" w:rsidRDefault="00756AB9" w:rsidP="00BC0444">
            <w:pPr>
              <w:jc w:val="center"/>
              <w:rPr>
                <w:rFonts w:ascii="Arial" w:eastAsia="Arial" w:hAnsi="Arial" w:cs="Arial"/>
                <w:sz w:val="16"/>
                <w:szCs w:val="16"/>
              </w:rPr>
            </w:pPr>
          </w:p>
        </w:tc>
        <w:tc>
          <w:tcPr>
            <w:tcW w:w="680" w:type="dxa"/>
            <w:tcBorders>
              <w:top w:val="single" w:sz="6" w:space="0" w:color="262626"/>
              <w:bottom w:val="single" w:sz="6" w:space="0" w:color="262626"/>
              <w:right w:val="single" w:sz="4" w:space="0" w:color="262626"/>
            </w:tcBorders>
            <w:shd w:val="clear" w:color="auto" w:fill="auto"/>
            <w:vAlign w:val="center"/>
          </w:tcPr>
          <w:p w14:paraId="0400AB54" w14:textId="77777777" w:rsidR="00756AB9" w:rsidRPr="00442A52" w:rsidRDefault="00756AB9" w:rsidP="00BC0444">
            <w:pPr>
              <w:jc w:val="center"/>
              <w:rPr>
                <w:rFonts w:ascii="Arial" w:eastAsia="Arial" w:hAnsi="Arial" w:cs="Arial"/>
                <w:sz w:val="16"/>
                <w:szCs w:val="16"/>
              </w:rPr>
            </w:pPr>
          </w:p>
        </w:tc>
        <w:tc>
          <w:tcPr>
            <w:tcW w:w="748" w:type="dxa"/>
            <w:tcBorders>
              <w:top w:val="single" w:sz="6" w:space="0" w:color="262626"/>
              <w:left w:val="single" w:sz="4" w:space="0" w:color="262626"/>
              <w:bottom w:val="single" w:sz="6" w:space="0" w:color="262626"/>
              <w:right w:val="single" w:sz="6" w:space="0" w:color="262626"/>
            </w:tcBorders>
            <w:shd w:val="clear" w:color="auto" w:fill="auto"/>
            <w:vAlign w:val="center"/>
          </w:tcPr>
          <w:p w14:paraId="28B967DF" w14:textId="77777777" w:rsidR="00756AB9" w:rsidRPr="00442A52" w:rsidRDefault="00756AB9" w:rsidP="00BC0444">
            <w:pPr>
              <w:jc w:val="center"/>
              <w:rPr>
                <w:rFonts w:ascii="Arial" w:eastAsia="Arial" w:hAnsi="Arial" w:cs="Arial"/>
                <w:sz w:val="16"/>
                <w:szCs w:val="16"/>
              </w:rPr>
            </w:pPr>
          </w:p>
        </w:tc>
        <w:tc>
          <w:tcPr>
            <w:tcW w:w="2172" w:type="dxa"/>
            <w:gridSpan w:val="3"/>
            <w:tcBorders>
              <w:top w:val="single" w:sz="6" w:space="0" w:color="262626"/>
              <w:left w:val="single" w:sz="6" w:space="0" w:color="262626"/>
              <w:bottom w:val="single" w:sz="6" w:space="0" w:color="262626"/>
              <w:right w:val="single" w:sz="4" w:space="0" w:color="262626"/>
            </w:tcBorders>
            <w:shd w:val="clear" w:color="auto" w:fill="auto"/>
            <w:vAlign w:val="center"/>
          </w:tcPr>
          <w:p w14:paraId="6BD28BE2" w14:textId="77777777" w:rsidR="00756AB9" w:rsidRPr="00442A52" w:rsidRDefault="00756AB9" w:rsidP="00BC0444">
            <w:pPr>
              <w:jc w:val="center"/>
              <w:rPr>
                <w:rFonts w:ascii="Arial" w:eastAsia="Arial" w:hAnsi="Arial" w:cs="Arial"/>
                <w:sz w:val="16"/>
                <w:szCs w:val="16"/>
              </w:rPr>
            </w:pPr>
            <w:r w:rsidRPr="00442A52">
              <w:rPr>
                <w:rFonts w:ascii="Arial" w:eastAsia="Wingdings" w:hAnsi="Arial" w:cs="Arial"/>
                <w:sz w:val="16"/>
                <w:szCs w:val="16"/>
              </w:rPr>
              <w:t>&lt;</w:t>
            </w:r>
            <w:r w:rsidRPr="00442A52">
              <w:rPr>
                <w:rFonts w:ascii="Arial" w:eastAsia="Arial" w:hAnsi="Arial" w:cs="Arial"/>
                <w:sz w:val="16"/>
                <w:szCs w:val="16"/>
              </w:rPr>
              <w:t>----------------------</w:t>
            </w:r>
            <w:r w:rsidRPr="00442A52">
              <w:rPr>
                <w:rFonts w:ascii="Arial" w:eastAsia="Wingdings" w:hAnsi="Arial" w:cs="Arial"/>
                <w:sz w:val="16"/>
                <w:szCs w:val="16"/>
              </w:rPr>
              <w:sym w:font="Wingdings" w:char="F0E0"/>
            </w:r>
          </w:p>
        </w:tc>
        <w:tc>
          <w:tcPr>
            <w:tcW w:w="900" w:type="dxa"/>
            <w:tcBorders>
              <w:left w:val="single" w:sz="12" w:space="0" w:color="000000"/>
              <w:right w:val="single" w:sz="4" w:space="0" w:color="262626"/>
            </w:tcBorders>
            <w:vAlign w:val="center"/>
          </w:tcPr>
          <w:p w14:paraId="074D4DF3" w14:textId="77777777" w:rsidR="00756AB9" w:rsidRPr="00442A52" w:rsidRDefault="00756AB9" w:rsidP="00BC0444">
            <w:pPr>
              <w:jc w:val="center"/>
              <w:rPr>
                <w:rFonts w:ascii="Arial" w:eastAsia="Arial" w:hAnsi="Arial" w:cs="Arial"/>
                <w:sz w:val="16"/>
                <w:szCs w:val="16"/>
              </w:rPr>
            </w:pPr>
          </w:p>
        </w:tc>
      </w:tr>
      <w:tr w:rsidR="00756AB9" w:rsidRPr="00442A52" w14:paraId="0F940724" w14:textId="77777777" w:rsidTr="00BC0444">
        <w:trPr>
          <w:trHeight w:val="20"/>
        </w:trPr>
        <w:tc>
          <w:tcPr>
            <w:tcW w:w="2250" w:type="dxa"/>
            <w:tcBorders>
              <w:top w:val="single" w:sz="12" w:space="0" w:color="262626"/>
              <w:bottom w:val="nil"/>
              <w:right w:val="single" w:sz="12" w:space="0" w:color="000000"/>
            </w:tcBorders>
            <w:shd w:val="clear" w:color="auto" w:fill="auto"/>
            <w:vAlign w:val="center"/>
          </w:tcPr>
          <w:p w14:paraId="044A5946" w14:textId="77777777" w:rsidR="00756AB9" w:rsidRPr="00442A52" w:rsidRDefault="00756AB9" w:rsidP="00BC0444">
            <w:pPr>
              <w:rPr>
                <w:rFonts w:ascii="Arial" w:eastAsia="Arial" w:hAnsi="Arial" w:cs="Arial"/>
                <w:b/>
                <w:sz w:val="16"/>
                <w:szCs w:val="16"/>
              </w:rPr>
            </w:pPr>
            <w:r w:rsidRPr="00442A52">
              <w:rPr>
                <w:rFonts w:ascii="Arial" w:eastAsia="Arial" w:hAnsi="Arial" w:cs="Arial"/>
                <w:b/>
                <w:sz w:val="16"/>
                <w:szCs w:val="16"/>
              </w:rPr>
              <w:t>ASSESSMENTS:</w:t>
            </w:r>
          </w:p>
        </w:tc>
        <w:tc>
          <w:tcPr>
            <w:tcW w:w="8195" w:type="dxa"/>
            <w:gridSpan w:val="10"/>
            <w:tcBorders>
              <w:top w:val="single" w:sz="12" w:space="0" w:color="262626"/>
              <w:left w:val="single" w:sz="12" w:space="0" w:color="000000"/>
              <w:right w:val="single" w:sz="4" w:space="0" w:color="262626"/>
            </w:tcBorders>
            <w:shd w:val="clear" w:color="auto" w:fill="auto"/>
            <w:vAlign w:val="center"/>
          </w:tcPr>
          <w:p w14:paraId="334F9857" w14:textId="77777777" w:rsidR="00756AB9" w:rsidRPr="00442A52" w:rsidRDefault="00756AB9" w:rsidP="00BC0444">
            <w:pPr>
              <w:jc w:val="center"/>
              <w:rPr>
                <w:rFonts w:ascii="Arial" w:eastAsia="Arial" w:hAnsi="Arial" w:cs="Arial"/>
                <w:sz w:val="16"/>
                <w:szCs w:val="16"/>
              </w:rPr>
            </w:pPr>
          </w:p>
        </w:tc>
      </w:tr>
      <w:tr w:rsidR="00756AB9" w:rsidRPr="00442A52" w14:paraId="52AFEDE0" w14:textId="77777777" w:rsidTr="00BC0444">
        <w:trPr>
          <w:trHeight w:val="20"/>
        </w:trPr>
        <w:tc>
          <w:tcPr>
            <w:tcW w:w="2250" w:type="dxa"/>
            <w:tcBorders>
              <w:top w:val="nil"/>
              <w:bottom w:val="nil"/>
              <w:right w:val="single" w:sz="12" w:space="0" w:color="000000"/>
            </w:tcBorders>
            <w:shd w:val="clear" w:color="auto" w:fill="auto"/>
            <w:vAlign w:val="bottom"/>
          </w:tcPr>
          <w:p w14:paraId="3CE2B922" w14:textId="77777777" w:rsidR="00756AB9" w:rsidRPr="00442A52" w:rsidRDefault="00756AB9" w:rsidP="00BC0444">
            <w:pPr>
              <w:rPr>
                <w:rFonts w:ascii="Arial" w:eastAsia="Arial" w:hAnsi="Arial" w:cs="Arial"/>
                <w:sz w:val="16"/>
                <w:szCs w:val="16"/>
              </w:rPr>
            </w:pPr>
            <w:r w:rsidRPr="00442A52">
              <w:rPr>
                <w:rFonts w:ascii="Arial" w:eastAsia="Arial" w:hAnsi="Arial" w:cs="Arial"/>
                <w:sz w:val="16"/>
                <w:szCs w:val="16"/>
              </w:rPr>
              <w:t>Research Assistant Administered</w:t>
            </w:r>
          </w:p>
        </w:tc>
        <w:tc>
          <w:tcPr>
            <w:tcW w:w="8195" w:type="dxa"/>
            <w:gridSpan w:val="10"/>
            <w:tcBorders>
              <w:left w:val="single" w:sz="12" w:space="0" w:color="000000"/>
              <w:right w:val="single" w:sz="4" w:space="0" w:color="262626"/>
            </w:tcBorders>
            <w:shd w:val="clear" w:color="auto" w:fill="auto"/>
            <w:vAlign w:val="center"/>
          </w:tcPr>
          <w:p w14:paraId="60E52B03" w14:textId="77777777" w:rsidR="00756AB9" w:rsidRPr="00442A52" w:rsidRDefault="00756AB9" w:rsidP="00BC0444">
            <w:pPr>
              <w:jc w:val="center"/>
              <w:rPr>
                <w:rFonts w:ascii="Arial" w:eastAsia="Arial" w:hAnsi="Arial" w:cs="Arial"/>
                <w:sz w:val="16"/>
                <w:szCs w:val="16"/>
              </w:rPr>
            </w:pPr>
          </w:p>
        </w:tc>
      </w:tr>
      <w:tr w:rsidR="00756AB9" w:rsidRPr="00442A52" w14:paraId="74A3F2DE" w14:textId="77777777" w:rsidTr="00BC0444">
        <w:trPr>
          <w:trHeight w:val="20"/>
        </w:trPr>
        <w:tc>
          <w:tcPr>
            <w:tcW w:w="2250" w:type="dxa"/>
            <w:tcBorders>
              <w:top w:val="nil"/>
              <w:bottom w:val="nil"/>
              <w:right w:val="single" w:sz="12" w:space="0" w:color="000000"/>
            </w:tcBorders>
            <w:shd w:val="clear" w:color="auto" w:fill="auto"/>
            <w:vAlign w:val="bottom"/>
          </w:tcPr>
          <w:p w14:paraId="424597C5"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WHODAS</w:t>
            </w:r>
          </w:p>
        </w:tc>
        <w:tc>
          <w:tcPr>
            <w:tcW w:w="1167" w:type="dxa"/>
            <w:tcBorders>
              <w:left w:val="single" w:sz="12" w:space="0" w:color="000000"/>
              <w:right w:val="single" w:sz="12" w:space="0" w:color="262626"/>
            </w:tcBorders>
            <w:shd w:val="clear" w:color="auto" w:fill="auto"/>
            <w:vAlign w:val="center"/>
          </w:tcPr>
          <w:p w14:paraId="02DC41E7"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56D8EC85"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5AF68D99"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3FA30AE9"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6CE66ECC"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5F35865D"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23707A2C"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5" w:type="dxa"/>
            <w:tcBorders>
              <w:left w:val="single" w:sz="12" w:space="0" w:color="000000"/>
              <w:right w:val="single" w:sz="4" w:space="0" w:color="262626"/>
            </w:tcBorders>
            <w:shd w:val="clear" w:color="auto" w:fill="auto"/>
            <w:vAlign w:val="center"/>
          </w:tcPr>
          <w:p w14:paraId="2D0BC267"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372DA9C8"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900" w:type="dxa"/>
            <w:tcBorders>
              <w:left w:val="single" w:sz="12" w:space="0" w:color="000000"/>
              <w:right w:val="single" w:sz="4" w:space="0" w:color="262626"/>
            </w:tcBorders>
            <w:vAlign w:val="center"/>
          </w:tcPr>
          <w:p w14:paraId="6DD7389E"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62D45C5D" w14:textId="77777777" w:rsidTr="00BC0444">
        <w:trPr>
          <w:trHeight w:val="20"/>
        </w:trPr>
        <w:tc>
          <w:tcPr>
            <w:tcW w:w="2250" w:type="dxa"/>
            <w:tcBorders>
              <w:top w:val="nil"/>
              <w:bottom w:val="nil"/>
              <w:right w:val="single" w:sz="12" w:space="0" w:color="000000"/>
            </w:tcBorders>
            <w:shd w:val="clear" w:color="auto" w:fill="auto"/>
            <w:vAlign w:val="bottom"/>
          </w:tcPr>
          <w:p w14:paraId="50A91706"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PHQ9</w:t>
            </w:r>
          </w:p>
        </w:tc>
        <w:tc>
          <w:tcPr>
            <w:tcW w:w="1167" w:type="dxa"/>
            <w:tcBorders>
              <w:left w:val="single" w:sz="12" w:space="0" w:color="000000"/>
              <w:right w:val="single" w:sz="12" w:space="0" w:color="262626"/>
            </w:tcBorders>
            <w:shd w:val="clear" w:color="auto" w:fill="auto"/>
            <w:vAlign w:val="center"/>
          </w:tcPr>
          <w:p w14:paraId="01E51C12"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4D729EAD"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413E3F46"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0C0E248B"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159CA03F"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34BC49C2"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36666C25"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5" w:type="dxa"/>
            <w:tcBorders>
              <w:left w:val="single" w:sz="12" w:space="0" w:color="000000"/>
              <w:right w:val="single" w:sz="4" w:space="0" w:color="262626"/>
            </w:tcBorders>
            <w:shd w:val="clear" w:color="auto" w:fill="auto"/>
            <w:vAlign w:val="center"/>
          </w:tcPr>
          <w:p w14:paraId="124FAB06"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1560C805"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900" w:type="dxa"/>
            <w:tcBorders>
              <w:left w:val="single" w:sz="12" w:space="0" w:color="000000"/>
              <w:right w:val="single" w:sz="4" w:space="0" w:color="262626"/>
            </w:tcBorders>
            <w:vAlign w:val="center"/>
          </w:tcPr>
          <w:p w14:paraId="3CE61C31"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5C2190DB" w14:textId="77777777" w:rsidTr="00BC0444">
        <w:trPr>
          <w:trHeight w:val="20"/>
        </w:trPr>
        <w:tc>
          <w:tcPr>
            <w:tcW w:w="2250" w:type="dxa"/>
            <w:tcBorders>
              <w:top w:val="nil"/>
              <w:bottom w:val="nil"/>
              <w:right w:val="single" w:sz="12" w:space="0" w:color="000000"/>
            </w:tcBorders>
            <w:shd w:val="clear" w:color="auto" w:fill="auto"/>
            <w:vAlign w:val="bottom"/>
          </w:tcPr>
          <w:p w14:paraId="07E85074" w14:textId="5AEE31BF"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 xml:space="preserve">Patient </w:t>
            </w:r>
            <w:r w:rsidR="008F148F">
              <w:rPr>
                <w:rFonts w:ascii="Arial" w:eastAsia="Arial" w:hAnsi="Arial" w:cs="Arial"/>
                <w:i/>
                <w:sz w:val="16"/>
                <w:szCs w:val="16"/>
              </w:rPr>
              <w:t>–</w:t>
            </w:r>
            <w:r w:rsidRPr="00442A52">
              <w:rPr>
                <w:rFonts w:ascii="Arial" w:eastAsia="Arial" w:hAnsi="Arial" w:cs="Arial"/>
                <w:i/>
                <w:sz w:val="16"/>
                <w:szCs w:val="16"/>
              </w:rPr>
              <w:t xml:space="preserve"> </w:t>
            </w:r>
            <w:r w:rsidR="008F148F">
              <w:rPr>
                <w:rFonts w:ascii="Arial" w:eastAsia="Arial" w:hAnsi="Arial" w:cs="Arial"/>
                <w:i/>
                <w:sz w:val="16"/>
                <w:szCs w:val="16"/>
              </w:rPr>
              <w:t>GAD7</w:t>
            </w:r>
          </w:p>
        </w:tc>
        <w:tc>
          <w:tcPr>
            <w:tcW w:w="1167" w:type="dxa"/>
            <w:tcBorders>
              <w:left w:val="single" w:sz="12" w:space="0" w:color="000000"/>
              <w:right w:val="single" w:sz="12" w:space="0" w:color="262626"/>
            </w:tcBorders>
            <w:shd w:val="clear" w:color="auto" w:fill="auto"/>
            <w:vAlign w:val="center"/>
          </w:tcPr>
          <w:p w14:paraId="76631E7F"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5395DC5B"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37337064"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4B6B844B"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76BF1486"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1B834C5F"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17159D60"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5" w:type="dxa"/>
            <w:tcBorders>
              <w:left w:val="single" w:sz="12" w:space="0" w:color="000000"/>
              <w:right w:val="single" w:sz="4" w:space="0" w:color="262626"/>
            </w:tcBorders>
            <w:shd w:val="clear" w:color="auto" w:fill="auto"/>
            <w:vAlign w:val="center"/>
          </w:tcPr>
          <w:p w14:paraId="33431C94"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30AC3627"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900" w:type="dxa"/>
            <w:tcBorders>
              <w:left w:val="single" w:sz="12" w:space="0" w:color="000000"/>
              <w:right w:val="single" w:sz="4" w:space="0" w:color="262626"/>
            </w:tcBorders>
            <w:vAlign w:val="center"/>
          </w:tcPr>
          <w:p w14:paraId="59A64E95"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3A2D9BD6" w14:textId="77777777" w:rsidTr="00BC0444">
        <w:trPr>
          <w:trHeight w:val="20"/>
        </w:trPr>
        <w:tc>
          <w:tcPr>
            <w:tcW w:w="2250" w:type="dxa"/>
            <w:tcBorders>
              <w:top w:val="nil"/>
              <w:bottom w:val="nil"/>
              <w:right w:val="single" w:sz="12" w:space="0" w:color="000000"/>
            </w:tcBorders>
            <w:shd w:val="clear" w:color="auto" w:fill="auto"/>
            <w:vAlign w:val="bottom"/>
          </w:tcPr>
          <w:p w14:paraId="0EBEFC86"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PANSS</w:t>
            </w:r>
          </w:p>
        </w:tc>
        <w:tc>
          <w:tcPr>
            <w:tcW w:w="1167" w:type="dxa"/>
            <w:tcBorders>
              <w:left w:val="single" w:sz="12" w:space="0" w:color="000000"/>
              <w:right w:val="single" w:sz="12" w:space="0" w:color="262626"/>
            </w:tcBorders>
            <w:shd w:val="clear" w:color="auto" w:fill="auto"/>
            <w:vAlign w:val="center"/>
          </w:tcPr>
          <w:p w14:paraId="4FEA67C9"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6E9C7251"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02DA87A3"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14923596"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481E65E7"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5138386B"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74D9311E"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5" w:type="dxa"/>
            <w:tcBorders>
              <w:left w:val="single" w:sz="12" w:space="0" w:color="000000"/>
              <w:right w:val="single" w:sz="4" w:space="0" w:color="262626"/>
            </w:tcBorders>
            <w:shd w:val="clear" w:color="auto" w:fill="auto"/>
            <w:vAlign w:val="center"/>
          </w:tcPr>
          <w:p w14:paraId="4B3E3A58"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2D5111EB"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900" w:type="dxa"/>
            <w:tcBorders>
              <w:left w:val="single" w:sz="12" w:space="0" w:color="000000"/>
              <w:right w:val="single" w:sz="4" w:space="0" w:color="262626"/>
            </w:tcBorders>
            <w:vAlign w:val="center"/>
          </w:tcPr>
          <w:p w14:paraId="1A2936F2"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6EFE5102" w14:textId="77777777" w:rsidTr="00BC0444">
        <w:trPr>
          <w:trHeight w:val="20"/>
        </w:trPr>
        <w:tc>
          <w:tcPr>
            <w:tcW w:w="2250" w:type="dxa"/>
            <w:tcBorders>
              <w:top w:val="nil"/>
              <w:bottom w:val="nil"/>
              <w:right w:val="single" w:sz="12" w:space="0" w:color="000000"/>
            </w:tcBorders>
            <w:shd w:val="clear" w:color="auto" w:fill="auto"/>
            <w:vAlign w:val="bottom"/>
          </w:tcPr>
          <w:p w14:paraId="02C023E2"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AUDIT</w:t>
            </w:r>
          </w:p>
        </w:tc>
        <w:tc>
          <w:tcPr>
            <w:tcW w:w="1167" w:type="dxa"/>
            <w:tcBorders>
              <w:left w:val="single" w:sz="12" w:space="0" w:color="000000"/>
              <w:right w:val="single" w:sz="12" w:space="0" w:color="262626"/>
            </w:tcBorders>
            <w:shd w:val="clear" w:color="auto" w:fill="auto"/>
            <w:vAlign w:val="center"/>
          </w:tcPr>
          <w:p w14:paraId="202D3EFD"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02D637FF"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6F2EF213"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7709A4D5"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48057FBB"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1602089F"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67116D83"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5" w:type="dxa"/>
            <w:tcBorders>
              <w:left w:val="single" w:sz="12" w:space="0" w:color="000000"/>
              <w:right w:val="single" w:sz="4" w:space="0" w:color="262626"/>
            </w:tcBorders>
            <w:shd w:val="clear" w:color="auto" w:fill="auto"/>
            <w:vAlign w:val="center"/>
          </w:tcPr>
          <w:p w14:paraId="22A32BCF"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68D46948"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900" w:type="dxa"/>
            <w:tcBorders>
              <w:left w:val="single" w:sz="12" w:space="0" w:color="000000"/>
              <w:right w:val="single" w:sz="4" w:space="0" w:color="262626"/>
            </w:tcBorders>
            <w:vAlign w:val="center"/>
          </w:tcPr>
          <w:p w14:paraId="37D7DB21"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0D70E1C8" w14:textId="77777777" w:rsidTr="00BC0444">
        <w:trPr>
          <w:trHeight w:val="20"/>
        </w:trPr>
        <w:tc>
          <w:tcPr>
            <w:tcW w:w="2250" w:type="dxa"/>
            <w:tcBorders>
              <w:top w:val="nil"/>
              <w:bottom w:val="nil"/>
              <w:right w:val="single" w:sz="12" w:space="0" w:color="000000"/>
            </w:tcBorders>
            <w:shd w:val="clear" w:color="auto" w:fill="auto"/>
            <w:vAlign w:val="bottom"/>
          </w:tcPr>
          <w:p w14:paraId="2D76B9A1"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EQ-5D-5L</w:t>
            </w:r>
          </w:p>
        </w:tc>
        <w:tc>
          <w:tcPr>
            <w:tcW w:w="1167" w:type="dxa"/>
            <w:tcBorders>
              <w:left w:val="single" w:sz="12" w:space="0" w:color="000000"/>
              <w:right w:val="single" w:sz="12" w:space="0" w:color="262626"/>
            </w:tcBorders>
            <w:shd w:val="clear" w:color="auto" w:fill="auto"/>
            <w:vAlign w:val="center"/>
          </w:tcPr>
          <w:p w14:paraId="3EBC31BA"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54CC770C"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42FFF654"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7099CEBA"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579CAA15"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3035D2DA"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1BE6CC44"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725" w:type="dxa"/>
            <w:tcBorders>
              <w:left w:val="single" w:sz="12" w:space="0" w:color="000000"/>
              <w:right w:val="single" w:sz="4" w:space="0" w:color="262626"/>
            </w:tcBorders>
            <w:shd w:val="clear" w:color="auto" w:fill="auto"/>
            <w:vAlign w:val="center"/>
          </w:tcPr>
          <w:p w14:paraId="003702BB"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597071FC"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900" w:type="dxa"/>
            <w:tcBorders>
              <w:left w:val="single" w:sz="12" w:space="0" w:color="000000"/>
              <w:right w:val="single" w:sz="4" w:space="0" w:color="262626"/>
            </w:tcBorders>
            <w:vAlign w:val="center"/>
          </w:tcPr>
          <w:p w14:paraId="49D1B746"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0F72265E" w14:textId="77777777" w:rsidTr="00BC0444">
        <w:trPr>
          <w:trHeight w:val="20"/>
        </w:trPr>
        <w:tc>
          <w:tcPr>
            <w:tcW w:w="2250" w:type="dxa"/>
            <w:tcBorders>
              <w:top w:val="nil"/>
              <w:bottom w:val="nil"/>
              <w:right w:val="single" w:sz="12" w:space="0" w:color="000000"/>
            </w:tcBorders>
            <w:shd w:val="clear" w:color="auto" w:fill="auto"/>
            <w:vAlign w:val="bottom"/>
          </w:tcPr>
          <w:p w14:paraId="3E9277F8"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ENACT</w:t>
            </w:r>
          </w:p>
        </w:tc>
        <w:tc>
          <w:tcPr>
            <w:tcW w:w="1167" w:type="dxa"/>
            <w:tcBorders>
              <w:left w:val="single" w:sz="12" w:space="0" w:color="000000"/>
              <w:right w:val="single" w:sz="12" w:space="0" w:color="262626"/>
            </w:tcBorders>
            <w:shd w:val="clear" w:color="auto" w:fill="auto"/>
            <w:vAlign w:val="center"/>
          </w:tcPr>
          <w:p w14:paraId="1411356B"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733B18EB"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3D37E16A"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23CF64AB"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6655C0B2"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02CE5EEF"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421CAA60"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60C0FD84"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66CA9D39"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05FE7F9C"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3BB310F7" w14:textId="77777777" w:rsidTr="00BC0444">
        <w:trPr>
          <w:trHeight w:val="20"/>
        </w:trPr>
        <w:tc>
          <w:tcPr>
            <w:tcW w:w="2250" w:type="dxa"/>
            <w:tcBorders>
              <w:top w:val="nil"/>
              <w:bottom w:val="nil"/>
              <w:right w:val="single" w:sz="12" w:space="0" w:color="000000"/>
            </w:tcBorders>
            <w:shd w:val="clear" w:color="auto" w:fill="auto"/>
            <w:vAlign w:val="bottom"/>
          </w:tcPr>
          <w:p w14:paraId="29369B72"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 xml:space="preserve">Patient – DISCUS </w:t>
            </w:r>
          </w:p>
        </w:tc>
        <w:tc>
          <w:tcPr>
            <w:tcW w:w="1167" w:type="dxa"/>
            <w:tcBorders>
              <w:left w:val="single" w:sz="12" w:space="0" w:color="000000"/>
              <w:right w:val="single" w:sz="12" w:space="0" w:color="262626"/>
            </w:tcBorders>
            <w:shd w:val="clear" w:color="auto" w:fill="auto"/>
            <w:vAlign w:val="center"/>
          </w:tcPr>
          <w:p w14:paraId="2EF64034"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3809D1EC"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6BC72C10"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52F26024"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375F2882"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58A1DE7D"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54E14464"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61098824"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45B8C8C9"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5CFB9C96"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015BA78A" w14:textId="77777777" w:rsidTr="00BC0444">
        <w:trPr>
          <w:trHeight w:val="20"/>
        </w:trPr>
        <w:tc>
          <w:tcPr>
            <w:tcW w:w="2250" w:type="dxa"/>
            <w:tcBorders>
              <w:top w:val="nil"/>
              <w:bottom w:val="nil"/>
              <w:right w:val="single" w:sz="12" w:space="0" w:color="000000"/>
            </w:tcBorders>
            <w:shd w:val="clear" w:color="auto" w:fill="auto"/>
            <w:vAlign w:val="bottom"/>
          </w:tcPr>
          <w:p w14:paraId="5F9EB1D7"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 xml:space="preserve">Patient – ISMI </w:t>
            </w:r>
          </w:p>
        </w:tc>
        <w:tc>
          <w:tcPr>
            <w:tcW w:w="1167" w:type="dxa"/>
            <w:tcBorders>
              <w:left w:val="single" w:sz="12" w:space="0" w:color="000000"/>
              <w:right w:val="single" w:sz="12" w:space="0" w:color="262626"/>
            </w:tcBorders>
            <w:shd w:val="clear" w:color="auto" w:fill="auto"/>
            <w:vAlign w:val="center"/>
          </w:tcPr>
          <w:p w14:paraId="66196456"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772B3245"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4F348B02"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2DC5B501"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14BDA2B6"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4A17CE33"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0E4E4935"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6C5B1F16"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7EC48EF7"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55ADA339"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62856C8B" w14:textId="77777777" w:rsidTr="00BC0444">
        <w:trPr>
          <w:trHeight w:val="20"/>
        </w:trPr>
        <w:tc>
          <w:tcPr>
            <w:tcW w:w="2250" w:type="dxa"/>
            <w:tcBorders>
              <w:top w:val="nil"/>
              <w:bottom w:val="nil"/>
              <w:right w:val="single" w:sz="12" w:space="0" w:color="000000"/>
            </w:tcBorders>
            <w:shd w:val="clear" w:color="auto" w:fill="auto"/>
            <w:vAlign w:val="bottom"/>
          </w:tcPr>
          <w:p w14:paraId="343706D7"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BACE</w:t>
            </w:r>
          </w:p>
        </w:tc>
        <w:tc>
          <w:tcPr>
            <w:tcW w:w="1167" w:type="dxa"/>
            <w:tcBorders>
              <w:left w:val="single" w:sz="12" w:space="0" w:color="000000"/>
              <w:right w:val="single" w:sz="12" w:space="0" w:color="262626"/>
            </w:tcBorders>
            <w:shd w:val="clear" w:color="auto" w:fill="auto"/>
            <w:vAlign w:val="center"/>
          </w:tcPr>
          <w:p w14:paraId="3E0E384E"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4292D147"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15737726"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09AEA4EE"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0BF9F3D0"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0F0B32A1"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3BA20994"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52564A5B"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536F6BDC"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7489B8DA"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1C8BFAFB" w14:textId="77777777" w:rsidTr="00BC0444">
        <w:trPr>
          <w:trHeight w:val="20"/>
        </w:trPr>
        <w:tc>
          <w:tcPr>
            <w:tcW w:w="2250" w:type="dxa"/>
            <w:tcBorders>
              <w:top w:val="nil"/>
              <w:bottom w:val="nil"/>
              <w:right w:val="single" w:sz="12" w:space="0" w:color="000000"/>
            </w:tcBorders>
            <w:shd w:val="clear" w:color="auto" w:fill="auto"/>
            <w:vAlign w:val="bottom"/>
          </w:tcPr>
          <w:p w14:paraId="33A1F952"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CSRI</w:t>
            </w:r>
          </w:p>
        </w:tc>
        <w:tc>
          <w:tcPr>
            <w:tcW w:w="1167" w:type="dxa"/>
            <w:tcBorders>
              <w:left w:val="single" w:sz="12" w:space="0" w:color="000000"/>
              <w:right w:val="single" w:sz="12" w:space="0" w:color="262626"/>
            </w:tcBorders>
            <w:shd w:val="clear" w:color="auto" w:fill="auto"/>
            <w:vAlign w:val="center"/>
          </w:tcPr>
          <w:p w14:paraId="67E69D0C"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1523C288"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17EAA7D6"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20357AB6"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3EB153E9"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33ECE989"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22C80915"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6F113C13"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033A8FC1"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900" w:type="dxa"/>
            <w:tcBorders>
              <w:left w:val="single" w:sz="12" w:space="0" w:color="000000"/>
              <w:right w:val="single" w:sz="4" w:space="0" w:color="262626"/>
            </w:tcBorders>
            <w:vAlign w:val="center"/>
          </w:tcPr>
          <w:p w14:paraId="78A9937C"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72F63EB2" w14:textId="77777777" w:rsidTr="00BC0444">
        <w:trPr>
          <w:trHeight w:val="20"/>
        </w:trPr>
        <w:tc>
          <w:tcPr>
            <w:tcW w:w="2250" w:type="dxa"/>
            <w:tcBorders>
              <w:top w:val="nil"/>
              <w:bottom w:val="nil"/>
              <w:right w:val="single" w:sz="12" w:space="0" w:color="000000"/>
            </w:tcBorders>
            <w:shd w:val="clear" w:color="auto" w:fill="auto"/>
            <w:vAlign w:val="bottom"/>
          </w:tcPr>
          <w:p w14:paraId="41282E33"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 xml:space="preserve">Qualitative interviews </w:t>
            </w:r>
          </w:p>
        </w:tc>
        <w:tc>
          <w:tcPr>
            <w:tcW w:w="1167" w:type="dxa"/>
            <w:tcBorders>
              <w:left w:val="single" w:sz="12" w:space="0" w:color="000000"/>
              <w:right w:val="single" w:sz="12" w:space="0" w:color="262626"/>
            </w:tcBorders>
            <w:shd w:val="clear" w:color="auto" w:fill="auto"/>
            <w:vAlign w:val="center"/>
          </w:tcPr>
          <w:p w14:paraId="3D812B27"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1F613BBB"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703D3020"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766C287E"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2E5A6721"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5D33327B"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10247C31"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62BD1FAB"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0C74C1FC" w14:textId="77777777" w:rsidR="00756AB9" w:rsidRPr="00442A52" w:rsidRDefault="00756AB9" w:rsidP="00BC0444">
            <w:pPr>
              <w:jc w:val="center"/>
              <w:rPr>
                <w:rFonts w:ascii="Arial" w:eastAsia="Arial" w:hAnsi="Arial" w:cs="Arial"/>
                <w:sz w:val="16"/>
                <w:szCs w:val="16"/>
              </w:rPr>
            </w:pPr>
          </w:p>
        </w:tc>
        <w:tc>
          <w:tcPr>
            <w:tcW w:w="900" w:type="dxa"/>
            <w:tcBorders>
              <w:left w:val="single" w:sz="12" w:space="0" w:color="000000"/>
              <w:right w:val="single" w:sz="4" w:space="0" w:color="262626"/>
            </w:tcBorders>
            <w:vAlign w:val="center"/>
          </w:tcPr>
          <w:p w14:paraId="7642925F"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r>
      <w:tr w:rsidR="00756AB9" w:rsidRPr="00442A52" w14:paraId="782DEF6C" w14:textId="77777777" w:rsidTr="00BC0444">
        <w:trPr>
          <w:trHeight w:val="20"/>
        </w:trPr>
        <w:tc>
          <w:tcPr>
            <w:tcW w:w="2250" w:type="dxa"/>
            <w:tcBorders>
              <w:top w:val="nil"/>
              <w:bottom w:val="nil"/>
              <w:right w:val="single" w:sz="12" w:space="0" w:color="000000"/>
            </w:tcBorders>
            <w:shd w:val="clear" w:color="auto" w:fill="auto"/>
            <w:vAlign w:val="bottom"/>
          </w:tcPr>
          <w:p w14:paraId="6BD019FD" w14:textId="77777777" w:rsidR="00756AB9" w:rsidRPr="00442A52" w:rsidRDefault="00756AB9" w:rsidP="00BC0444">
            <w:pPr>
              <w:rPr>
                <w:rFonts w:ascii="Arial" w:eastAsia="Arial" w:hAnsi="Arial" w:cs="Arial"/>
                <w:sz w:val="16"/>
                <w:szCs w:val="16"/>
              </w:rPr>
            </w:pPr>
            <w:r w:rsidRPr="00442A52">
              <w:rPr>
                <w:rFonts w:ascii="Arial" w:eastAsia="Arial" w:hAnsi="Arial" w:cs="Arial"/>
                <w:sz w:val="16"/>
                <w:szCs w:val="16"/>
              </w:rPr>
              <w:t>Psychiatrist Administered</w:t>
            </w:r>
          </w:p>
        </w:tc>
        <w:tc>
          <w:tcPr>
            <w:tcW w:w="8195" w:type="dxa"/>
            <w:gridSpan w:val="10"/>
            <w:tcBorders>
              <w:left w:val="single" w:sz="12" w:space="0" w:color="000000"/>
              <w:right w:val="single" w:sz="4" w:space="0" w:color="262626"/>
            </w:tcBorders>
            <w:shd w:val="clear" w:color="auto" w:fill="auto"/>
            <w:vAlign w:val="center"/>
          </w:tcPr>
          <w:p w14:paraId="2981EB55" w14:textId="77777777" w:rsidR="00756AB9" w:rsidRPr="00442A52" w:rsidRDefault="00756AB9" w:rsidP="00BC0444">
            <w:pPr>
              <w:jc w:val="center"/>
              <w:rPr>
                <w:rFonts w:ascii="Arial" w:eastAsia="Arial" w:hAnsi="Arial" w:cs="Arial"/>
                <w:sz w:val="16"/>
                <w:szCs w:val="16"/>
              </w:rPr>
            </w:pPr>
          </w:p>
        </w:tc>
      </w:tr>
      <w:tr w:rsidR="00756AB9" w:rsidRPr="00442A52" w14:paraId="1B766217" w14:textId="77777777" w:rsidTr="00BC0444">
        <w:trPr>
          <w:trHeight w:val="20"/>
        </w:trPr>
        <w:tc>
          <w:tcPr>
            <w:tcW w:w="2250" w:type="dxa"/>
            <w:tcBorders>
              <w:top w:val="nil"/>
              <w:bottom w:val="single" w:sz="4" w:space="0" w:color="auto"/>
              <w:right w:val="single" w:sz="12" w:space="0" w:color="000000"/>
            </w:tcBorders>
            <w:shd w:val="clear" w:color="auto" w:fill="auto"/>
            <w:vAlign w:val="bottom"/>
          </w:tcPr>
          <w:p w14:paraId="1546F062" w14:textId="77777777" w:rsidR="00756AB9" w:rsidRPr="00442A52" w:rsidRDefault="00756AB9" w:rsidP="00BC0444">
            <w:pPr>
              <w:ind w:left="245"/>
              <w:rPr>
                <w:rFonts w:ascii="Arial" w:eastAsia="Arial" w:hAnsi="Arial" w:cs="Arial"/>
                <w:i/>
                <w:sz w:val="16"/>
                <w:szCs w:val="16"/>
              </w:rPr>
            </w:pPr>
            <w:r w:rsidRPr="00442A52">
              <w:rPr>
                <w:rFonts w:ascii="Arial" w:eastAsia="Arial" w:hAnsi="Arial" w:cs="Arial"/>
                <w:i/>
                <w:sz w:val="16"/>
                <w:szCs w:val="16"/>
              </w:rPr>
              <w:t>Patient – SCID-5-RV</w:t>
            </w:r>
          </w:p>
        </w:tc>
        <w:tc>
          <w:tcPr>
            <w:tcW w:w="1167" w:type="dxa"/>
            <w:tcBorders>
              <w:left w:val="single" w:sz="12" w:space="0" w:color="000000"/>
              <w:right w:val="single" w:sz="12" w:space="0" w:color="262626"/>
            </w:tcBorders>
            <w:shd w:val="clear" w:color="auto" w:fill="auto"/>
            <w:vAlign w:val="center"/>
          </w:tcPr>
          <w:p w14:paraId="5D8093AD" w14:textId="77777777" w:rsidR="00756AB9" w:rsidRPr="00442A52" w:rsidRDefault="00756AB9" w:rsidP="00BC0444">
            <w:pPr>
              <w:jc w:val="center"/>
              <w:rPr>
                <w:rFonts w:ascii="Arial" w:eastAsia="Arial" w:hAnsi="Arial" w:cs="Arial"/>
                <w:sz w:val="16"/>
                <w:szCs w:val="16"/>
              </w:rPr>
            </w:pPr>
          </w:p>
        </w:tc>
        <w:tc>
          <w:tcPr>
            <w:tcW w:w="1168" w:type="dxa"/>
            <w:tcBorders>
              <w:left w:val="single" w:sz="12" w:space="0" w:color="262626"/>
              <w:right w:val="single" w:sz="12" w:space="0" w:color="262626"/>
            </w:tcBorders>
            <w:shd w:val="clear" w:color="auto" w:fill="auto"/>
            <w:vAlign w:val="center"/>
          </w:tcPr>
          <w:p w14:paraId="28AE36E8" w14:textId="77777777" w:rsidR="00756AB9" w:rsidRPr="00442A52" w:rsidRDefault="00756AB9" w:rsidP="00BC0444">
            <w:pPr>
              <w:jc w:val="center"/>
              <w:rPr>
                <w:rFonts w:ascii="Arial" w:eastAsia="Arial" w:hAnsi="Arial" w:cs="Arial"/>
                <w:sz w:val="16"/>
                <w:szCs w:val="16"/>
              </w:rPr>
            </w:pPr>
          </w:p>
        </w:tc>
        <w:tc>
          <w:tcPr>
            <w:tcW w:w="680" w:type="dxa"/>
            <w:tcBorders>
              <w:left w:val="single" w:sz="12" w:space="0" w:color="262626"/>
            </w:tcBorders>
            <w:shd w:val="clear" w:color="auto" w:fill="auto"/>
            <w:vAlign w:val="center"/>
          </w:tcPr>
          <w:p w14:paraId="3E7D1AB4"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60763C9C" w14:textId="77777777" w:rsidR="00756AB9" w:rsidRPr="00442A52" w:rsidRDefault="00756AB9" w:rsidP="00BC0444">
            <w:pPr>
              <w:jc w:val="center"/>
              <w:rPr>
                <w:rFonts w:ascii="Arial" w:eastAsia="Arial" w:hAnsi="Arial" w:cs="Arial"/>
                <w:sz w:val="16"/>
                <w:szCs w:val="16"/>
              </w:rPr>
            </w:pPr>
          </w:p>
        </w:tc>
        <w:tc>
          <w:tcPr>
            <w:tcW w:w="680" w:type="dxa"/>
            <w:shd w:val="clear" w:color="auto" w:fill="auto"/>
            <w:vAlign w:val="center"/>
          </w:tcPr>
          <w:p w14:paraId="330028FB" w14:textId="77777777" w:rsidR="00756AB9" w:rsidRPr="00442A52" w:rsidRDefault="00756AB9" w:rsidP="00BC0444">
            <w:pPr>
              <w:jc w:val="center"/>
              <w:rPr>
                <w:rFonts w:ascii="Arial" w:eastAsia="Arial" w:hAnsi="Arial" w:cs="Arial"/>
                <w:sz w:val="16"/>
                <w:szCs w:val="16"/>
              </w:rPr>
            </w:pPr>
          </w:p>
        </w:tc>
        <w:tc>
          <w:tcPr>
            <w:tcW w:w="748" w:type="dxa"/>
            <w:shd w:val="clear" w:color="auto" w:fill="auto"/>
            <w:vAlign w:val="center"/>
          </w:tcPr>
          <w:p w14:paraId="2830E5C6" w14:textId="77777777" w:rsidR="00756AB9" w:rsidRPr="00442A52" w:rsidRDefault="00756AB9" w:rsidP="00BC0444">
            <w:pPr>
              <w:jc w:val="center"/>
              <w:rPr>
                <w:rFonts w:ascii="Arial" w:eastAsia="Arial" w:hAnsi="Arial" w:cs="Arial"/>
                <w:sz w:val="16"/>
                <w:szCs w:val="16"/>
              </w:rPr>
            </w:pPr>
          </w:p>
        </w:tc>
        <w:tc>
          <w:tcPr>
            <w:tcW w:w="721" w:type="dxa"/>
            <w:tcBorders>
              <w:right w:val="single" w:sz="12" w:space="0" w:color="000000"/>
            </w:tcBorders>
            <w:vAlign w:val="center"/>
          </w:tcPr>
          <w:p w14:paraId="76EBA66E" w14:textId="77777777" w:rsidR="00756AB9" w:rsidRPr="00442A52" w:rsidRDefault="00756AB9" w:rsidP="00BC0444">
            <w:pPr>
              <w:jc w:val="center"/>
              <w:rPr>
                <w:rFonts w:ascii="Arial" w:eastAsia="Arial" w:hAnsi="Arial" w:cs="Arial"/>
                <w:sz w:val="16"/>
                <w:szCs w:val="16"/>
              </w:rPr>
            </w:pPr>
          </w:p>
        </w:tc>
        <w:tc>
          <w:tcPr>
            <w:tcW w:w="725" w:type="dxa"/>
            <w:tcBorders>
              <w:left w:val="single" w:sz="12" w:space="0" w:color="000000"/>
              <w:right w:val="single" w:sz="4" w:space="0" w:color="262626"/>
            </w:tcBorders>
            <w:shd w:val="clear" w:color="auto" w:fill="auto"/>
            <w:vAlign w:val="center"/>
          </w:tcPr>
          <w:p w14:paraId="495CD16E" w14:textId="77777777" w:rsidR="00756AB9" w:rsidRPr="00442A52" w:rsidRDefault="00756AB9" w:rsidP="00BC0444">
            <w:pPr>
              <w:jc w:val="center"/>
              <w:rPr>
                <w:rFonts w:ascii="Arial" w:eastAsia="Arial" w:hAnsi="Arial" w:cs="Arial"/>
                <w:sz w:val="16"/>
                <w:szCs w:val="16"/>
              </w:rPr>
            </w:pPr>
          </w:p>
        </w:tc>
        <w:tc>
          <w:tcPr>
            <w:tcW w:w="726" w:type="dxa"/>
            <w:tcBorders>
              <w:left w:val="single" w:sz="12" w:space="0" w:color="000000"/>
              <w:right w:val="single" w:sz="4" w:space="0" w:color="262626"/>
            </w:tcBorders>
            <w:vAlign w:val="center"/>
          </w:tcPr>
          <w:p w14:paraId="08DB5264" w14:textId="77777777" w:rsidR="00756AB9" w:rsidRPr="00442A52" w:rsidRDefault="00756AB9" w:rsidP="00BC0444">
            <w:pPr>
              <w:jc w:val="center"/>
              <w:rPr>
                <w:rFonts w:ascii="Arial" w:eastAsia="Arial" w:hAnsi="Arial" w:cs="Arial"/>
                <w:sz w:val="16"/>
                <w:szCs w:val="16"/>
              </w:rPr>
            </w:pPr>
            <w:r w:rsidRPr="00442A52">
              <w:rPr>
                <w:rFonts w:ascii="Arial" w:eastAsia="Arial" w:hAnsi="Arial" w:cs="Arial"/>
                <w:sz w:val="16"/>
                <w:szCs w:val="16"/>
              </w:rPr>
              <w:t>X</w:t>
            </w:r>
          </w:p>
        </w:tc>
        <w:tc>
          <w:tcPr>
            <w:tcW w:w="900" w:type="dxa"/>
            <w:tcBorders>
              <w:left w:val="single" w:sz="12" w:space="0" w:color="000000"/>
              <w:right w:val="single" w:sz="4" w:space="0" w:color="262626"/>
            </w:tcBorders>
            <w:vAlign w:val="center"/>
          </w:tcPr>
          <w:p w14:paraId="60F4693E" w14:textId="77777777" w:rsidR="00756AB9" w:rsidRPr="00442A52" w:rsidRDefault="00756AB9" w:rsidP="00BC0444">
            <w:pPr>
              <w:jc w:val="center"/>
              <w:rPr>
                <w:rFonts w:ascii="Arial" w:eastAsia="Arial" w:hAnsi="Arial" w:cs="Arial"/>
                <w:sz w:val="16"/>
                <w:szCs w:val="16"/>
              </w:rPr>
            </w:pPr>
          </w:p>
        </w:tc>
      </w:tr>
    </w:tbl>
    <w:p w14:paraId="279DDBC8" w14:textId="030AD963" w:rsidR="00756AB9" w:rsidRPr="00442A52" w:rsidRDefault="00756AB9" w:rsidP="00756AB9">
      <w:pPr>
        <w:rPr>
          <w:rFonts w:ascii="Arial" w:eastAsia="Arial" w:hAnsi="Arial" w:cs="Arial"/>
          <w:sz w:val="18"/>
          <w:szCs w:val="18"/>
        </w:rPr>
      </w:pPr>
      <w:r w:rsidRPr="00442A52">
        <w:rPr>
          <w:rFonts w:ascii="Arial" w:eastAsia="Arial" w:hAnsi="Arial" w:cs="Arial"/>
          <w:b/>
          <w:sz w:val="18"/>
          <w:szCs w:val="18"/>
        </w:rPr>
        <w:t>Abbreviations</w:t>
      </w:r>
      <w:r w:rsidRPr="00442A52">
        <w:rPr>
          <w:rFonts w:ascii="Arial" w:eastAsia="Arial" w:hAnsi="Arial" w:cs="Arial"/>
          <w:sz w:val="18"/>
          <w:szCs w:val="18"/>
        </w:rPr>
        <w:t xml:space="preserve">: SDS, Social Distance Scale; IAT, Implicit Association Test; ENACT, Enhancing Assessment of Common Therapeutic Factors; WHODAS, World Health Organization Disability Assessment </w:t>
      </w:r>
      <w:r w:rsidR="00BE3431">
        <w:rPr>
          <w:rFonts w:ascii="Arial" w:eastAsia="Arial" w:hAnsi="Arial" w:cs="Arial"/>
          <w:sz w:val="18"/>
          <w:szCs w:val="18"/>
        </w:rPr>
        <w:t>Schedule</w:t>
      </w:r>
      <w:r w:rsidRPr="00442A52">
        <w:rPr>
          <w:rFonts w:ascii="Arial" w:eastAsia="Arial" w:hAnsi="Arial" w:cs="Arial"/>
          <w:sz w:val="18"/>
          <w:szCs w:val="18"/>
        </w:rPr>
        <w:t xml:space="preserve">; PHQ9, Patient Health Questionnaire; </w:t>
      </w:r>
      <w:r w:rsidR="008F148F">
        <w:rPr>
          <w:rFonts w:ascii="Arial" w:eastAsia="Arial" w:hAnsi="Arial" w:cs="Arial"/>
          <w:sz w:val="18"/>
          <w:szCs w:val="18"/>
        </w:rPr>
        <w:t>GAD7</w:t>
      </w:r>
      <w:r w:rsidRPr="00442A52">
        <w:rPr>
          <w:rFonts w:ascii="Arial" w:eastAsia="Arial" w:hAnsi="Arial" w:cs="Arial"/>
          <w:sz w:val="18"/>
          <w:szCs w:val="18"/>
        </w:rPr>
        <w:t xml:space="preserve">, </w:t>
      </w:r>
      <w:r w:rsidR="008F148F">
        <w:rPr>
          <w:rFonts w:ascii="Arial" w:eastAsia="Arial" w:hAnsi="Arial" w:cs="Arial"/>
          <w:sz w:val="18"/>
          <w:szCs w:val="18"/>
        </w:rPr>
        <w:t>Generalized An</w:t>
      </w:r>
      <w:r w:rsidRPr="00442A52">
        <w:rPr>
          <w:rFonts w:ascii="Arial" w:eastAsia="Arial" w:hAnsi="Arial" w:cs="Arial"/>
          <w:sz w:val="18"/>
          <w:szCs w:val="18"/>
        </w:rPr>
        <w:t xml:space="preserve">xiety </w:t>
      </w:r>
      <w:r w:rsidR="008F148F">
        <w:rPr>
          <w:rFonts w:ascii="Arial" w:eastAsia="Arial" w:hAnsi="Arial" w:cs="Arial"/>
          <w:sz w:val="18"/>
          <w:szCs w:val="18"/>
        </w:rPr>
        <w:t>Disorder</w:t>
      </w:r>
      <w:r w:rsidRPr="00442A52">
        <w:rPr>
          <w:rFonts w:ascii="Arial" w:eastAsia="Arial" w:hAnsi="Arial" w:cs="Arial"/>
          <w:sz w:val="18"/>
          <w:szCs w:val="18"/>
        </w:rPr>
        <w:t>; PANSS, Positive and Negative Syndrome Scale; EQ-5D-5L, EuroQol 5 Dimension quality of life scale; BACE, Barriers to Access to Care Evaluation; CSRI, Client Service Receipt Inventory; SCID-5-</w:t>
      </w:r>
      <w:r w:rsidR="008F148F">
        <w:rPr>
          <w:rFonts w:ascii="Arial" w:eastAsia="Arial" w:hAnsi="Arial" w:cs="Arial"/>
          <w:sz w:val="18"/>
          <w:szCs w:val="18"/>
        </w:rPr>
        <w:t>R</w:t>
      </w:r>
      <w:r w:rsidRPr="00442A52">
        <w:rPr>
          <w:rFonts w:ascii="Arial" w:eastAsia="Arial" w:hAnsi="Arial" w:cs="Arial"/>
          <w:sz w:val="18"/>
          <w:szCs w:val="18"/>
        </w:rPr>
        <w:t>V, Structured Clinical Interview for DSM</w:t>
      </w:r>
      <w:r w:rsidR="00F662AA">
        <w:rPr>
          <w:rFonts w:ascii="Arial" w:eastAsia="Arial" w:hAnsi="Arial" w:cs="Arial"/>
          <w:sz w:val="18"/>
          <w:szCs w:val="18"/>
        </w:rPr>
        <w:t>-</w:t>
      </w:r>
      <w:r w:rsidRPr="00442A52">
        <w:rPr>
          <w:rFonts w:ascii="Arial" w:eastAsia="Arial" w:hAnsi="Arial" w:cs="Arial"/>
          <w:sz w:val="18"/>
          <w:szCs w:val="18"/>
        </w:rPr>
        <w:t>5-Research Version; ASEC, Antidepressant Side Effect Checklist; AIMS, Abnormal Involuntary Movement Scale.</w:t>
      </w:r>
    </w:p>
    <w:p w14:paraId="37065350" w14:textId="1A9E4051" w:rsidR="005F1907" w:rsidRPr="00442A52" w:rsidRDefault="005F1907" w:rsidP="005F1907">
      <w:pPr>
        <w:widowControl w:val="0"/>
        <w:pBdr>
          <w:top w:val="nil"/>
          <w:left w:val="nil"/>
          <w:bottom w:val="nil"/>
          <w:right w:val="nil"/>
          <w:between w:val="nil"/>
        </w:pBdr>
        <w:rPr>
          <w:rFonts w:ascii="Arial" w:eastAsia="Arial" w:hAnsi="Arial" w:cs="Arial"/>
          <w:b/>
          <w:color w:val="000000"/>
          <w:sz w:val="22"/>
          <w:szCs w:val="22"/>
        </w:rPr>
      </w:pPr>
      <w:r w:rsidRPr="00442A52">
        <w:rPr>
          <w:rFonts w:ascii="Arial" w:eastAsia="Arial" w:hAnsi="Arial" w:cs="Arial"/>
          <w:b/>
          <w:color w:val="000000"/>
          <w:sz w:val="22"/>
          <w:szCs w:val="22"/>
        </w:rPr>
        <w:lastRenderedPageBreak/>
        <w:t xml:space="preserve">Concealment mechanism and implementation </w:t>
      </w:r>
    </w:p>
    <w:p w14:paraId="08B6EC39" w14:textId="2AAD0CB1" w:rsidR="005F1907" w:rsidRPr="00442A52" w:rsidRDefault="005F1907" w:rsidP="005F1907">
      <w:pPr>
        <w:widowControl w:val="0"/>
        <w:pBdr>
          <w:top w:val="nil"/>
          <w:left w:val="nil"/>
          <w:bottom w:val="nil"/>
          <w:right w:val="nil"/>
          <w:between w:val="nil"/>
        </w:pBdr>
        <w:rPr>
          <w:rFonts w:ascii="Arial" w:eastAsia="Arial" w:hAnsi="Arial" w:cs="Arial"/>
          <w:color w:val="000000"/>
          <w:sz w:val="22"/>
          <w:szCs w:val="22"/>
        </w:rPr>
      </w:pPr>
      <w:r w:rsidRPr="00442A52">
        <w:rPr>
          <w:rFonts w:ascii="Arial" w:eastAsia="Arial" w:hAnsi="Arial" w:cs="Arial"/>
          <w:color w:val="000000"/>
          <w:sz w:val="22"/>
          <w:szCs w:val="22"/>
        </w:rPr>
        <w:t>A biostatistician based at the Duke Global Health Institute and who is not involved in the study will generate the allocation sequence for the 24 municipalities randomized in the study (i.e., concealment applies to this biostatistician). After randomization, the district study coordinator and clinical supervisor in Nepal will be informed because they will need to make the logistical arrangements with PWLE for the PhotoVoice training and RESHAPE-based training. The district study coordinator in collaborati</w:t>
      </w:r>
      <w:r w:rsidR="008F148F">
        <w:rPr>
          <w:rFonts w:ascii="Arial" w:eastAsia="Arial" w:hAnsi="Arial" w:cs="Arial"/>
          <w:color w:val="000000"/>
          <w:sz w:val="22"/>
          <w:szCs w:val="22"/>
        </w:rPr>
        <w:t>on</w:t>
      </w:r>
      <w:r w:rsidRPr="00442A52">
        <w:rPr>
          <w:rFonts w:ascii="Arial" w:eastAsia="Arial" w:hAnsi="Arial" w:cs="Arial"/>
          <w:color w:val="000000"/>
          <w:sz w:val="22"/>
          <w:szCs w:val="22"/>
        </w:rPr>
        <w:t xml:space="preserve"> with municipal health coordinators will enroll PCPs for participation in the training. Research assistants will enroll patients. </w:t>
      </w:r>
    </w:p>
    <w:p w14:paraId="6C90F71C" w14:textId="77777777" w:rsidR="005F1907" w:rsidRPr="00442A52" w:rsidRDefault="005F1907" w:rsidP="005F1907">
      <w:pPr>
        <w:widowControl w:val="0"/>
        <w:pBdr>
          <w:top w:val="nil"/>
          <w:left w:val="nil"/>
          <w:bottom w:val="nil"/>
          <w:right w:val="nil"/>
          <w:between w:val="nil"/>
        </w:pBdr>
        <w:rPr>
          <w:rFonts w:ascii="Arial" w:eastAsia="Arial" w:hAnsi="Arial" w:cs="Arial"/>
          <w:color w:val="000000"/>
          <w:sz w:val="22"/>
          <w:szCs w:val="22"/>
        </w:rPr>
      </w:pPr>
    </w:p>
    <w:p w14:paraId="1064D40D" w14:textId="77777777" w:rsidR="005F1907" w:rsidRPr="00442A52" w:rsidRDefault="005F1907" w:rsidP="005F1907">
      <w:pPr>
        <w:widowControl w:val="0"/>
        <w:pBdr>
          <w:top w:val="nil"/>
          <w:left w:val="nil"/>
          <w:bottom w:val="nil"/>
          <w:right w:val="nil"/>
          <w:between w:val="nil"/>
        </w:pBdr>
        <w:rPr>
          <w:rFonts w:ascii="Arial" w:eastAsia="Arial" w:hAnsi="Arial" w:cs="Arial"/>
          <w:b/>
          <w:color w:val="000000"/>
          <w:sz w:val="22"/>
          <w:szCs w:val="22"/>
        </w:rPr>
      </w:pPr>
      <w:r w:rsidRPr="00442A52">
        <w:rPr>
          <w:rFonts w:ascii="Arial" w:eastAsia="Arial" w:hAnsi="Arial" w:cs="Arial"/>
          <w:b/>
          <w:color w:val="000000"/>
          <w:sz w:val="22"/>
          <w:szCs w:val="22"/>
        </w:rPr>
        <w:t>Assignment of interventions: masking and procedure for unmasking</w:t>
      </w:r>
    </w:p>
    <w:p w14:paraId="0727B956" w14:textId="207BABEC" w:rsidR="005F1907" w:rsidRPr="00442A52" w:rsidRDefault="005F1907" w:rsidP="005F1907">
      <w:pPr>
        <w:rPr>
          <w:rFonts w:ascii="Arial" w:eastAsia="Arial" w:hAnsi="Arial" w:cs="Arial"/>
          <w:sz w:val="22"/>
          <w:szCs w:val="22"/>
        </w:rPr>
      </w:pPr>
      <w:r w:rsidRPr="00442A52">
        <w:rPr>
          <w:rFonts w:ascii="Arial" w:eastAsia="Arial" w:hAnsi="Arial" w:cs="Arial"/>
          <w:sz w:val="22"/>
          <w:szCs w:val="22"/>
        </w:rPr>
        <w:t xml:space="preserve">Regarding masking for </w:t>
      </w:r>
      <w:r w:rsidRPr="00442A52">
        <w:rPr>
          <w:rFonts w:ascii="Arial" w:eastAsia="Arial" w:hAnsi="Arial" w:cs="Arial"/>
          <w:bCs/>
          <w:sz w:val="22"/>
          <w:szCs w:val="22"/>
        </w:rPr>
        <w:t>Objective 1,</w:t>
      </w:r>
      <w:r w:rsidRPr="00442A52">
        <w:rPr>
          <w:rFonts w:ascii="Arial" w:eastAsia="Arial" w:hAnsi="Arial" w:cs="Arial"/>
          <w:sz w:val="22"/>
          <w:szCs w:val="22"/>
        </w:rPr>
        <w:t xml:space="preserve"> PCPs will be told that different training approaches are being compared, but they will not be told the condition that is different (i.e., participation of PWLE and aspirational figures). [*Of note, we have used the term ‘</w:t>
      </w:r>
      <w:r w:rsidRPr="00405E22">
        <w:rPr>
          <w:rFonts w:ascii="Arial" w:eastAsia="Arial" w:hAnsi="Arial" w:cs="Arial"/>
          <w:i/>
          <w:iCs/>
          <w:sz w:val="22"/>
          <w:szCs w:val="22"/>
        </w:rPr>
        <w:t>masking’</w:t>
      </w:r>
      <w:r w:rsidRPr="00442A52">
        <w:rPr>
          <w:rFonts w:ascii="Arial" w:eastAsia="Arial" w:hAnsi="Arial" w:cs="Arial"/>
          <w:sz w:val="22"/>
          <w:szCs w:val="22"/>
        </w:rPr>
        <w:t xml:space="preserve"> rather than ‘blinding’ throughout this section based on concerns of the stigmatizing implications of the term ‘blinding’.] The mental health specialist trainers will also be told that different training approaches are being used, but will not be told specific details of the different implementation approaches. Questions will used at key junctures of the study to monitor unmasking:</w:t>
      </w:r>
      <w:r w:rsidRPr="00442A52">
        <w:t xml:space="preserve"> </w:t>
      </w:r>
      <w:r w:rsidRPr="00442A52">
        <w:rPr>
          <w:rFonts w:ascii="Arial" w:eastAsia="Arial" w:hAnsi="Arial" w:cs="Arial"/>
          <w:sz w:val="22"/>
          <w:szCs w:val="22"/>
        </w:rPr>
        <w:t xml:space="preserve">“What was this study evaluating?” If the participant or study staff says something to the effect of: “The study is comparing different training models, then probe to ask about what was different in the training models. If they say involvement of PWLE, then the following questions will be asked: “when did you know about this difference?”, “how did you find about this difference?”, and “which patients, health workers </w:t>
      </w:r>
      <w:r w:rsidR="00F662AA">
        <w:rPr>
          <w:rFonts w:ascii="Arial" w:eastAsia="Arial" w:hAnsi="Arial" w:cs="Arial"/>
          <w:sz w:val="22"/>
          <w:szCs w:val="22"/>
        </w:rPr>
        <w:t>or</w:t>
      </w:r>
      <w:r w:rsidR="00F662AA" w:rsidRPr="00442A52">
        <w:rPr>
          <w:rFonts w:ascii="Arial" w:eastAsia="Arial" w:hAnsi="Arial" w:cs="Arial"/>
          <w:sz w:val="22"/>
          <w:szCs w:val="22"/>
        </w:rPr>
        <w:t xml:space="preserve"> </w:t>
      </w:r>
      <w:r w:rsidRPr="00442A52">
        <w:rPr>
          <w:rFonts w:ascii="Arial" w:eastAsia="Arial" w:hAnsi="Arial" w:cs="Arial"/>
          <w:sz w:val="22"/>
          <w:szCs w:val="22"/>
        </w:rPr>
        <w:t xml:space="preserve">others are in which study arm?” </w:t>
      </w:r>
    </w:p>
    <w:p w14:paraId="19FDDE14" w14:textId="77777777" w:rsidR="005F1907" w:rsidRPr="00442A52" w:rsidRDefault="005F1907" w:rsidP="005F1907">
      <w:pPr>
        <w:rPr>
          <w:rFonts w:ascii="Arial" w:eastAsia="Arial" w:hAnsi="Arial" w:cs="Arial"/>
          <w:sz w:val="22"/>
          <w:szCs w:val="22"/>
        </w:rPr>
      </w:pPr>
    </w:p>
    <w:p w14:paraId="3B3D63D5" w14:textId="77777777" w:rsidR="005F1907" w:rsidRPr="00442A52" w:rsidRDefault="005F1907" w:rsidP="005F1907">
      <w:pPr>
        <w:rPr>
          <w:rFonts w:ascii="Arial" w:eastAsia="Arial" w:hAnsi="Arial" w:cs="Arial"/>
          <w:sz w:val="22"/>
          <w:szCs w:val="22"/>
          <w:u w:val="single"/>
        </w:rPr>
      </w:pPr>
      <w:r w:rsidRPr="00442A52">
        <w:rPr>
          <w:rFonts w:ascii="Arial" w:eastAsia="Arial" w:hAnsi="Arial" w:cs="Arial"/>
          <w:sz w:val="22"/>
          <w:szCs w:val="22"/>
        </w:rPr>
        <w:t xml:space="preserve">For </w:t>
      </w:r>
      <w:r w:rsidRPr="00442A52">
        <w:rPr>
          <w:rFonts w:ascii="Arial" w:eastAsia="Arial" w:hAnsi="Arial" w:cs="Arial"/>
          <w:bCs/>
          <w:sz w:val="22"/>
          <w:szCs w:val="22"/>
        </w:rPr>
        <w:t>Objective 2,</w:t>
      </w:r>
      <w:r w:rsidRPr="00442A52">
        <w:rPr>
          <w:rFonts w:ascii="Arial" w:eastAsia="Arial" w:hAnsi="Arial" w:cs="Arial"/>
          <w:sz w:val="22"/>
          <w:szCs w:val="22"/>
        </w:rPr>
        <w:t xml:space="preserve"> patients will be told that PCPs have received different training strategies but that the intervention they are receiving is the same content for them and surrounding municipalities. Data collectors will be masked throughout collection and study statisticians will be masked during the analysis phase. These are different statisticians from those involved in the randomization. Because training data collection happens on Day 1 and Day 7 of the training when no PWLE are present, this reduces the risk of unmasking to research team members involved in outcome data collection. </w:t>
      </w:r>
      <w:r w:rsidRPr="00442A52">
        <w:rPr>
          <w:rFonts w:ascii="Arial" w:eastAsia="Arial" w:hAnsi="Arial" w:cs="Arial"/>
          <w:color w:val="000000"/>
          <w:sz w:val="22"/>
          <w:szCs w:val="22"/>
        </w:rPr>
        <w:t xml:space="preserve">Because there are no differences in the treatment in each arm, we do not anticipate unmasking patients. </w:t>
      </w:r>
    </w:p>
    <w:p w14:paraId="62191097" w14:textId="3D2BAF8E" w:rsidR="005F1907" w:rsidRDefault="005F1907" w:rsidP="005F1907">
      <w:pPr>
        <w:widowControl w:val="0"/>
        <w:pBdr>
          <w:top w:val="nil"/>
          <w:left w:val="nil"/>
          <w:bottom w:val="nil"/>
          <w:right w:val="nil"/>
          <w:between w:val="nil"/>
        </w:pBdr>
        <w:rPr>
          <w:rFonts w:ascii="Arial" w:eastAsia="Arial" w:hAnsi="Arial" w:cs="Arial"/>
          <w:b/>
          <w:color w:val="000000"/>
          <w:sz w:val="22"/>
          <w:szCs w:val="22"/>
        </w:rPr>
      </w:pPr>
    </w:p>
    <w:p w14:paraId="45795643" w14:textId="7257E8FF" w:rsidR="00114042" w:rsidRPr="00114042" w:rsidRDefault="00114042" w:rsidP="005F1907">
      <w:pPr>
        <w:widowControl w:val="0"/>
        <w:pBdr>
          <w:top w:val="nil"/>
          <w:left w:val="nil"/>
          <w:bottom w:val="nil"/>
          <w:right w:val="nil"/>
          <w:between w:val="nil"/>
        </w:pBdr>
        <w:rPr>
          <w:rFonts w:ascii="Arial" w:eastAsia="Arial" w:hAnsi="Arial" w:cs="Arial"/>
          <w:bCs/>
          <w:color w:val="000000"/>
          <w:sz w:val="22"/>
          <w:szCs w:val="22"/>
        </w:rPr>
      </w:pPr>
      <w:r>
        <w:rPr>
          <w:rFonts w:ascii="Arial" w:eastAsia="Arial" w:hAnsi="Arial" w:cs="Arial"/>
          <w:b/>
          <w:color w:val="000000"/>
          <w:sz w:val="22"/>
          <w:szCs w:val="22"/>
        </w:rPr>
        <w:t>C</w:t>
      </w:r>
      <w:r w:rsidRPr="00442A52">
        <w:rPr>
          <w:rFonts w:ascii="Arial" w:eastAsia="Arial" w:hAnsi="Arial" w:cs="Arial"/>
          <w:b/>
          <w:color w:val="000000"/>
          <w:sz w:val="22"/>
          <w:szCs w:val="22"/>
        </w:rPr>
        <w:t>ollection of outcomes</w:t>
      </w:r>
      <w:r>
        <w:rPr>
          <w:rFonts w:ascii="Arial" w:eastAsia="Arial" w:hAnsi="Arial" w:cs="Arial"/>
          <w:b/>
          <w:color w:val="000000"/>
          <w:sz w:val="22"/>
          <w:szCs w:val="22"/>
        </w:rPr>
        <w:t xml:space="preserve"> </w:t>
      </w:r>
      <w:r>
        <w:rPr>
          <w:rFonts w:ascii="Arial" w:eastAsia="Arial" w:hAnsi="Arial" w:cs="Arial"/>
          <w:bCs/>
          <w:color w:val="000000"/>
          <w:sz w:val="22"/>
          <w:szCs w:val="22"/>
        </w:rPr>
        <w:t>(additional details)</w:t>
      </w:r>
    </w:p>
    <w:p w14:paraId="2269971C" w14:textId="4E06E139" w:rsidR="00114042" w:rsidRDefault="00114042" w:rsidP="005F1907">
      <w:pPr>
        <w:widowControl w:val="0"/>
        <w:pBdr>
          <w:top w:val="nil"/>
          <w:left w:val="nil"/>
          <w:bottom w:val="nil"/>
          <w:right w:val="nil"/>
          <w:between w:val="nil"/>
        </w:pBdr>
        <w:rPr>
          <w:rFonts w:ascii="Arial" w:eastAsia="Arial" w:hAnsi="Arial" w:cs="Arial"/>
          <w:b/>
          <w:color w:val="000000"/>
          <w:sz w:val="22"/>
          <w:szCs w:val="22"/>
        </w:rPr>
      </w:pPr>
      <w:r w:rsidRPr="00442A52">
        <w:rPr>
          <w:rFonts w:ascii="Arial" w:eastAsia="Arial" w:hAnsi="Arial" w:cs="Arial"/>
          <w:sz w:val="22"/>
          <w:szCs w:val="22"/>
        </w:rPr>
        <w:t xml:space="preserve">The qualitative studies are </w:t>
      </w:r>
      <w:r w:rsidR="005844F9">
        <w:rPr>
          <w:rFonts w:ascii="Arial" w:eastAsia="Arial" w:hAnsi="Arial" w:cs="Arial"/>
          <w:sz w:val="22"/>
          <w:szCs w:val="22"/>
        </w:rPr>
        <w:t xml:space="preserve">conducted </w:t>
      </w:r>
      <w:r w:rsidR="005844F9" w:rsidRPr="00442A52">
        <w:rPr>
          <w:rFonts w:ascii="Arial" w:eastAsia="Arial" w:hAnsi="Arial" w:cs="Arial"/>
          <w:sz w:val="22"/>
          <w:szCs w:val="22"/>
        </w:rPr>
        <w:t>after</w:t>
      </w:r>
      <w:r w:rsidRPr="00442A52">
        <w:rPr>
          <w:rFonts w:ascii="Arial" w:eastAsia="Arial" w:hAnsi="Arial" w:cs="Arial"/>
          <w:sz w:val="22"/>
          <w:szCs w:val="22"/>
        </w:rPr>
        <w:t xml:space="preserve"> completion of all of the quantitative collection because qualitative questions have high potential for unmasking research assistants and PCPs, e.g., questions about “what did you think of PWLE participating in your training”, would only be asked in the RESHAPE arm. To promote retention and follow-up, multiple forms of contact information will be collected for patients and their caregivers. Patients will receive compensation, similar to that mentioned above, for all follow-up interviews.</w:t>
      </w:r>
    </w:p>
    <w:p w14:paraId="17F68BF5" w14:textId="77777777" w:rsidR="00114042" w:rsidRDefault="00114042" w:rsidP="005F1907">
      <w:pPr>
        <w:widowControl w:val="0"/>
        <w:pBdr>
          <w:top w:val="nil"/>
          <w:left w:val="nil"/>
          <w:bottom w:val="nil"/>
          <w:right w:val="nil"/>
          <w:between w:val="nil"/>
        </w:pBdr>
        <w:rPr>
          <w:rFonts w:ascii="Arial" w:eastAsia="Arial" w:hAnsi="Arial" w:cs="Arial"/>
          <w:b/>
          <w:color w:val="000000"/>
          <w:sz w:val="22"/>
          <w:szCs w:val="22"/>
        </w:rPr>
      </w:pPr>
    </w:p>
    <w:p w14:paraId="423FC88E" w14:textId="47D6D6AD" w:rsidR="005F1907" w:rsidRPr="00442A52" w:rsidRDefault="005F1907" w:rsidP="005F1907">
      <w:pPr>
        <w:widowControl w:val="0"/>
        <w:pBdr>
          <w:top w:val="nil"/>
          <w:left w:val="nil"/>
          <w:bottom w:val="nil"/>
          <w:right w:val="nil"/>
          <w:between w:val="nil"/>
        </w:pBdr>
        <w:rPr>
          <w:rFonts w:ascii="Arial" w:eastAsia="Arial" w:hAnsi="Arial" w:cs="Arial"/>
          <w:b/>
          <w:color w:val="000000"/>
          <w:sz w:val="22"/>
          <w:szCs w:val="22"/>
        </w:rPr>
      </w:pPr>
      <w:r w:rsidRPr="00442A52">
        <w:rPr>
          <w:rFonts w:ascii="Arial" w:eastAsia="Arial" w:hAnsi="Arial" w:cs="Arial"/>
          <w:b/>
          <w:color w:val="000000"/>
          <w:sz w:val="22"/>
          <w:szCs w:val="22"/>
        </w:rPr>
        <w:t xml:space="preserve">Criteria for discontinuing or modifying allocated interventions, adherence to interventions, concomitant care, and post-trial care </w:t>
      </w:r>
    </w:p>
    <w:p w14:paraId="23FDC90D" w14:textId="293645EB" w:rsidR="005F1907" w:rsidRPr="00442A52" w:rsidRDefault="005F1907" w:rsidP="005F1907">
      <w:pPr>
        <w:widowControl w:val="0"/>
        <w:pBdr>
          <w:top w:val="nil"/>
          <w:left w:val="nil"/>
          <w:bottom w:val="nil"/>
          <w:right w:val="nil"/>
          <w:between w:val="nil"/>
        </w:pBdr>
        <w:rPr>
          <w:rFonts w:ascii="Arial" w:eastAsia="Arial" w:hAnsi="Arial" w:cs="Arial"/>
          <w:color w:val="000000" w:themeColor="text1"/>
          <w:sz w:val="22"/>
          <w:szCs w:val="22"/>
        </w:rPr>
      </w:pPr>
      <w:r w:rsidRPr="00442A52">
        <w:rPr>
          <w:rFonts w:ascii="Arial" w:eastAsia="Arial" w:hAnsi="Arial" w:cs="Arial"/>
          <w:color w:val="000000"/>
          <w:sz w:val="22"/>
          <w:szCs w:val="22"/>
        </w:rPr>
        <w:t xml:space="preserve">Because the mhGAP-IG recommended patient treatments are the same in both arms, there are no criteria for discontinuing one arm. Given that this is an implementation trial, we will not plan formal stopping rules based on a comparison between arms and therefore we will not plan interim analyses of effectiveness. Our primary outcome is detection, not effectiveness of care, given that treatment is expected to be comparable across arms. Because we have SCID interviews at 3-months post patient-enrollment which will determine levels of missed detection or inaccurate detection, stopping rules would not add additional safety for patients. It is not feasible to conduct SCID interviews for all patients in a facility at the time of screening, which would also be a significant deviation from current standard of care. There are no additional strategies as part of the research efforts to improve adherence to mhGAP-IG recommendations. Instead, evaluating adherence will be one of the secondary implementation outcomes. </w:t>
      </w:r>
      <w:r w:rsidRPr="00442A52">
        <w:rPr>
          <w:rFonts w:ascii="Arial" w:eastAsia="Arial" w:hAnsi="Arial" w:cs="Arial"/>
          <w:sz w:val="22"/>
          <w:szCs w:val="22"/>
        </w:rPr>
        <w:t xml:space="preserve">No care provided in primary care facilities nor specialty mental health service is prohibited for this trial. Counseling and psychosocial services are permitted and will be documented. </w:t>
      </w:r>
      <w:r w:rsidRPr="00442A52">
        <w:rPr>
          <w:rFonts w:ascii="Arial" w:eastAsia="Arial" w:hAnsi="Arial" w:cs="Arial"/>
          <w:color w:val="000000" w:themeColor="text1"/>
          <w:sz w:val="22"/>
          <w:szCs w:val="22"/>
        </w:rPr>
        <w:t xml:space="preserve">Government health services will continue to be available after the trial is concluded. The DSMB will oversee any modifications or stopping of the trial. </w:t>
      </w:r>
    </w:p>
    <w:p w14:paraId="47DAB66D" w14:textId="05131225" w:rsidR="005F1907" w:rsidRDefault="005F1907" w:rsidP="005F1907">
      <w:pPr>
        <w:widowControl w:val="0"/>
        <w:pBdr>
          <w:top w:val="nil"/>
          <w:left w:val="nil"/>
          <w:bottom w:val="nil"/>
          <w:right w:val="nil"/>
          <w:between w:val="nil"/>
        </w:pBdr>
        <w:rPr>
          <w:rFonts w:ascii="Arial" w:eastAsia="Arial" w:hAnsi="Arial" w:cs="Arial"/>
          <w:b/>
          <w:color w:val="000000"/>
          <w:sz w:val="22"/>
          <w:szCs w:val="22"/>
        </w:rPr>
      </w:pPr>
    </w:p>
    <w:p w14:paraId="47ABD9C7" w14:textId="0688C95F" w:rsidR="00114042" w:rsidRDefault="00114042" w:rsidP="005F1907">
      <w:pPr>
        <w:widowControl w:val="0"/>
        <w:pBdr>
          <w:top w:val="nil"/>
          <w:left w:val="nil"/>
          <w:bottom w:val="nil"/>
          <w:right w:val="nil"/>
          <w:between w:val="nil"/>
        </w:pBdr>
        <w:rPr>
          <w:rFonts w:ascii="Arial" w:eastAsia="Arial" w:hAnsi="Arial" w:cs="Arial"/>
          <w:bCs/>
          <w:color w:val="000000"/>
          <w:sz w:val="22"/>
          <w:szCs w:val="22"/>
        </w:rPr>
      </w:pPr>
      <w:r>
        <w:rPr>
          <w:rFonts w:ascii="Arial" w:eastAsia="Arial" w:hAnsi="Arial" w:cs="Arial"/>
          <w:b/>
          <w:color w:val="000000"/>
          <w:sz w:val="22"/>
          <w:szCs w:val="22"/>
        </w:rPr>
        <w:t xml:space="preserve">Eligibility criteria </w:t>
      </w:r>
      <w:r>
        <w:rPr>
          <w:rFonts w:ascii="Arial" w:eastAsia="Arial" w:hAnsi="Arial" w:cs="Arial"/>
          <w:bCs/>
          <w:color w:val="000000"/>
          <w:sz w:val="22"/>
          <w:szCs w:val="22"/>
        </w:rPr>
        <w:t>(additional details)</w:t>
      </w:r>
    </w:p>
    <w:p w14:paraId="206ADDB8" w14:textId="77777777" w:rsidR="00114042" w:rsidRPr="00442A52" w:rsidRDefault="00114042" w:rsidP="00114042">
      <w:pPr>
        <w:ind w:right="2"/>
        <w:rPr>
          <w:rFonts w:ascii="Arial" w:eastAsia="Arial" w:hAnsi="Arial" w:cs="Arial"/>
          <w:sz w:val="22"/>
          <w:szCs w:val="22"/>
        </w:rPr>
      </w:pPr>
      <w:r w:rsidRPr="00442A52">
        <w:rPr>
          <w:rFonts w:ascii="Arial" w:eastAsia="Arial" w:hAnsi="Arial" w:cs="Arial"/>
          <w:i/>
          <w:sz w:val="22"/>
          <w:szCs w:val="22"/>
        </w:rPr>
        <w:t xml:space="preserve">Primary care providers (PCPs): </w:t>
      </w:r>
      <w:r w:rsidRPr="00442A52">
        <w:rPr>
          <w:rFonts w:ascii="Arial" w:eastAsia="Arial" w:hAnsi="Arial" w:cs="Arial"/>
          <w:sz w:val="22"/>
          <w:szCs w:val="22"/>
        </w:rPr>
        <w:t xml:space="preserve">All PCPs with prescribing privileges from the facilities included in the study will be invited to participate. They have undergone training to prescribe non-psychiatric medications in the general training. PCPs will need to have permission from their health supervisor to attend the entire duration of the training, which will be arranged for all health workers in advance of the training. To assure that health facilities </w:t>
      </w:r>
      <w:r w:rsidRPr="00442A52">
        <w:rPr>
          <w:rFonts w:ascii="Arial" w:eastAsia="Arial" w:hAnsi="Arial" w:cs="Arial"/>
          <w:sz w:val="22"/>
          <w:szCs w:val="22"/>
        </w:rPr>
        <w:lastRenderedPageBreak/>
        <w:t xml:space="preserve">do not go unstaffed, we will divide the health trainings into two batches of prescribers, grouped with other health facilities in the municipality, and nearby municipalities in the same implementation arm. </w:t>
      </w:r>
    </w:p>
    <w:p w14:paraId="3EC8B097" w14:textId="77777777" w:rsidR="00114042" w:rsidRPr="00442A52" w:rsidRDefault="00114042" w:rsidP="00114042">
      <w:pPr>
        <w:widowControl w:val="0"/>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2"/>
          <w:szCs w:val="22"/>
        </w:rPr>
      </w:pPr>
    </w:p>
    <w:p w14:paraId="48A1F18A" w14:textId="00619908" w:rsidR="00114042" w:rsidRPr="00114042" w:rsidRDefault="00114042" w:rsidP="00114042">
      <w:pPr>
        <w:widowControl w:val="0"/>
        <w:pBdr>
          <w:top w:val="nil"/>
          <w:left w:val="nil"/>
          <w:bottom w:val="nil"/>
          <w:right w:val="nil"/>
          <w:between w:val="nil"/>
        </w:pBdr>
        <w:rPr>
          <w:rFonts w:ascii="Arial" w:eastAsia="Arial" w:hAnsi="Arial" w:cs="Arial"/>
          <w:bCs/>
          <w:color w:val="000000"/>
          <w:sz w:val="22"/>
          <w:szCs w:val="22"/>
        </w:rPr>
      </w:pPr>
      <w:r w:rsidRPr="00442A52">
        <w:rPr>
          <w:rFonts w:ascii="Arial" w:eastAsia="Arial" w:hAnsi="Arial" w:cs="Arial"/>
          <w:i/>
          <w:iCs/>
          <w:sz w:val="22"/>
          <w:szCs w:val="22"/>
        </w:rPr>
        <w:t>Patients</w:t>
      </w:r>
      <w:r w:rsidRPr="00442A52">
        <w:rPr>
          <w:rFonts w:ascii="Arial" w:eastAsia="Arial" w:hAnsi="Arial" w:cs="Arial"/>
          <w:sz w:val="22"/>
          <w:szCs w:val="22"/>
        </w:rPr>
        <w:t xml:space="preserve">: Patients with non-emergency medical needs presenting to the primary care facilities will be randomly selected to participate. The inclusion age range will be 16 years or older, with no upper age limit. </w:t>
      </w:r>
      <w:r w:rsidRPr="00442A52">
        <w:rPr>
          <w:rFonts w:ascii="Arial" w:hAnsi="Arial" w:cs="Arial"/>
          <w:sz w:val="22"/>
          <w:szCs w:val="22"/>
        </w:rPr>
        <w:t>We will include participants age</w:t>
      </w:r>
      <w:r w:rsidR="00F662AA">
        <w:rPr>
          <w:rFonts w:ascii="Arial" w:hAnsi="Arial" w:cs="Arial"/>
          <w:sz w:val="22"/>
          <w:szCs w:val="22"/>
        </w:rPr>
        <w:t>d</w:t>
      </w:r>
      <w:r w:rsidRPr="00442A52">
        <w:rPr>
          <w:rFonts w:ascii="Arial" w:hAnsi="Arial" w:cs="Arial"/>
          <w:sz w:val="22"/>
          <w:szCs w:val="22"/>
        </w:rPr>
        <w:t xml:space="preserve"> 16 and 17 years, in addition to adult populations. The rationale for including this age group is that the majority of first suicide attempts among women are at this age. In rural Nepal, 90% of completed suicides among women occur before the age of 25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&lt;EndNote&gt;&lt;Cite&gt;&lt;Author&gt;Hagaman&lt;/Author&gt;&lt;Year&gt;2017&lt;/Year&gt;&lt;RecNum&gt;22615&lt;/RecNum&gt;&lt;DisplayText&gt;[10]&lt;/DisplayText&gt;&lt;record&gt;&lt;rec-number&gt;22615&lt;/rec-number&gt;&lt;foreign-keys&gt;&lt;key app="EN" db-id="ax0v2pxro500rte5pd0pvztksdwapad2rtaa" timestamp="1540143051"&gt;22615&lt;/key&gt;&lt;/foreign-keys&gt;&lt;ref-type name="Journal Article"&gt;17&lt;/ref-type&gt;&lt;contributors&gt;&lt;authors&gt;&lt;author&gt;Hagaman, Ashley K.&lt;/author&gt;&lt;author&gt;Khadka, S.&lt;/author&gt;&lt;author&gt;Lohani, S.&lt;/author&gt;&lt;author&gt;Kohrt, B.&lt;/author&gt;&lt;/authors&gt;&lt;/contributors&gt;&lt;titles&gt;&lt;title&gt;Suicide in Nepal: a modified psychological autopsy investigation from randomly selected police cases between 2013 and 2015&lt;/title&gt;&lt;secondary-title&gt;Social Psychiatry and Psychiatric Epidemiology&lt;/secondary-title&gt;&lt;/titles&gt;&lt;pages&gt;1483-1494&lt;/pages&gt;&lt;volume&gt;52&lt;/volume&gt;&lt;number&gt;12&lt;/number&gt;&lt;dates&gt;&lt;year&gt;2017&lt;/year&gt;&lt;pub-dates&gt;&lt;date&gt;December 01&lt;/date&gt;&lt;/pub-dates&gt;&lt;/dates&gt;&lt;isbn&gt;1433-9285&lt;/isbn&gt;&lt;label&gt;Hagaman2017&lt;/label&gt;&lt;work-type&gt;journal article&lt;/work-type&gt;&lt;urls&gt;&lt;related-urls&gt;&lt;url&gt;https://doi.org/10.1007/s00127-017-1433-6&lt;/url&gt;&lt;/related-urls&gt;&lt;/urls&gt;&lt;electronic-resource-num&gt;10.1007/s00127-017-1433-6&lt;/electronic-resource-num&gt;&lt;/record&gt;&lt;/Cite&gt;&lt;/EndNote&gt;</w:instrText>
      </w:r>
      <w:r w:rsidRPr="00442A52">
        <w:rPr>
          <w:rFonts w:ascii="Arial" w:hAnsi="Arial" w:cs="Arial"/>
          <w:sz w:val="22"/>
          <w:szCs w:val="22"/>
        </w:rPr>
        <w:fldChar w:fldCharType="separate"/>
      </w:r>
      <w:r w:rsidR="008F3B85">
        <w:rPr>
          <w:rFonts w:ascii="Arial" w:hAnsi="Arial" w:cs="Arial"/>
          <w:noProof/>
          <w:sz w:val="22"/>
          <w:szCs w:val="22"/>
        </w:rPr>
        <w:t>[10]</w:t>
      </w:r>
      <w:r w:rsidRPr="00442A52">
        <w:rPr>
          <w:rFonts w:ascii="Arial" w:hAnsi="Arial" w:cs="Arial"/>
          <w:sz w:val="22"/>
          <w:szCs w:val="22"/>
        </w:rPr>
        <w:fldChar w:fldCharType="end"/>
      </w:r>
      <w:r w:rsidRPr="00442A52">
        <w:rPr>
          <w:rFonts w:ascii="Arial" w:hAnsi="Arial" w:cs="Arial"/>
          <w:sz w:val="22"/>
          <w:szCs w:val="22"/>
        </w:rPr>
        <w:t xml:space="preserve">, and the majority of first attempts are in the mid to late teens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&lt;EndNote&gt;&lt;Cite&gt;&lt;Author&gt;Kohrt&lt;/Author&gt;&lt;Year&gt;2015&lt;/Year&gt;&lt;RecNum&gt;19548&lt;/RecNum&gt;&lt;DisplayText&gt;[11]&lt;/DisplayText&gt;&lt;record&gt;&lt;rec-number&gt;19548&lt;/rec-number&gt;&lt;foreign-keys&gt;&lt;key app="EN" db-id="ax0v2pxro500rte5pd0pvztksdwapad2rtaa" timestamp="1438897563"&gt;19548&lt;/key&gt;&lt;/foreign-keys&gt;&lt;ref-type name="Journal Article"&gt;17&lt;/ref-type&gt;&lt;contributors&gt;&lt;authors&gt;&lt;author&gt;Kohrt, Brandon A.&lt;/author&gt;&lt;author&gt;Worthman, Carol M.&lt;/author&gt;&lt;author&gt;Ressler, Kerry J.&lt;/author&gt;&lt;author&gt;Mercer, Kristina B.&lt;/author&gt;&lt;author&gt;Upadhaya, Nawaraj&lt;/author&gt;&lt;author&gt;Koirala, Suraj&lt;/author&gt;&lt;author&gt;Nepal, Mahendra K.&lt;/author&gt;&lt;author&gt;Sharma, Vidya Dev&lt;/author&gt;&lt;author&gt;Binder, Elisabeth B.&lt;/author&gt;&lt;/authors&gt;&lt;/contributors&gt;&lt;titles&gt;&lt;title&gt;Cross-cultural gene−environment interactions in depression, post-traumatic stress disorder, and the cortisol awakening response: FKBP5 polymorphisms and childhood trauma in South Asia&lt;/title&gt;&lt;secondary-title&gt;International Review of Psychiatry&lt;/secondary-title&gt;&lt;/titles&gt;&lt;periodical&gt;&lt;full-title&gt;International Review of Psychiatry&lt;/full-title&gt;&lt;/periodical&gt;&lt;pages&gt;180-196&lt;/pages&gt;&lt;volume&gt;27&lt;/volume&gt;&lt;number&gt;3&lt;/number&gt;&lt;dates&gt;&lt;year&gt;2015&lt;/year&gt;&lt;pub-dates&gt;&lt;date&gt;2015/05/04&lt;/date&gt;&lt;/pub-dates&gt;&lt;/dates&gt;&lt;publisher&gt;Taylor &amp;amp; Francis&lt;/publisher&gt;&lt;isbn&gt;0954-0261&lt;/isbn&gt;&lt;urls&gt;&lt;related-urls&gt;&lt;url&gt;http://www.tandfonline.com/doi/abs/10.3109/09540261.2015.1020052&lt;/url&gt;&lt;/related-urls&gt;&lt;/urls&gt;&lt;electronic-resource-num&gt;10.3109/09540261.2015.1020052&lt;/electronic-resource-num&gt;&lt;access-date&gt;2015/08/06&lt;/access-date&gt;&lt;/record&gt;&lt;/Cite&gt;&lt;/EndNote&gt;</w:instrText>
      </w:r>
      <w:r w:rsidRPr="00442A52">
        <w:rPr>
          <w:rFonts w:ascii="Arial" w:hAnsi="Arial" w:cs="Arial"/>
          <w:sz w:val="22"/>
          <w:szCs w:val="22"/>
        </w:rPr>
        <w:fldChar w:fldCharType="separate"/>
      </w:r>
      <w:r w:rsidR="008F3B85">
        <w:rPr>
          <w:rFonts w:ascii="Arial" w:hAnsi="Arial" w:cs="Arial"/>
          <w:noProof/>
          <w:sz w:val="22"/>
          <w:szCs w:val="22"/>
        </w:rPr>
        <w:t>[11]</w:t>
      </w:r>
      <w:r w:rsidRPr="00442A52">
        <w:rPr>
          <w:rFonts w:ascii="Arial" w:hAnsi="Arial" w:cs="Arial"/>
          <w:sz w:val="22"/>
          <w:szCs w:val="22"/>
        </w:rPr>
        <w:fldChar w:fldCharType="end"/>
      </w:r>
      <w:r w:rsidRPr="00442A52">
        <w:rPr>
          <w:rFonts w:ascii="Arial" w:hAnsi="Arial" w:cs="Arial"/>
          <w:sz w:val="22"/>
          <w:szCs w:val="22"/>
        </w:rPr>
        <w:t xml:space="preserve">.  If the study only included ages 18 and above, the opportunity would be missed to determine if health workers were accurately identifying youth at risk of suicide and making diagnostic and treatment recommendations when appropriate. Within the Nepal mhGAP, there are modules for suicidality/self-harm and child and adolescent mental health needs. Therefore, this is within the scope of the PCPs’ training and the supervision they will receive. </w:t>
      </w:r>
      <w:r w:rsidR="006949B2">
        <w:rPr>
          <w:rFonts w:ascii="Arial" w:hAnsi="Arial" w:cs="Arial"/>
          <w:sz w:val="22"/>
          <w:szCs w:val="22"/>
        </w:rPr>
        <w:t>In</w:t>
      </w:r>
      <w:r w:rsidRPr="00442A52">
        <w:rPr>
          <w:rFonts w:ascii="Arial" w:hAnsi="Arial" w:cs="Arial"/>
          <w:sz w:val="22"/>
          <w:szCs w:val="22"/>
        </w:rPr>
        <w:t xml:space="preserve"> rural areas, such as where this study is being conducted, 16- and 17-year-old youth often assume adult roles and have expectations as adults in the community. The proposed tools have previously been used in 16- and 17-year-old participants and we can therefore collect the same outcome measures. The treatment regimen will also be comparable for this age group.</w:t>
      </w:r>
    </w:p>
    <w:p w14:paraId="5942DDC9" w14:textId="77777777" w:rsidR="00114042" w:rsidRDefault="00114042" w:rsidP="005F1907">
      <w:pPr>
        <w:widowControl w:val="0"/>
        <w:pBdr>
          <w:top w:val="nil"/>
          <w:left w:val="nil"/>
          <w:bottom w:val="nil"/>
          <w:right w:val="nil"/>
          <w:between w:val="nil"/>
        </w:pBdr>
        <w:rPr>
          <w:rFonts w:ascii="Arial" w:eastAsia="Arial" w:hAnsi="Arial" w:cs="Arial"/>
          <w:b/>
          <w:color w:val="000000"/>
          <w:sz w:val="22"/>
          <w:szCs w:val="22"/>
        </w:rPr>
      </w:pPr>
    </w:p>
    <w:p w14:paraId="4C32C80C" w14:textId="77777777" w:rsidR="00AE3BC8" w:rsidRPr="00442A52" w:rsidRDefault="00AE3BC8" w:rsidP="00AE3BC8">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sz w:val="22"/>
          <w:szCs w:val="22"/>
        </w:rPr>
      </w:pPr>
      <w:r w:rsidRPr="00442A52">
        <w:rPr>
          <w:rFonts w:ascii="Arial" w:eastAsia="Arial" w:hAnsi="Arial" w:cs="Arial"/>
          <w:b/>
          <w:sz w:val="22"/>
          <w:szCs w:val="22"/>
        </w:rPr>
        <w:t>Description of consent/assent procedures</w:t>
      </w:r>
    </w:p>
    <w:p w14:paraId="5646E34C" w14:textId="77777777" w:rsidR="00C27617" w:rsidRDefault="00AE3BC8" w:rsidP="00AE3BC8">
      <w:pPr>
        <w:rPr>
          <w:rFonts w:ascii="Arial" w:eastAsia="Arial" w:hAnsi="Arial" w:cs="Arial"/>
          <w:sz w:val="22"/>
          <w:szCs w:val="22"/>
        </w:rPr>
      </w:pPr>
      <w:r w:rsidRPr="00442A52">
        <w:rPr>
          <w:rFonts w:ascii="Arial" w:eastAsia="Arial" w:hAnsi="Arial" w:cs="Arial"/>
          <w:color w:val="000000"/>
          <w:sz w:val="22"/>
          <w:szCs w:val="22"/>
        </w:rPr>
        <w:t>I</w:t>
      </w:r>
      <w:r w:rsidRPr="00442A52">
        <w:rPr>
          <w:rFonts w:ascii="Arial" w:eastAsia="Arial" w:hAnsi="Arial" w:cs="Arial"/>
          <w:sz w:val="22"/>
          <w:szCs w:val="22"/>
        </w:rPr>
        <w:t xml:space="preserve">nformed consent will be obtained from all participants prior to inclusion into the study. Informed consent forms will be written to be easily understood by lay persons, enabling them to understand the aims, procedures and potential risks of participation. </w:t>
      </w:r>
      <w:r w:rsidRPr="00442A52">
        <w:rPr>
          <w:rFonts w:ascii="Arial" w:eastAsia="Arial" w:hAnsi="Arial" w:cs="Arial"/>
          <w:color w:val="000000"/>
          <w:sz w:val="22"/>
          <w:szCs w:val="22"/>
        </w:rPr>
        <w:t>A</w:t>
      </w:r>
      <w:r w:rsidRPr="00442A52">
        <w:rPr>
          <w:rFonts w:ascii="Arial" w:eastAsia="Arial" w:hAnsi="Arial" w:cs="Arial"/>
          <w:sz w:val="22"/>
          <w:szCs w:val="22"/>
        </w:rPr>
        <w:t>ll consent processes will be conducted by trained research personnel fluent in the relevant local languages. All PCPs in selected health facilities will be recruited for the trainings. They will be recruited based on the randomization of their health clusters into the training as usual versus training plus anti-stigma component. We will obtain written consent from the PCPs for the evaluations when they come for the training. Because of legal requirements in Nepal, for patients who are 16 or 17 years of age, we will seek assent together with signed caregiver permission from one parent or another legal guardian.</w:t>
      </w:r>
    </w:p>
    <w:p w14:paraId="7C3C5151" w14:textId="77777777" w:rsidR="00C27617" w:rsidRDefault="00C27617" w:rsidP="00AE3BC8">
      <w:pPr>
        <w:rPr>
          <w:rFonts w:ascii="Arial" w:eastAsia="Arial" w:hAnsi="Arial" w:cs="Arial"/>
          <w:sz w:val="22"/>
          <w:szCs w:val="22"/>
        </w:rPr>
      </w:pPr>
    </w:p>
    <w:p w14:paraId="31088C22" w14:textId="77777777" w:rsidR="00C27617" w:rsidRPr="00EC7EA3" w:rsidRDefault="00C27617" w:rsidP="00C27617">
      <w:pPr>
        <w:rPr>
          <w:rFonts w:ascii="Arial" w:eastAsia="Arial" w:hAnsi="Arial" w:cs="Arial"/>
          <w:sz w:val="22"/>
          <w:szCs w:val="22"/>
        </w:rPr>
      </w:pPr>
      <w:r w:rsidRPr="00442A52">
        <w:rPr>
          <w:rFonts w:ascii="Arial" w:eastAsia="Arial" w:hAnsi="Arial" w:cs="Arial"/>
          <w:sz w:val="22"/>
          <w:szCs w:val="22"/>
        </w:rPr>
        <w:t xml:space="preserve">It is anticipated that all patients will be able to speak Nepali and will complete the research interview with the research assistants, i.e., interviewer administered. If patients are unable to speak Nepali, research assistants (who are hired from the local communities) will document when an interview is conducted in a different language. Patients meeting criteria for the mental illnesses in the mhGAP list who are unable to demonstrate verbal comprehension (e.g., secondary to a psychotic condition, selective mutism, or other psychiatric reason) will have their caregiver be given the opportunity to consent for participation. Caregivers will only consent for patients if they are their legal guardian. Patients needing acute psychiatric services (e.g., presenting with suicide attempts, alcohol withdrawal, psychosis/mania that cannot be managed in a community setting) will be referred for immediate evaluation by a mental health professional. A protocol will be developed for people in crisis. Because these patients will typically be followed-up at the primary care center after hospitalization, they can be recruited at a later time if eligible. There will be a protocol for researchers and patients in case of mental health deterioration. </w:t>
      </w:r>
    </w:p>
    <w:p w14:paraId="247DD89E" w14:textId="77777777" w:rsidR="00AE3BC8" w:rsidRPr="00442A52" w:rsidRDefault="00AE3BC8" w:rsidP="00AE3BC8">
      <w:pPr>
        <w:widowControl w:val="0"/>
        <w:pBdr>
          <w:top w:val="nil"/>
          <w:left w:val="nil"/>
          <w:bottom w:val="nil"/>
          <w:right w:val="nil"/>
          <w:between w:val="nil"/>
        </w:pBdr>
        <w:rPr>
          <w:rFonts w:ascii="Arial" w:eastAsia="Arial" w:hAnsi="Arial" w:cs="Arial"/>
          <w:color w:val="000000"/>
          <w:sz w:val="22"/>
          <w:szCs w:val="22"/>
        </w:rPr>
      </w:pPr>
    </w:p>
    <w:p w14:paraId="0AEBE46B" w14:textId="77777777" w:rsidR="00AE3BC8" w:rsidRPr="00442A52" w:rsidRDefault="00AE3BC8" w:rsidP="00AE3BC8">
      <w:pPr>
        <w:widowControl w:val="0"/>
        <w:pBdr>
          <w:top w:val="nil"/>
          <w:left w:val="nil"/>
          <w:bottom w:val="nil"/>
          <w:right w:val="nil"/>
          <w:between w:val="nil"/>
        </w:pBdr>
        <w:rPr>
          <w:rFonts w:ascii="Arial" w:eastAsia="Arial" w:hAnsi="Arial" w:cs="Arial"/>
          <w:b/>
          <w:color w:val="000000"/>
          <w:sz w:val="22"/>
          <w:szCs w:val="22"/>
        </w:rPr>
      </w:pPr>
      <w:r w:rsidRPr="00442A52">
        <w:rPr>
          <w:rFonts w:ascii="Arial" w:eastAsia="Arial" w:hAnsi="Arial" w:cs="Arial"/>
          <w:b/>
          <w:color w:val="000000"/>
          <w:sz w:val="22"/>
          <w:szCs w:val="22"/>
        </w:rPr>
        <w:t>Confidentiality</w:t>
      </w:r>
    </w:p>
    <w:p w14:paraId="16A68722" w14:textId="07CF92D5" w:rsidR="00AE3BC8" w:rsidRPr="00442A52" w:rsidRDefault="00AE3BC8" w:rsidP="00AE3BC8">
      <w:pPr>
        <w:rPr>
          <w:rFonts w:ascii="Arial" w:eastAsia="Arial" w:hAnsi="Arial" w:cs="Arial"/>
          <w:sz w:val="22"/>
          <w:szCs w:val="22"/>
        </w:rPr>
      </w:pPr>
      <w:r w:rsidRPr="00442A52">
        <w:rPr>
          <w:rFonts w:ascii="Arial" w:eastAsia="Arial" w:hAnsi="Arial" w:cs="Arial"/>
          <w:sz w:val="22"/>
          <w:szCs w:val="22"/>
        </w:rPr>
        <w:t>Disclosure of medical or other personal information, particularly related to mental health, may pose personal or social risks, especially within com</w:t>
      </w:r>
      <w:r w:rsidRPr="0042482F">
        <w:rPr>
          <w:rFonts w:ascii="Arial" w:eastAsia="Arial" w:hAnsi="Arial" w:cs="Arial"/>
          <w:sz w:val="22"/>
          <w:szCs w:val="22"/>
        </w:rPr>
        <w:t>munity and family settings. The following precautions will promote the privacy of participants and maintain confidentiality of research data: (1) All study staff will be well trained and will receive ongoing supervision</w:t>
      </w:r>
      <w:r w:rsidR="003F4A4B" w:rsidRPr="0042482F">
        <w:rPr>
          <w:rFonts w:ascii="Arial" w:eastAsia="Arial" w:hAnsi="Arial" w:cs="Arial"/>
          <w:sz w:val="22"/>
          <w:szCs w:val="22"/>
        </w:rPr>
        <w:t xml:space="preserve"> by</w:t>
      </w:r>
      <w:r w:rsidR="0042482F" w:rsidRPr="0042482F">
        <w:rPr>
          <w:rFonts w:ascii="Arial" w:eastAsia="Arial" w:hAnsi="Arial" w:cs="Arial"/>
          <w:sz w:val="22"/>
          <w:szCs w:val="22"/>
        </w:rPr>
        <w:t xml:space="preserve"> research coordinators </w:t>
      </w:r>
      <w:r w:rsidRPr="0042482F">
        <w:rPr>
          <w:rFonts w:ascii="Arial" w:eastAsia="Arial" w:hAnsi="Arial" w:cs="Arial"/>
          <w:sz w:val="22"/>
          <w:szCs w:val="22"/>
        </w:rPr>
        <w:t>in confidentiality and data security procedures, specifically in ethical conduct, confidentiality protection</w:t>
      </w:r>
      <w:r w:rsidRPr="00442A52">
        <w:rPr>
          <w:rFonts w:ascii="Arial" w:eastAsia="Arial" w:hAnsi="Arial" w:cs="Arial"/>
          <w:sz w:val="22"/>
          <w:szCs w:val="22"/>
        </w:rPr>
        <w:t xml:space="preserve">, mandated reporting, and other topics of human participant protection. In addition, the importance of confidentiality will be emphasized with clinical staff (other than PCPs) who may have knowledge about patients’ eligibility or participation in the study. (2) As part of the consent procedure, participants will be informed of the limits of confidentiality (harm to self or others) and mandated reporting requirements. (3) Privacy will be maintained by conducting all interviews, discussions, study assessments, and intervention sessions in closed and private clinic rooms, or </w:t>
      </w:r>
      <w:r w:rsidR="006949B2">
        <w:rPr>
          <w:rFonts w:ascii="Arial" w:eastAsia="Arial" w:hAnsi="Arial" w:cs="Arial"/>
          <w:sz w:val="22"/>
          <w:szCs w:val="22"/>
        </w:rPr>
        <w:t>at</w:t>
      </w:r>
      <w:r w:rsidRPr="00442A52">
        <w:rPr>
          <w:rFonts w:ascii="Arial" w:eastAsia="Arial" w:hAnsi="Arial" w:cs="Arial"/>
          <w:sz w:val="22"/>
          <w:szCs w:val="22"/>
        </w:rPr>
        <w:t xml:space="preserve"> TPO Nepal offices or </w:t>
      </w:r>
      <w:r w:rsidR="006949B2">
        <w:rPr>
          <w:rFonts w:ascii="Arial" w:eastAsia="Arial" w:hAnsi="Arial" w:cs="Arial"/>
          <w:sz w:val="22"/>
          <w:szCs w:val="22"/>
        </w:rPr>
        <w:t xml:space="preserve">at </w:t>
      </w:r>
      <w:r w:rsidRPr="00442A52">
        <w:rPr>
          <w:rFonts w:ascii="Arial" w:eastAsia="Arial" w:hAnsi="Arial" w:cs="Arial"/>
          <w:sz w:val="22"/>
          <w:szCs w:val="22"/>
        </w:rPr>
        <w:t>home, based on client’s discretion and need. (4) Each participant will be assigned a unique study ID number</w:t>
      </w:r>
      <w:r w:rsidR="0042482F">
        <w:rPr>
          <w:rFonts w:ascii="Arial" w:eastAsia="Arial" w:hAnsi="Arial" w:cs="Arial"/>
          <w:sz w:val="22"/>
          <w:szCs w:val="22"/>
        </w:rPr>
        <w:t xml:space="preserve">; </w:t>
      </w:r>
      <w:r w:rsidR="0042482F" w:rsidRPr="0042482F">
        <w:rPr>
          <w:rFonts w:ascii="Arial" w:eastAsia="Arial" w:hAnsi="Arial" w:cs="Arial"/>
          <w:sz w:val="22"/>
          <w:szCs w:val="22"/>
        </w:rPr>
        <w:t>direct identifiers will be excluded from the analytic data files before analysis</w:t>
      </w:r>
      <w:r w:rsidRPr="00442A52">
        <w:rPr>
          <w:rFonts w:ascii="Arial" w:eastAsia="Arial" w:hAnsi="Arial" w:cs="Arial"/>
          <w:sz w:val="22"/>
          <w:szCs w:val="22"/>
        </w:rPr>
        <w:t xml:space="preserve">. </w:t>
      </w:r>
      <w:r w:rsidR="00172549">
        <w:rPr>
          <w:rFonts w:ascii="Arial" w:eastAsia="Arial" w:hAnsi="Arial" w:cs="Arial"/>
          <w:sz w:val="22"/>
          <w:szCs w:val="22"/>
        </w:rPr>
        <w:t xml:space="preserve">(5) </w:t>
      </w:r>
      <w:r w:rsidRPr="00442A52">
        <w:rPr>
          <w:rFonts w:ascii="Arial" w:eastAsia="Arial" w:hAnsi="Arial" w:cs="Arial"/>
          <w:sz w:val="22"/>
          <w:szCs w:val="22"/>
        </w:rPr>
        <w:t xml:space="preserve">For minors participating in the study (16-17-year-olds), the minors and their consenting guardians will be informed during the consent procedure that information provided by the minor to the study team is confidential and will not be shared </w:t>
      </w:r>
      <w:r w:rsidRPr="00442A52">
        <w:rPr>
          <w:rFonts w:ascii="Arial" w:eastAsia="Arial" w:hAnsi="Arial" w:cs="Arial"/>
          <w:sz w:val="22"/>
          <w:szCs w:val="22"/>
        </w:rPr>
        <w:lastRenderedPageBreak/>
        <w:t xml:space="preserve">outside the study team. The exceptions to this include imminent risk of harm to self or others, acute medical needs requiring treatment, and violation of national laws related to child protection. </w:t>
      </w:r>
    </w:p>
    <w:p w14:paraId="42BD4D5D" w14:textId="08CF74EF" w:rsidR="005F1907" w:rsidRDefault="005F1907" w:rsidP="005F1907">
      <w:pPr>
        <w:widowControl w:val="0"/>
        <w:pBdr>
          <w:top w:val="nil"/>
          <w:left w:val="nil"/>
          <w:bottom w:val="nil"/>
          <w:right w:val="nil"/>
          <w:between w:val="nil"/>
        </w:pBdr>
        <w:rPr>
          <w:rFonts w:ascii="Arial" w:eastAsia="Arial" w:hAnsi="Arial" w:cs="Arial"/>
          <w:b/>
          <w:color w:val="000000"/>
          <w:sz w:val="22"/>
          <w:szCs w:val="22"/>
        </w:rPr>
      </w:pPr>
    </w:p>
    <w:p w14:paraId="28861E82" w14:textId="77777777" w:rsidR="00C27617" w:rsidRPr="00442A52" w:rsidRDefault="00C27617" w:rsidP="00C27617">
      <w:pPr>
        <w:widowControl w:val="0"/>
        <w:pBdr>
          <w:top w:val="nil"/>
          <w:left w:val="nil"/>
          <w:bottom w:val="nil"/>
          <w:right w:val="nil"/>
          <w:between w:val="nil"/>
        </w:pBdr>
        <w:rPr>
          <w:rFonts w:ascii="Arial" w:eastAsia="Arial" w:hAnsi="Arial" w:cs="Arial"/>
          <w:b/>
          <w:color w:val="000000"/>
          <w:sz w:val="22"/>
          <w:szCs w:val="22"/>
        </w:rPr>
      </w:pPr>
      <w:r w:rsidRPr="00442A52">
        <w:rPr>
          <w:rFonts w:ascii="Arial" w:eastAsia="Arial" w:hAnsi="Arial" w:cs="Arial"/>
          <w:b/>
          <w:color w:val="000000"/>
          <w:sz w:val="22"/>
          <w:szCs w:val="22"/>
        </w:rPr>
        <w:t>Oversight and monitoring: Data and Safety Monitoring Board (DSMB), reporting of adverse events, auditing trial conduct, and reporting modifications</w:t>
      </w:r>
    </w:p>
    <w:p w14:paraId="3C4D1DFE" w14:textId="77777777" w:rsidR="00C27617" w:rsidRPr="00442A52" w:rsidRDefault="00C27617" w:rsidP="00C27617">
      <w:pPr>
        <w:rPr>
          <w:rFonts w:ascii="Arial" w:eastAsia="Arial" w:hAnsi="Arial" w:cs="Arial"/>
          <w:sz w:val="22"/>
          <w:szCs w:val="22"/>
        </w:rPr>
      </w:pPr>
      <w:r w:rsidRPr="00442A52">
        <w:rPr>
          <w:rFonts w:ascii="Arial" w:eastAsia="Arial" w:hAnsi="Arial" w:cs="Arial"/>
          <w:sz w:val="22"/>
          <w:szCs w:val="22"/>
        </w:rPr>
        <w:t xml:space="preserve">The DSMB, which is comprised of experts in cRCTs, Nepal mental health, and global mental trials, will meet on a twice-yearly basis after initiation of data collection. The DSMB will be responsible for monitoring recruitment progress, adverse events, serious adverse events, deaths related to study participation, and protocol violations. Although the study does not contain </w:t>
      </w:r>
      <w:r w:rsidRPr="00442A52">
        <w:rPr>
          <w:rFonts w:ascii="Arial" w:eastAsia="Arial" w:hAnsi="Arial" w:cs="Arial"/>
          <w:i/>
          <w:iCs/>
          <w:sz w:val="22"/>
          <w:szCs w:val="22"/>
        </w:rPr>
        <w:t>a priori</w:t>
      </w:r>
      <w:r w:rsidRPr="00442A52">
        <w:rPr>
          <w:rFonts w:ascii="Arial" w:eastAsia="Arial" w:hAnsi="Arial" w:cs="Arial"/>
          <w:sz w:val="22"/>
          <w:szCs w:val="22"/>
        </w:rPr>
        <w:t xml:space="preserve"> stopping rules, the DSMB can review progress after each of the first two (of three) waves to recommend any modifications needed to study procedures to optimize safety of participants. During research assistants’ interactions with participants, patients will be referred for any emergency psychiatric needs that have not been addressed by the PCP, with a specific procedure for acute suicidality. </w:t>
      </w:r>
    </w:p>
    <w:p w14:paraId="75847F06" w14:textId="77777777" w:rsidR="00C27617" w:rsidRPr="00442A52" w:rsidRDefault="00C27617" w:rsidP="00C27617">
      <w:pPr>
        <w:shd w:val="clear" w:color="auto" w:fill="FFFFFF"/>
        <w:rPr>
          <w:rFonts w:ascii="Arial" w:eastAsia="Arial" w:hAnsi="Arial" w:cs="Arial"/>
          <w:color w:val="000000"/>
          <w:sz w:val="22"/>
          <w:szCs w:val="22"/>
        </w:rPr>
      </w:pPr>
    </w:p>
    <w:p w14:paraId="19C5A2E8" w14:textId="12FFD194" w:rsidR="00C27617" w:rsidRDefault="00C27617" w:rsidP="00C27617">
      <w:pPr>
        <w:widowControl w:val="0"/>
        <w:pBdr>
          <w:top w:val="nil"/>
          <w:left w:val="nil"/>
          <w:bottom w:val="nil"/>
          <w:right w:val="nil"/>
          <w:between w:val="nil"/>
        </w:pBdr>
        <w:rPr>
          <w:rFonts w:ascii="Arial" w:eastAsia="Arial" w:hAnsi="Arial" w:cs="Arial"/>
          <w:color w:val="000000"/>
          <w:sz w:val="22"/>
          <w:szCs w:val="22"/>
        </w:rPr>
      </w:pPr>
      <w:r w:rsidRPr="00442A52">
        <w:rPr>
          <w:rFonts w:ascii="Arial" w:eastAsia="Arial" w:hAnsi="Arial" w:cs="Arial"/>
          <w:color w:val="000000"/>
          <w:sz w:val="22"/>
          <w:szCs w:val="22"/>
        </w:rPr>
        <w:t>Data auditing procedures, via sampling from the quantitative and qualitative data collected, will be undertaken to assure the viability and integrity of the data prior to analysis. Research log books will be completed by all research workers to establish full details of the collection of original primary data sources. A</w:t>
      </w:r>
      <w:r w:rsidRPr="00442A52">
        <w:rPr>
          <w:rFonts w:ascii="Arial" w:eastAsia="Arial" w:hAnsi="Arial" w:cs="Arial"/>
          <w:sz w:val="22"/>
          <w:szCs w:val="22"/>
        </w:rPr>
        <w:t xml:space="preserve">ll interviews will be conducted by trained research personnel fluent in Nepali. Regular site audits will be completed by the Nepal Health Research Council. </w:t>
      </w:r>
      <w:r w:rsidRPr="00442A52">
        <w:rPr>
          <w:rFonts w:ascii="Arial" w:eastAsia="Arial" w:hAnsi="Arial" w:cs="Arial"/>
          <w:color w:val="000000"/>
          <w:sz w:val="22"/>
          <w:szCs w:val="22"/>
        </w:rPr>
        <w:t>Protocol amendments will be made in ClinicalTrials.gov, and modifications will be reported to George Washington University institutional review board and the Nepal Health Research Council.</w:t>
      </w:r>
    </w:p>
    <w:p w14:paraId="19EE157A" w14:textId="5DBAA8DC" w:rsidR="00756AB9" w:rsidRDefault="00756AB9" w:rsidP="00C27617">
      <w:pPr>
        <w:widowControl w:val="0"/>
        <w:pBdr>
          <w:top w:val="nil"/>
          <w:left w:val="nil"/>
          <w:bottom w:val="nil"/>
          <w:right w:val="nil"/>
          <w:between w:val="nil"/>
        </w:pBdr>
        <w:rPr>
          <w:rFonts w:ascii="Arial" w:eastAsia="Arial" w:hAnsi="Arial" w:cs="Arial"/>
          <w:color w:val="000000"/>
          <w:sz w:val="22"/>
          <w:szCs w:val="22"/>
        </w:rPr>
      </w:pPr>
    </w:p>
    <w:p w14:paraId="0598DD72" w14:textId="77777777" w:rsidR="00756AB9" w:rsidRDefault="00756AB9" w:rsidP="00756AB9">
      <w:pPr>
        <w:rPr>
          <w:rFonts w:ascii="Arial" w:eastAsia="Arial" w:hAnsi="Arial" w:cs="Arial"/>
          <w:color w:val="000000" w:themeColor="text1"/>
          <w:sz w:val="22"/>
          <w:szCs w:val="22"/>
        </w:rPr>
      </w:pPr>
      <w:r w:rsidRPr="00114042">
        <w:rPr>
          <w:rFonts w:ascii="Arial" w:eastAsia="Arial" w:hAnsi="Arial" w:cs="Arial"/>
          <w:b/>
          <w:bCs/>
          <w:color w:val="000000" w:themeColor="text1"/>
          <w:sz w:val="22"/>
          <w:szCs w:val="22"/>
        </w:rPr>
        <w:t>Sample size</w:t>
      </w:r>
      <w:r>
        <w:rPr>
          <w:rFonts w:ascii="Arial" w:eastAsia="Arial" w:hAnsi="Arial" w:cs="Arial"/>
          <w:color w:val="000000" w:themeColor="text1"/>
          <w:sz w:val="22"/>
          <w:szCs w:val="22"/>
        </w:rPr>
        <w:t xml:space="preserve"> (additional details)</w:t>
      </w:r>
    </w:p>
    <w:p w14:paraId="2B4117EA" w14:textId="45DE0309" w:rsidR="005D195A" w:rsidRDefault="00756AB9" w:rsidP="005D195A">
      <w:pPr>
        <w:rPr>
          <w:rFonts w:ascii="Arial" w:eastAsia="Arial" w:hAnsi="Arial" w:cs="Arial"/>
          <w:color w:val="000000" w:themeColor="text1"/>
          <w:sz w:val="22"/>
          <w:szCs w:val="22"/>
        </w:rPr>
      </w:pPr>
      <w:r w:rsidRPr="00442A52">
        <w:rPr>
          <w:rFonts w:ascii="Arial" w:eastAsia="Arial" w:hAnsi="Arial" w:cs="Arial"/>
          <w:color w:val="000000" w:themeColor="text1"/>
          <w:sz w:val="22"/>
          <w:szCs w:val="22"/>
        </w:rPr>
        <w:t>For Objective 1</w:t>
      </w:r>
      <w:r w:rsidR="00B25BE4">
        <w:rPr>
          <w:rFonts w:ascii="Arial" w:eastAsia="Arial" w:hAnsi="Arial" w:cs="Arial"/>
          <w:color w:val="000000" w:themeColor="text1"/>
          <w:sz w:val="22"/>
          <w:szCs w:val="22"/>
        </w:rPr>
        <w:t xml:space="preserve"> comparing 6-month post-training PCP stigma (measured using the social distance scale [SDS])</w:t>
      </w:r>
      <w:r w:rsidRPr="00442A52">
        <w:rPr>
          <w:rFonts w:ascii="Arial" w:eastAsia="Arial" w:hAnsi="Arial" w:cs="Arial"/>
          <w:color w:val="000000" w:themeColor="text1"/>
          <w:sz w:val="22"/>
          <w:szCs w:val="22"/>
        </w:rPr>
        <w:t xml:space="preserve">, </w:t>
      </w:r>
      <w:r w:rsidR="006D736B">
        <w:rPr>
          <w:rFonts w:ascii="Arial" w:eastAsia="Arial" w:hAnsi="Arial" w:cs="Arial"/>
          <w:color w:val="000000" w:themeColor="text1"/>
          <w:sz w:val="22"/>
          <w:szCs w:val="22"/>
        </w:rPr>
        <w:t>if 3 PCPs per health facility</w:t>
      </w:r>
      <w:r w:rsidR="00B25BE4">
        <w:rPr>
          <w:rFonts w:ascii="Arial" w:eastAsia="Arial" w:hAnsi="Arial" w:cs="Arial"/>
          <w:color w:val="000000" w:themeColor="text1"/>
          <w:sz w:val="22"/>
          <w:szCs w:val="22"/>
        </w:rPr>
        <w:t xml:space="preserve"> (HF)</w:t>
      </w:r>
      <w:r w:rsidR="006D736B">
        <w:rPr>
          <w:rFonts w:ascii="Arial" w:eastAsia="Arial" w:hAnsi="Arial" w:cs="Arial"/>
          <w:color w:val="000000" w:themeColor="text1"/>
          <w:sz w:val="22"/>
          <w:szCs w:val="22"/>
        </w:rPr>
        <w:t xml:space="preserve"> </w:t>
      </w:r>
      <w:r w:rsidR="00B25BE4">
        <w:rPr>
          <w:rFonts w:ascii="Arial" w:eastAsia="Arial" w:hAnsi="Arial" w:cs="Arial"/>
          <w:color w:val="000000" w:themeColor="text1"/>
          <w:sz w:val="22"/>
          <w:szCs w:val="22"/>
        </w:rPr>
        <w:t xml:space="preserve">are followed-up </w:t>
      </w:r>
      <w:r w:rsidR="006D736B" w:rsidRPr="00442A52">
        <w:rPr>
          <w:rFonts w:ascii="Arial" w:eastAsia="Arial" w:hAnsi="Arial" w:cs="Arial"/>
          <w:color w:val="000000" w:themeColor="text1"/>
          <w:sz w:val="22"/>
          <w:szCs w:val="22"/>
        </w:rPr>
        <w:t xml:space="preserve">at 6-months </w:t>
      </w:r>
      <w:r w:rsidR="006D736B">
        <w:rPr>
          <w:rFonts w:ascii="Arial" w:eastAsia="Arial" w:hAnsi="Arial" w:cs="Arial"/>
          <w:color w:val="000000" w:themeColor="text1"/>
          <w:sz w:val="22"/>
          <w:szCs w:val="22"/>
        </w:rPr>
        <w:t xml:space="preserve">we </w:t>
      </w:r>
      <w:r w:rsidR="00661F69">
        <w:rPr>
          <w:rFonts w:ascii="Arial" w:eastAsia="Arial" w:hAnsi="Arial" w:cs="Arial"/>
          <w:color w:val="000000" w:themeColor="text1"/>
          <w:sz w:val="22"/>
          <w:szCs w:val="22"/>
        </w:rPr>
        <w:t>estimated</w:t>
      </w:r>
      <w:r w:rsidR="006D736B">
        <w:rPr>
          <w:rFonts w:ascii="Arial" w:eastAsia="Arial" w:hAnsi="Arial" w:cs="Arial"/>
          <w:color w:val="000000" w:themeColor="text1"/>
          <w:sz w:val="22"/>
          <w:szCs w:val="22"/>
        </w:rPr>
        <w:t xml:space="preserve"> 80% </w:t>
      </w:r>
      <w:r w:rsidRPr="00442A52">
        <w:rPr>
          <w:rFonts w:ascii="Arial" w:eastAsia="Arial" w:hAnsi="Arial" w:cs="Arial"/>
          <w:color w:val="000000" w:themeColor="text1"/>
          <w:sz w:val="22"/>
          <w:szCs w:val="22"/>
        </w:rPr>
        <w:t>power to detect a standardized effect size of 0.</w:t>
      </w:r>
      <w:r w:rsidR="00B25BE4">
        <w:rPr>
          <w:rFonts w:ascii="Arial" w:eastAsia="Arial" w:hAnsi="Arial" w:cs="Arial"/>
          <w:color w:val="000000" w:themeColor="text1"/>
          <w:sz w:val="22"/>
          <w:szCs w:val="22"/>
        </w:rPr>
        <w:t>42</w:t>
      </w:r>
      <w:r w:rsidRPr="00442A52">
        <w:rPr>
          <w:rFonts w:ascii="Arial" w:eastAsia="Arial" w:hAnsi="Arial" w:cs="Arial"/>
          <w:color w:val="000000" w:themeColor="text1"/>
          <w:sz w:val="22"/>
          <w:szCs w:val="22"/>
        </w:rPr>
        <w:t xml:space="preserve"> for the</w:t>
      </w:r>
      <w:r w:rsidR="00C2230E">
        <w:rPr>
          <w:rFonts w:ascii="Arial" w:eastAsia="Arial" w:hAnsi="Arial" w:cs="Arial"/>
          <w:color w:val="000000" w:themeColor="text1"/>
          <w:sz w:val="22"/>
          <w:szCs w:val="22"/>
        </w:rPr>
        <w:t xml:space="preserve"> comparison of the</w:t>
      </w:r>
      <w:r w:rsidRPr="00442A52">
        <w:rPr>
          <w:rFonts w:ascii="Arial" w:eastAsia="Arial" w:hAnsi="Arial" w:cs="Arial"/>
          <w:color w:val="000000" w:themeColor="text1"/>
          <w:sz w:val="22"/>
          <w:szCs w:val="22"/>
        </w:rPr>
        <w:t xml:space="preserve"> RESHAPE </w:t>
      </w:r>
      <w:r w:rsidR="00C2230E">
        <w:rPr>
          <w:rFonts w:ascii="Arial" w:eastAsia="Arial" w:hAnsi="Arial" w:cs="Arial"/>
          <w:color w:val="000000" w:themeColor="text1"/>
          <w:sz w:val="22"/>
          <w:szCs w:val="22"/>
        </w:rPr>
        <w:t xml:space="preserve">implementation strategy </w:t>
      </w:r>
      <w:r w:rsidRPr="00442A52">
        <w:rPr>
          <w:rFonts w:ascii="Arial" w:eastAsia="Arial" w:hAnsi="Arial" w:cs="Arial"/>
          <w:color w:val="000000" w:themeColor="text1"/>
          <w:sz w:val="22"/>
          <w:szCs w:val="22"/>
        </w:rPr>
        <w:t>vs. IAU</w:t>
      </w:r>
      <w:r w:rsidR="00B25BE4">
        <w:rPr>
          <w:rFonts w:ascii="Arial" w:eastAsia="Arial" w:hAnsi="Arial" w:cs="Arial"/>
          <w:color w:val="000000" w:themeColor="text1"/>
          <w:sz w:val="22"/>
          <w:szCs w:val="22"/>
        </w:rPr>
        <w:t>, or a standardized effect size of 0.51 if only 2 PCPs/HF provide data</w:t>
      </w:r>
      <w:r w:rsidRPr="00442A52">
        <w:rPr>
          <w:rFonts w:ascii="Arial" w:eastAsia="Arial" w:hAnsi="Arial" w:cs="Arial"/>
          <w:color w:val="000000" w:themeColor="text1"/>
          <w:sz w:val="22"/>
          <w:szCs w:val="22"/>
        </w:rPr>
        <w:t xml:space="preserve">.  This was based on the following assumptions: </w:t>
      </w:r>
      <w:r w:rsidR="00A361FC">
        <w:rPr>
          <w:rFonts w:ascii="Arial" w:eastAsia="Arial" w:hAnsi="Arial" w:cs="Arial"/>
          <w:color w:val="000000" w:themeColor="text1"/>
          <w:sz w:val="22"/>
          <w:szCs w:val="22"/>
        </w:rPr>
        <w:t xml:space="preserve">24 municipalities </w:t>
      </w:r>
      <w:r w:rsidR="00F6715C">
        <w:rPr>
          <w:rFonts w:ascii="Arial" w:eastAsia="Arial" w:hAnsi="Arial" w:cs="Arial"/>
          <w:color w:val="000000" w:themeColor="text1"/>
          <w:sz w:val="22"/>
          <w:szCs w:val="22"/>
        </w:rPr>
        <w:t>(</w:t>
      </w:r>
      <w:r w:rsidR="00A361FC">
        <w:rPr>
          <w:rFonts w:ascii="Arial" w:eastAsia="Arial" w:hAnsi="Arial" w:cs="Arial"/>
          <w:color w:val="000000" w:themeColor="text1"/>
          <w:sz w:val="22"/>
          <w:szCs w:val="22"/>
        </w:rPr>
        <w:t>12 per arm</w:t>
      </w:r>
      <w:r w:rsidR="00F6715C">
        <w:rPr>
          <w:rFonts w:ascii="Arial" w:eastAsia="Arial" w:hAnsi="Arial" w:cs="Arial"/>
          <w:color w:val="000000" w:themeColor="text1"/>
          <w:sz w:val="22"/>
          <w:szCs w:val="22"/>
        </w:rPr>
        <w:t>)</w:t>
      </w:r>
      <w:r w:rsidR="00A361FC">
        <w:rPr>
          <w:rFonts w:ascii="Arial" w:eastAsia="Arial" w:hAnsi="Arial" w:cs="Arial"/>
          <w:color w:val="000000" w:themeColor="text1"/>
          <w:sz w:val="22"/>
          <w:szCs w:val="22"/>
        </w:rPr>
        <w:t xml:space="preserve">, 3 health facilities per municipality and </w:t>
      </w:r>
      <w:r w:rsidR="001F66B7">
        <w:rPr>
          <w:rFonts w:ascii="Arial" w:eastAsia="Arial" w:hAnsi="Arial" w:cs="Arial"/>
          <w:color w:val="000000" w:themeColor="text1"/>
          <w:sz w:val="22"/>
          <w:szCs w:val="22"/>
        </w:rPr>
        <w:t>3</w:t>
      </w:r>
      <w:r w:rsidR="00B25BE4" w:rsidRPr="00442A52">
        <w:rPr>
          <w:rFonts w:ascii="Arial" w:eastAsia="Arial" w:hAnsi="Arial" w:cs="Arial"/>
          <w:color w:val="000000" w:themeColor="text1"/>
          <w:sz w:val="22"/>
          <w:szCs w:val="22"/>
        </w:rPr>
        <w:t xml:space="preserve"> </w:t>
      </w:r>
      <w:r w:rsidRPr="00442A52">
        <w:rPr>
          <w:rFonts w:ascii="Arial" w:eastAsia="Arial" w:hAnsi="Arial" w:cs="Arial"/>
          <w:color w:val="000000" w:themeColor="text1"/>
          <w:sz w:val="22"/>
          <w:szCs w:val="22"/>
        </w:rPr>
        <w:t xml:space="preserve">PCPs per health facility </w:t>
      </w:r>
      <w:r w:rsidR="00B25BE4">
        <w:rPr>
          <w:rFonts w:ascii="Arial" w:eastAsia="Arial" w:hAnsi="Arial" w:cs="Arial"/>
          <w:color w:val="000000" w:themeColor="text1"/>
          <w:sz w:val="22"/>
          <w:szCs w:val="22"/>
        </w:rPr>
        <w:t>enrolled in the study;</w:t>
      </w:r>
      <w:r w:rsidRPr="00442A52">
        <w:rPr>
          <w:rFonts w:ascii="Arial" w:eastAsia="Arial" w:hAnsi="Arial" w:cs="Arial"/>
          <w:color w:val="000000" w:themeColor="text1"/>
          <w:sz w:val="22"/>
          <w:szCs w:val="22"/>
        </w:rPr>
        <w:t xml:space="preserve"> pairwise correlation of SDS </w:t>
      </w:r>
      <w:r w:rsidR="00B56E37">
        <w:rPr>
          <w:rFonts w:ascii="Arial" w:eastAsia="Arial" w:hAnsi="Arial" w:cs="Arial"/>
          <w:color w:val="000000" w:themeColor="text1"/>
          <w:sz w:val="22"/>
          <w:szCs w:val="22"/>
        </w:rPr>
        <w:t>of</w:t>
      </w:r>
      <w:r w:rsidRPr="00442A52">
        <w:rPr>
          <w:rFonts w:ascii="Arial" w:eastAsia="Arial" w:hAnsi="Arial" w:cs="Arial"/>
          <w:color w:val="000000" w:themeColor="text1"/>
          <w:sz w:val="22"/>
          <w:szCs w:val="22"/>
        </w:rPr>
        <w:t xml:space="preserve"> 0.0</w:t>
      </w:r>
      <w:r w:rsidR="00DE68B5">
        <w:rPr>
          <w:rFonts w:ascii="Arial" w:eastAsia="Arial" w:hAnsi="Arial" w:cs="Arial"/>
          <w:color w:val="000000" w:themeColor="text1"/>
          <w:sz w:val="22"/>
          <w:szCs w:val="22"/>
        </w:rPr>
        <w:t>2</w:t>
      </w:r>
      <w:r w:rsidRPr="00442A52">
        <w:rPr>
          <w:rFonts w:ascii="Arial" w:eastAsia="Arial" w:hAnsi="Arial" w:cs="Arial"/>
          <w:color w:val="000000" w:themeColor="text1"/>
          <w:sz w:val="22"/>
          <w:szCs w:val="22"/>
        </w:rPr>
        <w:t xml:space="preserve"> and 0.0</w:t>
      </w:r>
      <w:r w:rsidR="00DE68B5">
        <w:rPr>
          <w:rFonts w:ascii="Arial" w:eastAsia="Arial" w:hAnsi="Arial" w:cs="Arial"/>
          <w:color w:val="000000" w:themeColor="text1"/>
          <w:sz w:val="22"/>
          <w:szCs w:val="22"/>
        </w:rPr>
        <w:t>1</w:t>
      </w:r>
      <w:r w:rsidRPr="00442A52">
        <w:rPr>
          <w:rFonts w:ascii="Arial" w:eastAsia="Arial" w:hAnsi="Arial" w:cs="Arial"/>
          <w:color w:val="000000" w:themeColor="text1"/>
          <w:sz w:val="22"/>
          <w:szCs w:val="22"/>
        </w:rPr>
        <w:t xml:space="preserve"> for pairs of PCPs in the same health facility and for pairs of PCPs in different health facilities but within the same municipality, respectively, </w:t>
      </w:r>
      <w:r w:rsidR="00B56E37">
        <w:rPr>
          <w:rFonts w:ascii="Arial" w:eastAsia="Arial" w:hAnsi="Arial" w:cs="Arial"/>
          <w:color w:val="000000" w:themeColor="text1"/>
          <w:sz w:val="22"/>
          <w:szCs w:val="22"/>
        </w:rPr>
        <w:t>which</w:t>
      </w:r>
      <w:r w:rsidRPr="00442A52">
        <w:rPr>
          <w:rFonts w:ascii="Arial" w:eastAsia="Arial" w:hAnsi="Arial" w:cs="Arial"/>
          <w:color w:val="000000" w:themeColor="text1"/>
          <w:sz w:val="22"/>
          <w:szCs w:val="22"/>
        </w:rPr>
        <w:t xml:space="preserve"> are assumed the same in both implementation arms. </w:t>
      </w:r>
      <w:r w:rsidR="00DE68B5">
        <w:rPr>
          <w:rFonts w:ascii="Arial" w:eastAsia="Arial" w:hAnsi="Arial" w:cs="Arial"/>
          <w:color w:val="000000" w:themeColor="text1"/>
          <w:sz w:val="22"/>
          <w:szCs w:val="22"/>
        </w:rPr>
        <w:t xml:space="preserve">This calculation was performed at the 5% significance level using </w:t>
      </w:r>
      <w:r w:rsidR="005D195A">
        <w:rPr>
          <w:rFonts w:ascii="Arial" w:eastAsia="Arial" w:hAnsi="Arial" w:cs="Arial"/>
          <w:color w:val="000000" w:themeColor="text1"/>
          <w:sz w:val="22"/>
          <w:szCs w:val="22"/>
        </w:rPr>
        <w:t>equation (4) of Wang et al</w:t>
      </w:r>
      <w:r w:rsidR="005B5A19">
        <w:rPr>
          <w:rFonts w:ascii="Arial" w:eastAsia="Arial" w:hAnsi="Arial" w:cs="Arial"/>
          <w:color w:val="000000" w:themeColor="text1"/>
          <w:sz w:val="22"/>
          <w:szCs w:val="22"/>
        </w:rPr>
        <w:t>. [13]</w:t>
      </w:r>
      <w:r w:rsidR="005D195A">
        <w:rPr>
          <w:rFonts w:ascii="Arial" w:eastAsia="Arial" w:hAnsi="Arial" w:cs="Arial"/>
          <w:color w:val="000000" w:themeColor="text1"/>
          <w:sz w:val="22"/>
          <w:szCs w:val="22"/>
        </w:rPr>
        <w:t xml:space="preserve"> with variance </w:t>
      </w:r>
      <w:r w:rsidR="0074181A">
        <w:rPr>
          <w:rFonts w:ascii="Arial" w:eastAsia="Arial" w:hAnsi="Arial" w:cs="Arial"/>
          <w:color w:val="000000" w:themeColor="text1"/>
          <w:sz w:val="22"/>
          <w:szCs w:val="22"/>
        </w:rPr>
        <w:t xml:space="preserve">of the </w:t>
      </w:r>
      <w:r w:rsidR="00505B2B">
        <w:rPr>
          <w:rFonts w:ascii="Arial" w:eastAsia="Arial" w:hAnsi="Arial" w:cs="Arial"/>
          <w:color w:val="000000" w:themeColor="text1"/>
          <w:sz w:val="22"/>
          <w:szCs w:val="22"/>
        </w:rPr>
        <w:t>RESHAPE effect (</w:t>
      </w:r>
      <m:oMath>
        <m:sSubSup>
          <m:sSubSupPr>
            <m:ctrlPr>
              <w:rPr>
                <w:rFonts w:ascii="Cambria Math" w:eastAsia="Arial" w:hAnsi="Cambria Math" w:cs="Arial"/>
                <w:i/>
                <w:color w:val="000000" w:themeColor="text1"/>
                <w:sz w:val="22"/>
                <w:szCs w:val="22"/>
              </w:rPr>
            </m:ctrlPr>
          </m:sSubSupPr>
          <m:e>
            <m:r>
              <w:rPr>
                <w:rFonts w:ascii="Cambria Math" w:eastAsia="Arial" w:hAnsi="Cambria Math" w:cs="Arial"/>
                <w:color w:val="000000" w:themeColor="text1"/>
                <w:sz w:val="22"/>
                <w:szCs w:val="22"/>
              </w:rPr>
              <m:t>σ</m:t>
            </m:r>
          </m:e>
          <m:sub>
            <m:r>
              <w:rPr>
                <w:rFonts w:ascii="Cambria Math" w:eastAsia="Arial" w:hAnsi="Cambria Math" w:cs="Arial"/>
                <w:color w:val="000000" w:themeColor="text1"/>
                <w:sz w:val="22"/>
                <w:szCs w:val="22"/>
              </w:rPr>
              <m:t>β</m:t>
            </m:r>
          </m:sub>
          <m:sup>
            <m:r>
              <w:rPr>
                <w:rFonts w:ascii="Cambria Math" w:eastAsia="Arial" w:hAnsi="Cambria Math" w:cs="Arial"/>
                <w:color w:val="000000" w:themeColor="text1"/>
                <w:sz w:val="22"/>
                <w:szCs w:val="22"/>
              </w:rPr>
              <m:t>2</m:t>
            </m:r>
          </m:sup>
        </m:sSubSup>
      </m:oMath>
      <w:r w:rsidR="00505B2B">
        <w:rPr>
          <w:rFonts w:ascii="Arial" w:eastAsia="Arial" w:hAnsi="Arial" w:cs="Arial"/>
          <w:color w:val="000000" w:themeColor="text1"/>
          <w:sz w:val="22"/>
          <w:szCs w:val="22"/>
        </w:rPr>
        <w:t xml:space="preserve">) estimated </w:t>
      </w:r>
      <w:r w:rsidR="005D195A">
        <w:rPr>
          <w:rFonts w:ascii="Arial" w:eastAsia="Arial" w:hAnsi="Arial" w:cs="Arial"/>
          <w:color w:val="000000" w:themeColor="text1"/>
          <w:sz w:val="22"/>
          <w:szCs w:val="22"/>
        </w:rPr>
        <w:t xml:space="preserve">using the term </w:t>
      </w:r>
      <w:r w:rsidR="00836265">
        <w:rPr>
          <w:rFonts w:ascii="Arial" w:eastAsia="Arial" w:hAnsi="Arial" w:cs="Arial"/>
          <w:color w:val="000000" w:themeColor="text1"/>
          <w:sz w:val="22"/>
          <w:szCs w:val="22"/>
        </w:rPr>
        <w:t>to the right of the “x” symbol in</w:t>
      </w:r>
      <w:r w:rsidR="005D195A">
        <w:rPr>
          <w:rFonts w:ascii="Arial" w:eastAsia="Arial" w:hAnsi="Arial" w:cs="Arial"/>
          <w:color w:val="000000" w:themeColor="text1"/>
          <w:sz w:val="22"/>
          <w:szCs w:val="22"/>
        </w:rPr>
        <w:t xml:space="preserve"> equation (8) of Wang et al. </w:t>
      </w:r>
      <w:r w:rsidR="005B5A19">
        <w:rPr>
          <w:rFonts w:ascii="Arial" w:eastAsia="Arial" w:hAnsi="Arial" w:cs="Arial"/>
          <w:color w:val="000000" w:themeColor="text1"/>
          <w:sz w:val="22"/>
          <w:szCs w:val="22"/>
        </w:rPr>
        <w:t>[13]</w:t>
      </w:r>
      <w:r w:rsidR="005D195A">
        <w:rPr>
          <w:rFonts w:ascii="Arial" w:eastAsia="Arial" w:hAnsi="Arial" w:cs="Arial"/>
          <w:color w:val="000000" w:themeColor="text1"/>
          <w:sz w:val="22"/>
          <w:szCs w:val="22"/>
        </w:rPr>
        <w:t>.</w:t>
      </w:r>
      <w:r w:rsidR="000F7B74">
        <w:rPr>
          <w:rFonts w:ascii="Arial" w:eastAsia="Arial" w:hAnsi="Arial" w:cs="Arial"/>
          <w:color w:val="000000" w:themeColor="text1"/>
          <w:sz w:val="22"/>
          <w:szCs w:val="22"/>
        </w:rPr>
        <w:t xml:space="preserve"> In practice, we anticipate that there will be, on average, 2.4 PCPs/HF followed-up at 6-months post-training so that we would be able to detect effect sizes somewhere between 0.42-0.51 with 80% power. </w:t>
      </w:r>
      <w:r w:rsidR="00BD1EA3">
        <w:rPr>
          <w:rFonts w:ascii="Arial" w:eastAsia="Arial" w:hAnsi="Arial" w:cs="Arial"/>
          <w:color w:val="000000" w:themeColor="text1"/>
          <w:sz w:val="22"/>
          <w:szCs w:val="22"/>
        </w:rPr>
        <w:t>Standardized</w:t>
      </w:r>
      <w:r w:rsidR="005E3C2C">
        <w:rPr>
          <w:rFonts w:ascii="Arial" w:eastAsia="Arial" w:hAnsi="Arial" w:cs="Arial"/>
          <w:color w:val="000000" w:themeColor="text1"/>
          <w:sz w:val="22"/>
          <w:szCs w:val="22"/>
        </w:rPr>
        <w:t xml:space="preserve"> </w:t>
      </w:r>
      <w:r w:rsidR="00BD1EA3">
        <w:rPr>
          <w:rFonts w:ascii="Arial" w:eastAsia="Arial" w:hAnsi="Arial" w:cs="Arial"/>
          <w:color w:val="000000" w:themeColor="text1"/>
          <w:sz w:val="22"/>
          <w:szCs w:val="22"/>
        </w:rPr>
        <w:t>effect sizes of 0.49 for 3 PCPs/HF and 0.59 for 2 PCPs/HF would be detectable with 90% power if all other assumptions hold.</w:t>
      </w:r>
    </w:p>
    <w:p w14:paraId="7B59A6D1" w14:textId="77777777" w:rsidR="00DE68B5" w:rsidRDefault="00DE68B5" w:rsidP="00756AB9">
      <w:pPr>
        <w:rPr>
          <w:rFonts w:ascii="Arial" w:eastAsia="Arial" w:hAnsi="Arial" w:cs="Arial"/>
          <w:color w:val="000000" w:themeColor="text1"/>
          <w:sz w:val="22"/>
          <w:szCs w:val="22"/>
        </w:rPr>
      </w:pPr>
    </w:p>
    <w:p w14:paraId="79B8B5EA" w14:textId="55407494" w:rsidR="00836265" w:rsidRDefault="00756AB9" w:rsidP="00836265">
      <w:pPr>
        <w:rPr>
          <w:rFonts w:ascii="Arial" w:eastAsia="Arial" w:hAnsi="Arial" w:cs="Arial"/>
          <w:color w:val="000000" w:themeColor="text1"/>
          <w:sz w:val="22"/>
          <w:szCs w:val="22"/>
        </w:rPr>
      </w:pPr>
      <w:r w:rsidRPr="00442A52">
        <w:rPr>
          <w:rFonts w:ascii="Arial" w:eastAsia="Arial" w:hAnsi="Arial" w:cs="Arial"/>
          <w:color w:val="000000" w:themeColor="text1"/>
          <w:sz w:val="22"/>
          <w:szCs w:val="22"/>
        </w:rPr>
        <w:t>For Objective 2, we estimated 9</w:t>
      </w:r>
      <w:r w:rsidR="00A96FC8">
        <w:rPr>
          <w:rFonts w:ascii="Arial" w:eastAsia="Arial" w:hAnsi="Arial" w:cs="Arial"/>
          <w:color w:val="000000" w:themeColor="text1"/>
          <w:sz w:val="22"/>
          <w:szCs w:val="22"/>
        </w:rPr>
        <w:t>7</w:t>
      </w:r>
      <w:r w:rsidRPr="00442A52">
        <w:rPr>
          <w:rFonts w:ascii="Arial" w:eastAsia="Arial" w:hAnsi="Arial" w:cs="Arial"/>
          <w:color w:val="000000" w:themeColor="text1"/>
          <w:sz w:val="22"/>
          <w:szCs w:val="22"/>
        </w:rPr>
        <w:t xml:space="preserve">% power to detect a ratio of 1.40 comparing the proportion of </w:t>
      </w:r>
      <w:r w:rsidR="007A13A2">
        <w:rPr>
          <w:rFonts w:ascii="Arial" w:eastAsia="Arial" w:hAnsi="Arial" w:cs="Arial"/>
          <w:color w:val="000000" w:themeColor="text1"/>
          <w:sz w:val="22"/>
          <w:szCs w:val="22"/>
        </w:rPr>
        <w:t xml:space="preserve">PCP </w:t>
      </w:r>
      <w:r w:rsidRPr="00442A52">
        <w:rPr>
          <w:rFonts w:ascii="Arial" w:eastAsia="Arial" w:hAnsi="Arial" w:cs="Arial"/>
          <w:color w:val="000000" w:themeColor="text1"/>
          <w:sz w:val="22"/>
          <w:szCs w:val="22"/>
        </w:rPr>
        <w:t>diagnoses</w:t>
      </w:r>
      <w:r w:rsidR="004A2C59">
        <w:rPr>
          <w:rFonts w:ascii="Arial" w:eastAsia="Arial" w:hAnsi="Arial" w:cs="Arial"/>
          <w:color w:val="000000" w:themeColor="text1"/>
          <w:sz w:val="22"/>
          <w:szCs w:val="22"/>
        </w:rPr>
        <w:t xml:space="preserve"> </w:t>
      </w:r>
      <w:r w:rsidR="007A13A2">
        <w:rPr>
          <w:rFonts w:ascii="Arial" w:eastAsia="Arial" w:hAnsi="Arial" w:cs="Arial"/>
          <w:color w:val="000000" w:themeColor="text1"/>
          <w:sz w:val="22"/>
          <w:szCs w:val="22"/>
        </w:rPr>
        <w:t xml:space="preserve">that </w:t>
      </w:r>
      <w:r w:rsidR="00C64D9B">
        <w:rPr>
          <w:rFonts w:ascii="Arial" w:eastAsia="Arial" w:hAnsi="Arial" w:cs="Arial"/>
          <w:color w:val="000000" w:themeColor="text1"/>
          <w:sz w:val="22"/>
          <w:szCs w:val="22"/>
        </w:rPr>
        <w:t xml:space="preserve">are </w:t>
      </w:r>
      <w:r w:rsidR="007A13A2">
        <w:rPr>
          <w:rFonts w:ascii="Arial" w:eastAsia="Arial" w:hAnsi="Arial" w:cs="Arial"/>
          <w:color w:val="000000" w:themeColor="text1"/>
          <w:sz w:val="22"/>
          <w:szCs w:val="22"/>
        </w:rPr>
        <w:t xml:space="preserve">accurate (as determined </w:t>
      </w:r>
      <w:r w:rsidR="004A2C59">
        <w:rPr>
          <w:rFonts w:ascii="Arial" w:eastAsia="Arial" w:hAnsi="Arial" w:cs="Arial"/>
          <w:color w:val="000000" w:themeColor="text1"/>
          <w:sz w:val="22"/>
          <w:szCs w:val="22"/>
        </w:rPr>
        <w:t>by psychiatrist evaluation using SCID</w:t>
      </w:r>
      <w:r w:rsidRPr="00442A52">
        <w:rPr>
          <w:rFonts w:ascii="Arial" w:eastAsia="Arial" w:hAnsi="Arial" w:cs="Arial"/>
          <w:color w:val="000000" w:themeColor="text1"/>
          <w:sz w:val="22"/>
          <w:szCs w:val="22"/>
        </w:rPr>
        <w:t xml:space="preserve"> at 3-months</w:t>
      </w:r>
      <w:r w:rsidR="007A13A2">
        <w:rPr>
          <w:rFonts w:ascii="Arial" w:eastAsia="Arial" w:hAnsi="Arial" w:cs="Arial"/>
          <w:color w:val="000000" w:themeColor="text1"/>
          <w:sz w:val="22"/>
          <w:szCs w:val="22"/>
        </w:rPr>
        <w:t>)</w:t>
      </w:r>
      <w:r w:rsidRPr="00442A52">
        <w:rPr>
          <w:rFonts w:ascii="Arial" w:eastAsia="Arial" w:hAnsi="Arial" w:cs="Arial"/>
          <w:color w:val="000000" w:themeColor="text1"/>
          <w:sz w:val="22"/>
          <w:szCs w:val="22"/>
        </w:rPr>
        <w:t xml:space="preserve"> in RESHAPE vs. IAU arms</w:t>
      </w:r>
      <w:r w:rsidR="007A13A2">
        <w:rPr>
          <w:rFonts w:ascii="Arial" w:eastAsia="Arial" w:hAnsi="Arial" w:cs="Arial"/>
          <w:color w:val="000000" w:themeColor="text1"/>
          <w:sz w:val="22"/>
          <w:szCs w:val="22"/>
        </w:rPr>
        <w:t xml:space="preserve">. This ratio is based on </w:t>
      </w:r>
      <w:r w:rsidR="00C665ED">
        <w:rPr>
          <w:rFonts w:ascii="Arial" w:eastAsia="Arial" w:hAnsi="Arial" w:cs="Arial"/>
          <w:color w:val="000000" w:themeColor="text1"/>
          <w:sz w:val="22"/>
          <w:szCs w:val="22"/>
        </w:rPr>
        <w:t xml:space="preserve">comparing </w:t>
      </w:r>
      <w:r w:rsidR="00C665ED" w:rsidRPr="00442A52">
        <w:rPr>
          <w:rFonts w:ascii="Arial" w:eastAsia="Arial" w:hAnsi="Arial" w:cs="Arial"/>
          <w:color w:val="000000" w:themeColor="text1"/>
          <w:sz w:val="22"/>
          <w:szCs w:val="22"/>
        </w:rPr>
        <w:t>69.9</w:t>
      </w:r>
      <w:r w:rsidRPr="00442A52">
        <w:rPr>
          <w:rFonts w:ascii="Arial" w:eastAsia="Arial" w:hAnsi="Arial" w:cs="Arial"/>
          <w:color w:val="000000" w:themeColor="text1"/>
          <w:sz w:val="22"/>
          <w:szCs w:val="22"/>
        </w:rPr>
        <w:t xml:space="preserve">% </w:t>
      </w:r>
      <w:r w:rsidR="007A13A2">
        <w:rPr>
          <w:rFonts w:ascii="Arial" w:eastAsia="Arial" w:hAnsi="Arial" w:cs="Arial"/>
          <w:color w:val="000000" w:themeColor="text1"/>
          <w:sz w:val="22"/>
          <w:szCs w:val="22"/>
        </w:rPr>
        <w:t>accurate diagnoses in RESHAPE to</w:t>
      </w:r>
      <w:r w:rsidRPr="00442A52">
        <w:rPr>
          <w:rFonts w:ascii="Arial" w:eastAsia="Arial" w:hAnsi="Arial" w:cs="Arial"/>
          <w:color w:val="000000" w:themeColor="text1"/>
          <w:sz w:val="22"/>
          <w:szCs w:val="22"/>
        </w:rPr>
        <w:t xml:space="preserve"> 50.1%</w:t>
      </w:r>
      <w:r w:rsidR="007A13A2">
        <w:rPr>
          <w:rFonts w:ascii="Arial" w:eastAsia="Arial" w:hAnsi="Arial" w:cs="Arial"/>
          <w:color w:val="000000" w:themeColor="text1"/>
          <w:sz w:val="22"/>
          <w:szCs w:val="22"/>
        </w:rPr>
        <w:t xml:space="preserve"> accurate diagnoses</w:t>
      </w:r>
      <w:r w:rsidRPr="00442A52">
        <w:rPr>
          <w:rFonts w:ascii="Arial" w:eastAsia="Arial" w:hAnsi="Arial" w:cs="Arial"/>
          <w:color w:val="000000" w:themeColor="text1"/>
          <w:sz w:val="22"/>
          <w:szCs w:val="22"/>
        </w:rPr>
        <w:t xml:space="preserve"> </w:t>
      </w:r>
      <w:r w:rsidR="007A13A2">
        <w:rPr>
          <w:rFonts w:ascii="Arial" w:eastAsia="Arial" w:hAnsi="Arial" w:cs="Arial"/>
          <w:color w:val="000000" w:themeColor="text1"/>
          <w:sz w:val="22"/>
          <w:szCs w:val="22"/>
        </w:rPr>
        <w:t>in IAU</w:t>
      </w:r>
      <w:r w:rsidR="008B601D">
        <w:rPr>
          <w:rFonts w:ascii="Arial" w:eastAsia="Arial" w:hAnsi="Arial" w:cs="Arial"/>
          <w:color w:val="000000" w:themeColor="text1"/>
          <w:sz w:val="22"/>
          <w:szCs w:val="22"/>
        </w:rPr>
        <w:t>. S</w:t>
      </w:r>
      <w:r w:rsidR="007A13A2">
        <w:rPr>
          <w:rFonts w:ascii="Arial" w:eastAsia="Arial" w:hAnsi="Arial" w:cs="Arial"/>
          <w:color w:val="000000" w:themeColor="text1"/>
          <w:sz w:val="22"/>
          <w:szCs w:val="22"/>
        </w:rPr>
        <w:t>ee Figure S3</w:t>
      </w:r>
      <w:r w:rsidR="00366047">
        <w:rPr>
          <w:rFonts w:ascii="Arial" w:eastAsia="Arial" w:hAnsi="Arial" w:cs="Arial"/>
          <w:color w:val="000000" w:themeColor="text1"/>
          <w:sz w:val="22"/>
          <w:szCs w:val="22"/>
        </w:rPr>
        <w:t xml:space="preserve"> for derivation of these proportions, including </w:t>
      </w:r>
      <w:r w:rsidR="00366047" w:rsidRPr="00442A52">
        <w:rPr>
          <w:rFonts w:ascii="Arial" w:eastAsia="Arial" w:hAnsi="Arial" w:cs="Arial"/>
          <w:color w:val="000000" w:themeColor="text1"/>
          <w:sz w:val="22"/>
          <w:szCs w:val="22"/>
        </w:rPr>
        <w:t>key assumptions including the proportion screened positive (i.e., diagnosed positive by PCP</w:t>
      </w:r>
      <w:r w:rsidR="00366047">
        <w:rPr>
          <w:rFonts w:ascii="Arial" w:eastAsia="Arial" w:hAnsi="Arial" w:cs="Arial"/>
          <w:color w:val="000000" w:themeColor="text1"/>
          <w:sz w:val="22"/>
          <w:szCs w:val="22"/>
        </w:rPr>
        <w:t>)</w:t>
      </w:r>
      <w:r w:rsidR="008B601D">
        <w:rPr>
          <w:rFonts w:ascii="Arial" w:eastAsia="Arial" w:hAnsi="Arial" w:cs="Arial"/>
          <w:color w:val="000000" w:themeColor="text1"/>
          <w:sz w:val="22"/>
          <w:szCs w:val="22"/>
        </w:rPr>
        <w:t xml:space="preserve">, where we note that the assumed proportions diagnosed positive by PCP </w:t>
      </w:r>
      <w:r w:rsidR="00C64D9B">
        <w:rPr>
          <w:rFonts w:ascii="Arial" w:eastAsia="Arial" w:hAnsi="Arial" w:cs="Arial"/>
          <w:color w:val="000000" w:themeColor="text1"/>
          <w:sz w:val="22"/>
          <w:szCs w:val="22"/>
        </w:rPr>
        <w:t xml:space="preserve">are small based on pilot data and conservative assumptions </w:t>
      </w:r>
      <w:r w:rsidR="008B601D">
        <w:rPr>
          <w:rFonts w:ascii="Arial" w:eastAsia="Arial" w:hAnsi="Arial" w:cs="Arial"/>
          <w:color w:val="000000" w:themeColor="text1"/>
          <w:sz w:val="22"/>
          <w:szCs w:val="22"/>
        </w:rPr>
        <w:t>(</w:t>
      </w:r>
      <w:r w:rsidR="009461DE">
        <w:rPr>
          <w:rFonts w:ascii="Arial" w:eastAsia="Arial" w:hAnsi="Arial" w:cs="Arial"/>
          <w:color w:val="000000" w:themeColor="text1"/>
          <w:sz w:val="22"/>
          <w:szCs w:val="22"/>
        </w:rPr>
        <w:t xml:space="preserve">only 2% in IAU </w:t>
      </w:r>
      <w:r w:rsidR="000926D7">
        <w:rPr>
          <w:rFonts w:ascii="Arial" w:eastAsia="Arial" w:hAnsi="Arial" w:cs="Arial"/>
          <w:color w:val="000000" w:themeColor="text1"/>
          <w:sz w:val="22"/>
          <w:szCs w:val="22"/>
        </w:rPr>
        <w:t>which is</w:t>
      </w:r>
      <w:r w:rsidR="009461DE">
        <w:rPr>
          <w:rFonts w:ascii="Arial" w:eastAsia="Arial" w:hAnsi="Arial" w:cs="Arial"/>
          <w:color w:val="000000" w:themeColor="text1"/>
          <w:sz w:val="22"/>
          <w:szCs w:val="22"/>
        </w:rPr>
        <w:t xml:space="preserve"> based on pilot data collected by our team</w:t>
      </w:r>
      <w:r w:rsidR="000926D7">
        <w:rPr>
          <w:rFonts w:ascii="Arial" w:eastAsia="Arial" w:hAnsi="Arial" w:cs="Arial"/>
          <w:color w:val="000000" w:themeColor="text1"/>
          <w:sz w:val="22"/>
          <w:szCs w:val="22"/>
        </w:rPr>
        <w:t>, and 3% in RESHAPE based on a very conservative assumption in the increase in the proportion with a diagnosis</w:t>
      </w:r>
      <w:r w:rsidR="008B601D">
        <w:rPr>
          <w:rFonts w:ascii="Arial" w:eastAsia="Arial" w:hAnsi="Arial" w:cs="Arial"/>
          <w:color w:val="000000" w:themeColor="text1"/>
          <w:sz w:val="22"/>
          <w:szCs w:val="22"/>
        </w:rPr>
        <w:t>)</w:t>
      </w:r>
      <w:r w:rsidR="00366047">
        <w:rPr>
          <w:rFonts w:ascii="Arial" w:eastAsia="Arial" w:hAnsi="Arial" w:cs="Arial"/>
          <w:color w:val="000000" w:themeColor="text1"/>
          <w:sz w:val="22"/>
          <w:szCs w:val="22"/>
        </w:rPr>
        <w:t>. A</w:t>
      </w:r>
      <w:r w:rsidR="007A13A2">
        <w:rPr>
          <w:rFonts w:ascii="Arial" w:eastAsia="Arial" w:hAnsi="Arial" w:cs="Arial"/>
          <w:color w:val="000000" w:themeColor="text1"/>
          <w:sz w:val="22"/>
          <w:szCs w:val="22"/>
        </w:rPr>
        <w:t xml:space="preserve">dditional </w:t>
      </w:r>
      <w:r w:rsidR="00F6715C" w:rsidRPr="00442A52">
        <w:rPr>
          <w:rFonts w:ascii="Arial" w:eastAsia="Arial" w:hAnsi="Arial" w:cs="Arial"/>
          <w:color w:val="000000" w:themeColor="text1"/>
          <w:sz w:val="22"/>
          <w:szCs w:val="22"/>
        </w:rPr>
        <w:t>assumptions</w:t>
      </w:r>
      <w:r w:rsidR="00366047">
        <w:rPr>
          <w:rFonts w:ascii="Arial" w:eastAsia="Arial" w:hAnsi="Arial" w:cs="Arial"/>
          <w:color w:val="000000" w:themeColor="text1"/>
          <w:sz w:val="22"/>
          <w:szCs w:val="22"/>
        </w:rPr>
        <w:t xml:space="preserve"> are</w:t>
      </w:r>
      <w:r w:rsidR="00F6715C" w:rsidRPr="00442A52">
        <w:rPr>
          <w:rFonts w:ascii="Arial" w:eastAsia="Arial" w:hAnsi="Arial" w:cs="Arial"/>
          <w:color w:val="000000" w:themeColor="text1"/>
          <w:sz w:val="22"/>
          <w:szCs w:val="22"/>
        </w:rPr>
        <w:t xml:space="preserve">: </w:t>
      </w:r>
      <w:r w:rsidR="00F6715C">
        <w:rPr>
          <w:rFonts w:ascii="Arial" w:eastAsia="Arial" w:hAnsi="Arial" w:cs="Arial"/>
          <w:color w:val="000000" w:themeColor="text1"/>
          <w:sz w:val="22"/>
          <w:szCs w:val="22"/>
        </w:rPr>
        <w:t>24 municipalities (12 per arm), 3 health facilities per municipality</w:t>
      </w:r>
      <w:r w:rsidR="004A2C59">
        <w:rPr>
          <w:rFonts w:ascii="Arial" w:eastAsia="Arial" w:hAnsi="Arial" w:cs="Arial"/>
          <w:color w:val="000000" w:themeColor="text1"/>
          <w:sz w:val="22"/>
          <w:szCs w:val="22"/>
        </w:rPr>
        <w:t xml:space="preserve">, </w:t>
      </w:r>
      <w:r w:rsidR="00160284">
        <w:rPr>
          <w:rFonts w:ascii="Arial" w:eastAsia="Arial" w:hAnsi="Arial" w:cs="Arial"/>
          <w:color w:val="000000" w:themeColor="text1"/>
          <w:sz w:val="22"/>
          <w:szCs w:val="22"/>
        </w:rPr>
        <w:t>1</w:t>
      </w:r>
      <w:r w:rsidR="004A2C59">
        <w:rPr>
          <w:rFonts w:ascii="Arial" w:eastAsia="Arial" w:hAnsi="Arial" w:cs="Arial"/>
          <w:color w:val="000000" w:themeColor="text1"/>
          <w:sz w:val="22"/>
          <w:szCs w:val="22"/>
        </w:rPr>
        <w:t xml:space="preserve"> </w:t>
      </w:r>
      <w:r w:rsidR="00F6715C" w:rsidRPr="00442A52">
        <w:rPr>
          <w:rFonts w:ascii="Arial" w:eastAsia="Arial" w:hAnsi="Arial" w:cs="Arial"/>
          <w:color w:val="000000" w:themeColor="text1"/>
          <w:sz w:val="22"/>
          <w:szCs w:val="22"/>
        </w:rPr>
        <w:t>PCP per health facility provid</w:t>
      </w:r>
      <w:r w:rsidR="004A2C59">
        <w:rPr>
          <w:rFonts w:ascii="Arial" w:eastAsia="Arial" w:hAnsi="Arial" w:cs="Arial"/>
          <w:color w:val="000000" w:themeColor="text1"/>
          <w:sz w:val="22"/>
          <w:szCs w:val="22"/>
        </w:rPr>
        <w:t xml:space="preserve">ing MH </w:t>
      </w:r>
      <w:r w:rsidR="004A2C59" w:rsidRPr="007A13A2">
        <w:rPr>
          <w:rFonts w:ascii="Arial" w:eastAsia="Arial" w:hAnsi="Arial" w:cs="Arial"/>
          <w:color w:val="000000" w:themeColor="text1"/>
          <w:sz w:val="22"/>
          <w:szCs w:val="22"/>
        </w:rPr>
        <w:t>services per health facility and</w:t>
      </w:r>
      <w:r w:rsidR="005B5A19">
        <w:rPr>
          <w:rFonts w:ascii="Arial" w:eastAsia="Arial" w:hAnsi="Arial" w:cs="Arial"/>
          <w:color w:val="000000" w:themeColor="text1"/>
          <w:sz w:val="22"/>
          <w:szCs w:val="22"/>
        </w:rPr>
        <w:t xml:space="preserve"> </w:t>
      </w:r>
      <w:r w:rsidR="004A2C59" w:rsidRPr="007A13A2">
        <w:rPr>
          <w:rFonts w:ascii="Arial" w:eastAsia="Arial" w:hAnsi="Arial" w:cs="Arial"/>
          <w:color w:val="000000" w:themeColor="text1"/>
          <w:sz w:val="22"/>
          <w:szCs w:val="22"/>
        </w:rPr>
        <w:t>16 patients per PCP evaluated for accuracy of diagnosis at 3 months</w:t>
      </w:r>
      <w:r w:rsidR="007A13A2" w:rsidRPr="008175E1">
        <w:rPr>
          <w:rFonts w:ascii="Arial" w:eastAsia="Arial" w:hAnsi="Arial" w:cs="Arial"/>
          <w:color w:val="000000" w:themeColor="text1"/>
          <w:sz w:val="22"/>
          <w:szCs w:val="22"/>
        </w:rPr>
        <w:t>;</w:t>
      </w:r>
      <w:r w:rsidR="00F6715C" w:rsidRPr="007A13A2">
        <w:rPr>
          <w:rFonts w:ascii="Arial" w:eastAsia="Arial" w:hAnsi="Arial" w:cs="Arial"/>
          <w:color w:val="000000" w:themeColor="text1"/>
          <w:sz w:val="22"/>
          <w:szCs w:val="22"/>
        </w:rPr>
        <w:t xml:space="preserve"> </w:t>
      </w:r>
      <w:r w:rsidR="00366047" w:rsidRPr="00442A52">
        <w:rPr>
          <w:rFonts w:ascii="Arial" w:eastAsia="Arial" w:hAnsi="Arial" w:cs="Arial"/>
          <w:color w:val="000000" w:themeColor="text1"/>
          <w:sz w:val="22"/>
          <w:szCs w:val="22"/>
        </w:rPr>
        <w:t>pairwise correlation of accurate diagnosis of a patient is 0.05 for pairs of patients of the same PCP (equivalently of the same health facility since we assume 1 PCP provides MH services per health facility), and 0.03 for pairs of patients of different PCPs in different health facilities but in the same municipality, respectively and are assumed the same in both implementation arms</w:t>
      </w:r>
      <w:r w:rsidR="00F6715C" w:rsidRPr="007A13A2">
        <w:rPr>
          <w:rFonts w:ascii="Arial" w:eastAsia="Arial" w:hAnsi="Arial" w:cs="Arial"/>
          <w:color w:val="000000" w:themeColor="text1"/>
          <w:sz w:val="22"/>
          <w:szCs w:val="22"/>
        </w:rPr>
        <w:t xml:space="preserve">. </w:t>
      </w:r>
      <w:r w:rsidRPr="007A13A2">
        <w:rPr>
          <w:rFonts w:ascii="Arial" w:eastAsia="Arial" w:hAnsi="Arial" w:cs="Arial"/>
          <w:color w:val="000000" w:themeColor="text1"/>
          <w:sz w:val="22"/>
          <w:szCs w:val="22"/>
        </w:rPr>
        <w:t xml:space="preserve"> </w:t>
      </w:r>
      <w:r w:rsidR="00836265" w:rsidRPr="007A13A2">
        <w:rPr>
          <w:rFonts w:ascii="Arial" w:eastAsia="Arial" w:hAnsi="Arial" w:cs="Arial"/>
          <w:color w:val="000000" w:themeColor="text1"/>
          <w:sz w:val="22"/>
          <w:szCs w:val="22"/>
        </w:rPr>
        <w:t>This calculation was performed at the 5% significance level using equation (4) of Wang et al</w:t>
      </w:r>
      <w:r w:rsidR="005B5A19">
        <w:rPr>
          <w:rFonts w:ascii="Arial" w:eastAsia="Arial" w:hAnsi="Arial" w:cs="Arial"/>
          <w:color w:val="000000" w:themeColor="text1"/>
          <w:sz w:val="22"/>
          <w:szCs w:val="22"/>
        </w:rPr>
        <w:t>. [13]</w:t>
      </w:r>
      <w:r w:rsidR="00836265" w:rsidRPr="007A13A2">
        <w:rPr>
          <w:rFonts w:ascii="Arial" w:eastAsia="Arial" w:hAnsi="Arial" w:cs="Arial"/>
          <w:color w:val="000000" w:themeColor="text1"/>
          <w:sz w:val="22"/>
          <w:szCs w:val="22"/>
        </w:rPr>
        <w:t xml:space="preserve"> </w:t>
      </w:r>
      <w:r w:rsidR="00AF6E11" w:rsidRPr="007A13A2">
        <w:rPr>
          <w:rFonts w:ascii="Arial" w:eastAsia="Arial" w:hAnsi="Arial" w:cs="Arial"/>
          <w:color w:val="000000" w:themeColor="text1"/>
          <w:sz w:val="22"/>
          <w:szCs w:val="22"/>
        </w:rPr>
        <w:t xml:space="preserve">with variance estimated using the term to the right of the “x” symbol in equation (11) of Wang et al. </w:t>
      </w:r>
      <w:r w:rsidR="005B5A19">
        <w:rPr>
          <w:rFonts w:ascii="Arial" w:eastAsia="Arial" w:hAnsi="Arial" w:cs="Arial"/>
          <w:color w:val="000000" w:themeColor="text1"/>
          <w:sz w:val="22"/>
          <w:szCs w:val="22"/>
        </w:rPr>
        <w:t>[13]</w:t>
      </w:r>
      <w:r w:rsidR="007B0361" w:rsidRPr="007A13A2">
        <w:rPr>
          <w:rFonts w:ascii="Arial" w:eastAsia="Arial" w:hAnsi="Arial" w:cs="Arial"/>
          <w:color w:val="000000" w:themeColor="text1"/>
          <w:sz w:val="22"/>
          <w:szCs w:val="22"/>
        </w:rPr>
        <w:t xml:space="preserve">, which assumes a log link (and therefore assumes b = </w:t>
      </w:r>
      <w:r w:rsidR="00C665ED" w:rsidRPr="007A13A2">
        <w:rPr>
          <w:rFonts w:ascii="Arial" w:eastAsia="Arial" w:hAnsi="Arial" w:cs="Arial"/>
          <w:color w:val="000000" w:themeColor="text1"/>
          <w:sz w:val="22"/>
          <w:szCs w:val="22"/>
        </w:rPr>
        <w:t>log(</w:t>
      </w:r>
      <w:r w:rsidR="007B0361" w:rsidRPr="007A13A2">
        <w:rPr>
          <w:rFonts w:ascii="Arial" w:eastAsia="Arial" w:hAnsi="Arial" w:cs="Arial"/>
          <w:color w:val="000000" w:themeColor="text1"/>
          <w:sz w:val="22"/>
          <w:szCs w:val="22"/>
        </w:rPr>
        <w:t>0.699) – log(0.501)</w:t>
      </w:r>
      <w:r w:rsidR="005A3B3D">
        <w:rPr>
          <w:rFonts w:ascii="Arial" w:eastAsia="Arial" w:hAnsi="Arial" w:cs="Arial"/>
          <w:color w:val="000000" w:themeColor="text1"/>
          <w:sz w:val="22"/>
          <w:szCs w:val="22"/>
        </w:rPr>
        <w:t xml:space="preserve"> = 0.333</w:t>
      </w:r>
      <w:r w:rsidR="007B0361" w:rsidRPr="007A13A2">
        <w:rPr>
          <w:rFonts w:ascii="Arial" w:eastAsia="Arial" w:hAnsi="Arial" w:cs="Arial"/>
          <w:color w:val="000000" w:themeColor="text1"/>
          <w:sz w:val="22"/>
          <w:szCs w:val="22"/>
        </w:rPr>
        <w:t>)</w:t>
      </w:r>
      <w:r w:rsidR="007A13A2">
        <w:rPr>
          <w:rFonts w:ascii="Arial" w:eastAsia="Arial" w:hAnsi="Arial" w:cs="Arial"/>
          <w:color w:val="000000" w:themeColor="text1"/>
          <w:sz w:val="22"/>
          <w:szCs w:val="22"/>
        </w:rPr>
        <w:t>.</w:t>
      </w:r>
    </w:p>
    <w:p w14:paraId="281CEBDD" w14:textId="77777777" w:rsidR="00836265" w:rsidRDefault="00836265" w:rsidP="00756AB9">
      <w:pPr>
        <w:rPr>
          <w:rFonts w:ascii="Arial" w:eastAsia="Arial" w:hAnsi="Arial" w:cs="Arial"/>
          <w:color w:val="000000" w:themeColor="text1"/>
          <w:sz w:val="22"/>
          <w:szCs w:val="22"/>
        </w:rPr>
      </w:pPr>
    </w:p>
    <w:p w14:paraId="54741C3B" w14:textId="7FAEB51B" w:rsidR="00756AB9" w:rsidRPr="00442A52" w:rsidRDefault="00756AB9" w:rsidP="00756AB9">
      <w:pPr>
        <w:rPr>
          <w:rFonts w:ascii="Arial" w:eastAsia="Arial" w:hAnsi="Arial" w:cs="Arial"/>
          <w:color w:val="000000" w:themeColor="text1"/>
          <w:sz w:val="22"/>
          <w:szCs w:val="22"/>
        </w:rPr>
      </w:pPr>
      <w:r w:rsidRPr="00442A52">
        <w:rPr>
          <w:rFonts w:ascii="Arial" w:eastAsia="Arial" w:hAnsi="Arial" w:cs="Arial"/>
          <w:color w:val="000000" w:themeColor="text1"/>
          <w:sz w:val="22"/>
          <w:szCs w:val="22"/>
        </w:rPr>
        <w:t>Importantly, this comparison is applicable to patients for whom a psychiatrist ma</w:t>
      </w:r>
      <w:r w:rsidR="005A3B3D">
        <w:rPr>
          <w:rFonts w:ascii="Arial" w:eastAsia="Arial" w:hAnsi="Arial" w:cs="Arial"/>
          <w:color w:val="000000" w:themeColor="text1"/>
          <w:sz w:val="22"/>
          <w:szCs w:val="22"/>
        </w:rPr>
        <w:t>kes</w:t>
      </w:r>
      <w:r w:rsidRPr="00442A52">
        <w:rPr>
          <w:rFonts w:ascii="Arial" w:eastAsia="Arial" w:hAnsi="Arial" w:cs="Arial"/>
          <w:color w:val="000000" w:themeColor="text1"/>
          <w:sz w:val="22"/>
          <w:szCs w:val="22"/>
        </w:rPr>
        <w:t xml:space="preserve"> a (gold-standard) diagnosis at the 3-month follow-up. Because our study can only recruit a sub</w:t>
      </w:r>
      <w:r w:rsidR="00F662AA">
        <w:rPr>
          <w:rFonts w:ascii="Arial" w:eastAsia="Arial" w:hAnsi="Arial" w:cs="Arial"/>
          <w:color w:val="000000" w:themeColor="text1"/>
          <w:sz w:val="22"/>
          <w:szCs w:val="22"/>
        </w:rPr>
        <w:t>-</w:t>
      </w:r>
      <w:r w:rsidRPr="00442A52">
        <w:rPr>
          <w:rFonts w:ascii="Arial" w:eastAsia="Arial" w:hAnsi="Arial" w:cs="Arial"/>
          <w:color w:val="000000" w:themeColor="text1"/>
          <w:sz w:val="22"/>
          <w:szCs w:val="22"/>
        </w:rPr>
        <w:t>sample of those who do not receive a PCP diagnosis (estimated to be 40% in both arms</w:t>
      </w:r>
      <w:r w:rsidR="007A13A2">
        <w:rPr>
          <w:rFonts w:ascii="Arial" w:eastAsia="Arial" w:hAnsi="Arial" w:cs="Arial"/>
          <w:color w:val="000000" w:themeColor="text1"/>
          <w:sz w:val="22"/>
          <w:szCs w:val="22"/>
        </w:rPr>
        <w:t xml:space="preserve">, see sampling fraction negative [sfn]=40% in Fig. </w:t>
      </w:r>
      <w:r w:rsidR="007A13A2">
        <w:rPr>
          <w:rFonts w:ascii="Arial" w:eastAsia="Arial" w:hAnsi="Arial" w:cs="Arial"/>
          <w:color w:val="000000" w:themeColor="text1"/>
          <w:sz w:val="22"/>
          <w:szCs w:val="22"/>
        </w:rPr>
        <w:lastRenderedPageBreak/>
        <w:t>S3</w:t>
      </w:r>
      <w:r w:rsidRPr="00442A52">
        <w:rPr>
          <w:rFonts w:ascii="Arial" w:eastAsia="Arial" w:hAnsi="Arial" w:cs="Arial"/>
          <w:color w:val="000000" w:themeColor="text1"/>
          <w:sz w:val="22"/>
          <w:szCs w:val="22"/>
        </w:rPr>
        <w:t>) and 3-month follow-up can only include sub-samples of recruited patients who did not receive a diagnosis from a PCP (expected to be 10%</w:t>
      </w:r>
      <w:r w:rsidR="007A13A2">
        <w:rPr>
          <w:rFonts w:ascii="Arial" w:eastAsia="Arial" w:hAnsi="Arial" w:cs="Arial"/>
          <w:color w:val="000000" w:themeColor="text1"/>
          <w:sz w:val="22"/>
          <w:szCs w:val="22"/>
        </w:rPr>
        <w:t xml:space="preserve"> [sfnn]</w:t>
      </w:r>
      <w:r w:rsidRPr="00442A52">
        <w:rPr>
          <w:rFonts w:ascii="Arial" w:eastAsia="Arial" w:hAnsi="Arial" w:cs="Arial"/>
          <w:color w:val="000000" w:themeColor="text1"/>
          <w:sz w:val="22"/>
          <w:szCs w:val="22"/>
        </w:rPr>
        <w:t xml:space="preserve"> of those who are true negatives and 50%</w:t>
      </w:r>
      <w:r w:rsidR="007A13A2">
        <w:rPr>
          <w:rFonts w:ascii="Arial" w:eastAsia="Arial" w:hAnsi="Arial" w:cs="Arial"/>
          <w:color w:val="000000" w:themeColor="text1"/>
          <w:sz w:val="22"/>
          <w:szCs w:val="22"/>
        </w:rPr>
        <w:t xml:space="preserve"> [sfnp]</w:t>
      </w:r>
      <w:r w:rsidRPr="00442A52">
        <w:rPr>
          <w:rFonts w:ascii="Arial" w:eastAsia="Arial" w:hAnsi="Arial" w:cs="Arial"/>
          <w:color w:val="000000" w:themeColor="text1"/>
          <w:sz w:val="22"/>
          <w:szCs w:val="22"/>
        </w:rPr>
        <w:t xml:space="preserve"> of those who are false negatives</w:t>
      </w:r>
      <w:r w:rsidR="007A13A2">
        <w:rPr>
          <w:rFonts w:ascii="Arial" w:eastAsia="Arial" w:hAnsi="Arial" w:cs="Arial"/>
          <w:color w:val="000000" w:themeColor="text1"/>
          <w:sz w:val="22"/>
          <w:szCs w:val="22"/>
        </w:rPr>
        <w:t xml:space="preserve"> in both arms</w:t>
      </w:r>
      <w:r w:rsidRPr="00442A52">
        <w:rPr>
          <w:rFonts w:ascii="Arial" w:eastAsia="Arial" w:hAnsi="Arial" w:cs="Arial"/>
          <w:color w:val="000000" w:themeColor="text1"/>
          <w:sz w:val="22"/>
          <w:szCs w:val="22"/>
        </w:rPr>
        <w:t>), the between-arm comparison applies to a population which, compared to the general health facility-visiting population, has an overrepresentation of those who screen positive</w:t>
      </w:r>
      <w:r w:rsidR="007A13A2">
        <w:rPr>
          <w:rFonts w:ascii="Arial" w:eastAsia="Arial" w:hAnsi="Arial" w:cs="Arial"/>
          <w:color w:val="000000" w:themeColor="text1"/>
          <w:sz w:val="22"/>
          <w:szCs w:val="22"/>
        </w:rPr>
        <w:t xml:space="preserve"> (i.e. are PCP-positive)</w:t>
      </w:r>
      <w:r w:rsidRPr="00442A52">
        <w:rPr>
          <w:rFonts w:ascii="Arial" w:eastAsia="Arial" w:hAnsi="Arial" w:cs="Arial"/>
          <w:color w:val="000000" w:themeColor="text1"/>
          <w:sz w:val="22"/>
          <w:szCs w:val="22"/>
        </w:rPr>
        <w:t xml:space="preserve">. </w:t>
      </w:r>
    </w:p>
    <w:p w14:paraId="5CECDAF5" w14:textId="77777777" w:rsidR="00756AB9" w:rsidRDefault="00756AB9" w:rsidP="00C27617">
      <w:pPr>
        <w:widowControl w:val="0"/>
        <w:pBdr>
          <w:top w:val="nil"/>
          <w:left w:val="nil"/>
          <w:bottom w:val="nil"/>
          <w:right w:val="nil"/>
          <w:between w:val="nil"/>
        </w:pBdr>
        <w:rPr>
          <w:rFonts w:ascii="Arial" w:eastAsia="Arial" w:hAnsi="Arial" w:cs="Arial"/>
          <w:b/>
          <w:color w:val="000000"/>
          <w:sz w:val="22"/>
          <w:szCs w:val="22"/>
        </w:rPr>
      </w:pPr>
    </w:p>
    <w:p w14:paraId="0DEBC235" w14:textId="3E0F43D3" w:rsidR="00C27617" w:rsidRDefault="005E085D" w:rsidP="005F1907">
      <w:pPr>
        <w:widowControl w:val="0"/>
        <w:pBdr>
          <w:top w:val="nil"/>
          <w:left w:val="nil"/>
          <w:bottom w:val="nil"/>
          <w:right w:val="nil"/>
          <w:between w:val="nil"/>
        </w:pBdr>
        <w:rPr>
          <w:rFonts w:ascii="Arial" w:eastAsia="Arial" w:hAnsi="Arial" w:cs="Arial"/>
          <w:b/>
          <w:color w:val="000000"/>
          <w:sz w:val="22"/>
          <w:szCs w:val="22"/>
        </w:rPr>
      </w:pPr>
      <w:r w:rsidRPr="005E085D">
        <w:rPr>
          <w:rFonts w:ascii="Arial" w:eastAsia="Arial" w:hAnsi="Arial" w:cs="Arial"/>
          <w:b/>
          <w:noProof/>
          <w:color w:val="000000"/>
          <w:sz w:val="22"/>
          <w:szCs w:val="22"/>
        </w:rPr>
        <w:drawing>
          <wp:inline distT="0" distB="0" distL="0" distR="0" wp14:anchorId="6AA9D628" wp14:editId="7058ED7E">
            <wp:extent cx="6858000" cy="3089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3089910"/>
                    </a:xfrm>
                    <a:prstGeom prst="rect">
                      <a:avLst/>
                    </a:prstGeom>
                  </pic:spPr>
                </pic:pic>
              </a:graphicData>
            </a:graphic>
          </wp:inline>
        </w:drawing>
      </w:r>
    </w:p>
    <w:p w14:paraId="4B3A9364" w14:textId="433AD63F" w:rsidR="00756AB9" w:rsidRPr="00442A52" w:rsidRDefault="00756AB9" w:rsidP="00756AB9">
      <w:pPr>
        <w:rPr>
          <w:rFonts w:ascii="Arial" w:eastAsia="Arial" w:hAnsi="Arial" w:cs="Arial"/>
          <w:color w:val="006600"/>
          <w:sz w:val="22"/>
          <w:szCs w:val="22"/>
        </w:rPr>
      </w:pPr>
    </w:p>
    <w:p w14:paraId="62046828" w14:textId="77777777" w:rsidR="00C35D66" w:rsidRDefault="00756AB9" w:rsidP="00756AB9">
      <w:pPr>
        <w:rPr>
          <w:rFonts w:ascii="Arial" w:eastAsia="Arial" w:hAnsi="Arial" w:cs="Arial"/>
          <w:color w:val="000000" w:themeColor="text1"/>
          <w:sz w:val="22"/>
          <w:szCs w:val="22"/>
        </w:rPr>
      </w:pPr>
      <w:bookmarkStart w:id="3" w:name="SupplementalFigure3"/>
      <w:r>
        <w:rPr>
          <w:rFonts w:ascii="Arial" w:eastAsia="Arial" w:hAnsi="Arial" w:cs="Arial"/>
          <w:b/>
          <w:bCs/>
          <w:color w:val="000000" w:themeColor="text1"/>
          <w:sz w:val="22"/>
          <w:szCs w:val="22"/>
        </w:rPr>
        <w:t>Figure S3</w:t>
      </w:r>
      <w:r w:rsidRPr="00442A52">
        <w:rPr>
          <w:rFonts w:ascii="Arial" w:eastAsia="Arial" w:hAnsi="Arial" w:cs="Arial"/>
          <w:color w:val="000000" w:themeColor="text1"/>
          <w:sz w:val="22"/>
          <w:szCs w:val="22"/>
        </w:rPr>
        <w:t xml:space="preserve">. Key </w:t>
      </w:r>
      <w:r w:rsidR="0070071C">
        <w:rPr>
          <w:rFonts w:ascii="Arial" w:eastAsia="Arial" w:hAnsi="Arial" w:cs="Arial"/>
          <w:color w:val="000000" w:themeColor="text1"/>
          <w:sz w:val="22"/>
          <w:szCs w:val="22"/>
        </w:rPr>
        <w:t xml:space="preserve">assumed </w:t>
      </w:r>
      <w:r w:rsidRPr="00442A52">
        <w:rPr>
          <w:rFonts w:ascii="Arial" w:eastAsia="Arial" w:hAnsi="Arial" w:cs="Arial"/>
          <w:color w:val="000000" w:themeColor="text1"/>
          <w:sz w:val="22"/>
          <w:szCs w:val="22"/>
        </w:rPr>
        <w:t>proportions for Objective 2 implementation power calculation at sample level</w:t>
      </w:r>
      <w:r w:rsidR="00C35D66">
        <w:rPr>
          <w:rFonts w:ascii="Arial" w:eastAsia="Arial" w:hAnsi="Arial" w:cs="Arial"/>
          <w:color w:val="000000" w:themeColor="text1"/>
          <w:sz w:val="22"/>
          <w:szCs w:val="22"/>
        </w:rPr>
        <w:t>.</w:t>
      </w:r>
      <w:r w:rsidR="009F77D6">
        <w:rPr>
          <w:rFonts w:ascii="Arial" w:eastAsia="Arial" w:hAnsi="Arial" w:cs="Arial"/>
          <w:color w:val="000000" w:themeColor="text1"/>
          <w:sz w:val="22"/>
          <w:szCs w:val="22"/>
        </w:rPr>
        <w:t xml:space="preserve"> </w:t>
      </w:r>
    </w:p>
    <w:p w14:paraId="2135494F" w14:textId="7D6584EE" w:rsidR="00756AB9" w:rsidRPr="00E16070" w:rsidRDefault="00C35D66" w:rsidP="00756AB9">
      <w:pPr>
        <w:rPr>
          <w:rFonts w:ascii="Arial" w:eastAsia="Arial" w:hAnsi="Arial" w:cs="Arial"/>
          <w:color w:val="006600"/>
          <w:sz w:val="18"/>
          <w:szCs w:val="18"/>
        </w:rPr>
      </w:pPr>
      <w:r w:rsidRPr="00E16070">
        <w:rPr>
          <w:rFonts w:ascii="Arial" w:eastAsia="Arial" w:hAnsi="Arial" w:cs="Arial"/>
          <w:color w:val="000000" w:themeColor="text1"/>
          <w:sz w:val="18"/>
          <w:szCs w:val="18"/>
        </w:rPr>
        <w:t xml:space="preserve">Note: this figure </w:t>
      </w:r>
      <w:r w:rsidR="009F77D6" w:rsidRPr="00E16070">
        <w:rPr>
          <w:rFonts w:ascii="Arial" w:eastAsia="Arial" w:hAnsi="Arial" w:cs="Arial"/>
          <w:color w:val="000000" w:themeColor="text1"/>
          <w:sz w:val="18"/>
          <w:szCs w:val="18"/>
        </w:rPr>
        <w:t>show</w:t>
      </w:r>
      <w:r w:rsidRPr="00E16070">
        <w:rPr>
          <w:rFonts w:ascii="Arial" w:eastAsia="Arial" w:hAnsi="Arial" w:cs="Arial"/>
          <w:color w:val="000000" w:themeColor="text1"/>
          <w:sz w:val="18"/>
          <w:szCs w:val="18"/>
        </w:rPr>
        <w:t>s</w:t>
      </w:r>
      <w:r w:rsidR="009F77D6" w:rsidRPr="00E16070">
        <w:rPr>
          <w:rFonts w:ascii="Arial" w:eastAsia="Arial" w:hAnsi="Arial" w:cs="Arial"/>
          <w:color w:val="000000" w:themeColor="text1"/>
          <w:sz w:val="18"/>
          <w:szCs w:val="18"/>
        </w:rPr>
        <w:t xml:space="preserve"> how the final sample is expected to show 50.1% IAU vs. 69.9% RESHAPE with accurate diagnosis</w:t>
      </w:r>
      <w:r w:rsidR="0070071C" w:rsidRPr="00E16070">
        <w:rPr>
          <w:rFonts w:ascii="Arial" w:eastAsia="Arial" w:hAnsi="Arial" w:cs="Arial"/>
          <w:color w:val="000000" w:themeColor="text1"/>
          <w:sz w:val="18"/>
          <w:szCs w:val="18"/>
        </w:rPr>
        <w:t>. Note: sf= sampling fraction; sfn = sampling fraction of PCP-diagnosed negative is assumed to be 40% in both arms; sfnn= sampling fraction of PCP-diagnosed negatives and psychiatrist negatives (</w:t>
      </w:r>
      <w:r w:rsidR="00C665ED" w:rsidRPr="00E16070">
        <w:rPr>
          <w:rFonts w:ascii="Arial" w:eastAsia="Arial" w:hAnsi="Arial" w:cs="Arial"/>
          <w:color w:val="000000" w:themeColor="text1"/>
          <w:sz w:val="18"/>
          <w:szCs w:val="18"/>
        </w:rPr>
        <w:t>i.e.,</w:t>
      </w:r>
      <w:r w:rsidR="0070071C" w:rsidRPr="00E16070">
        <w:rPr>
          <w:rFonts w:ascii="Arial" w:eastAsia="Arial" w:hAnsi="Arial" w:cs="Arial"/>
          <w:color w:val="000000" w:themeColor="text1"/>
          <w:sz w:val="18"/>
          <w:szCs w:val="18"/>
        </w:rPr>
        <w:t xml:space="preserve"> true negatives) is assumed to be 10% in both arms; sfnp= sampling fraction of PCP-diagnosed negatives and psychiatrist positives (</w:t>
      </w:r>
      <w:r w:rsidR="00C665ED" w:rsidRPr="00E16070">
        <w:rPr>
          <w:rFonts w:ascii="Arial" w:eastAsia="Arial" w:hAnsi="Arial" w:cs="Arial"/>
          <w:color w:val="000000" w:themeColor="text1"/>
          <w:sz w:val="18"/>
          <w:szCs w:val="18"/>
        </w:rPr>
        <w:t>i.e.,</w:t>
      </w:r>
      <w:r w:rsidR="0070071C" w:rsidRPr="00E16070">
        <w:rPr>
          <w:rFonts w:ascii="Arial" w:eastAsia="Arial" w:hAnsi="Arial" w:cs="Arial"/>
          <w:color w:val="000000" w:themeColor="text1"/>
          <w:sz w:val="18"/>
          <w:szCs w:val="18"/>
        </w:rPr>
        <w:t xml:space="preserve"> false negatives) is assumed to be 50% in both arms. </w:t>
      </w:r>
    </w:p>
    <w:bookmarkEnd w:id="3"/>
    <w:p w14:paraId="144A1758" w14:textId="77777777" w:rsidR="00756AB9" w:rsidRDefault="00756AB9" w:rsidP="00756AB9">
      <w:pPr>
        <w:widowControl w:val="0"/>
        <w:pBdr>
          <w:top w:val="nil"/>
          <w:left w:val="nil"/>
          <w:bottom w:val="nil"/>
          <w:right w:val="nil"/>
          <w:between w:val="nil"/>
        </w:pBdr>
        <w:rPr>
          <w:rFonts w:ascii="Arial" w:eastAsia="Arial" w:hAnsi="Arial" w:cs="Arial"/>
          <w:sz w:val="22"/>
          <w:szCs w:val="22"/>
        </w:rPr>
      </w:pPr>
    </w:p>
    <w:p w14:paraId="4613DF9D" w14:textId="6C66C631" w:rsidR="006D2868" w:rsidRDefault="005E085D" w:rsidP="006D2868">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Sensitivity to assumptions for the power calculation of the accuracy outcome </w:t>
      </w:r>
      <w:r w:rsidR="00793FD6">
        <w:rPr>
          <w:rFonts w:ascii="Arial" w:eastAsia="Arial" w:hAnsi="Arial" w:cs="Arial"/>
          <w:sz w:val="22"/>
          <w:szCs w:val="22"/>
        </w:rPr>
        <w:t>is</w:t>
      </w:r>
      <w:r>
        <w:rPr>
          <w:rFonts w:ascii="Arial" w:eastAsia="Arial" w:hAnsi="Arial" w:cs="Arial"/>
          <w:sz w:val="22"/>
          <w:szCs w:val="22"/>
        </w:rPr>
        <w:t xml:space="preserve"> shown in </w:t>
      </w:r>
      <w:r w:rsidRPr="00E16070">
        <w:rPr>
          <w:rFonts w:ascii="Arial" w:eastAsia="Arial" w:hAnsi="Arial" w:cs="Arial"/>
          <w:b/>
          <w:bCs/>
          <w:sz w:val="22"/>
          <w:szCs w:val="22"/>
        </w:rPr>
        <w:t>Table S2</w:t>
      </w:r>
      <w:r w:rsidRPr="00E16070">
        <w:rPr>
          <w:rFonts w:ascii="Arial" w:eastAsia="Arial" w:hAnsi="Arial" w:cs="Arial"/>
          <w:sz w:val="22"/>
          <w:szCs w:val="22"/>
        </w:rPr>
        <w:t>,</w:t>
      </w:r>
      <w:r>
        <w:rPr>
          <w:rFonts w:ascii="Arial" w:eastAsia="Arial" w:hAnsi="Arial" w:cs="Arial"/>
          <w:sz w:val="22"/>
          <w:szCs w:val="22"/>
        </w:rPr>
        <w:t xml:space="preserve"> </w:t>
      </w:r>
      <w:r w:rsidR="00296C42">
        <w:rPr>
          <w:rFonts w:ascii="Arial" w:eastAsia="Arial" w:hAnsi="Arial" w:cs="Arial"/>
          <w:sz w:val="22"/>
          <w:szCs w:val="22"/>
        </w:rPr>
        <w:t>whereby</w:t>
      </w:r>
      <w:r>
        <w:rPr>
          <w:rFonts w:ascii="Arial" w:eastAsia="Arial" w:hAnsi="Arial" w:cs="Arial"/>
          <w:sz w:val="22"/>
          <w:szCs w:val="22"/>
        </w:rPr>
        <w:t xml:space="preserve"> 2</w:t>
      </w:r>
      <w:r w:rsidR="00296C42">
        <w:rPr>
          <w:rFonts w:ascii="Arial" w:eastAsia="Arial" w:hAnsi="Arial" w:cs="Arial"/>
          <w:sz w:val="22"/>
          <w:szCs w:val="22"/>
        </w:rPr>
        <w:t xml:space="preserve"> PCPs/HF deliver MH services</w:t>
      </w:r>
      <w:r>
        <w:rPr>
          <w:rFonts w:ascii="Arial" w:eastAsia="Arial" w:hAnsi="Arial" w:cs="Arial"/>
          <w:sz w:val="22"/>
          <w:szCs w:val="22"/>
        </w:rPr>
        <w:t xml:space="preserve"> rather than 1 PCP/HF. In this case, power is expected to increase slightly when the pairwise correlation of accuracy of diagnosis of patients of two different providers in the same health facility</w:t>
      </w:r>
      <w:r w:rsidR="00296C42">
        <w:rPr>
          <w:rFonts w:ascii="Arial" w:eastAsia="Arial" w:hAnsi="Arial" w:cs="Arial"/>
          <w:sz w:val="22"/>
          <w:szCs w:val="22"/>
        </w:rPr>
        <w:t xml:space="preserve"> (0.04)</w:t>
      </w:r>
      <w:r>
        <w:rPr>
          <w:rFonts w:ascii="Arial" w:eastAsia="Arial" w:hAnsi="Arial" w:cs="Arial"/>
          <w:sz w:val="22"/>
          <w:szCs w:val="22"/>
        </w:rPr>
        <w:t xml:space="preserve"> is assumed to lie between that for </w:t>
      </w:r>
      <w:r w:rsidR="00296C42">
        <w:rPr>
          <w:rFonts w:ascii="Arial" w:eastAsia="Arial" w:hAnsi="Arial" w:cs="Arial"/>
          <w:sz w:val="22"/>
          <w:szCs w:val="22"/>
        </w:rPr>
        <w:t>patients of the</w:t>
      </w:r>
      <w:r>
        <w:rPr>
          <w:rFonts w:ascii="Arial" w:eastAsia="Arial" w:hAnsi="Arial" w:cs="Arial"/>
          <w:sz w:val="22"/>
          <w:szCs w:val="22"/>
        </w:rPr>
        <w:t xml:space="preserve"> same provider (</w:t>
      </w:r>
      <w:r w:rsidR="00296C42">
        <w:rPr>
          <w:rFonts w:ascii="Arial" w:eastAsia="Arial" w:hAnsi="Arial" w:cs="Arial"/>
          <w:sz w:val="22"/>
          <w:szCs w:val="22"/>
        </w:rPr>
        <w:t>0.05</w:t>
      </w:r>
      <w:r>
        <w:rPr>
          <w:rFonts w:ascii="Arial" w:eastAsia="Arial" w:hAnsi="Arial" w:cs="Arial"/>
          <w:sz w:val="22"/>
          <w:szCs w:val="22"/>
        </w:rPr>
        <w:t xml:space="preserve">) or for </w:t>
      </w:r>
      <w:r w:rsidR="00296C42">
        <w:rPr>
          <w:rFonts w:ascii="Arial" w:eastAsia="Arial" w:hAnsi="Arial" w:cs="Arial"/>
          <w:sz w:val="22"/>
          <w:szCs w:val="22"/>
        </w:rPr>
        <w:t xml:space="preserve">patients of different providers in the same municipality (0.03). </w:t>
      </w:r>
      <w:r w:rsidR="006D2868">
        <w:rPr>
          <w:rFonts w:ascii="Arial" w:eastAsia="Arial" w:hAnsi="Arial" w:cs="Arial"/>
          <w:sz w:val="22"/>
          <w:szCs w:val="22"/>
        </w:rPr>
        <w:t xml:space="preserve">Similarly, we expect no decline in power in the case that the assumed fraction of patients with a PCP diagnosis of mental illness is slightly different to that assumed above (namely, </w:t>
      </w:r>
      <w:r w:rsidR="006D2868">
        <w:rPr>
          <w:rFonts w:ascii="Arial" w:eastAsia="Arial" w:hAnsi="Arial" w:cs="Arial"/>
          <w:color w:val="000000" w:themeColor="text1"/>
          <w:sz w:val="22"/>
          <w:szCs w:val="22"/>
        </w:rPr>
        <w:t>2% in IAU and 3% in RESHAPE</w:t>
      </w:r>
      <w:r w:rsidR="006D2868">
        <w:rPr>
          <w:rFonts w:ascii="Arial" w:eastAsia="Arial" w:hAnsi="Arial" w:cs="Arial"/>
          <w:sz w:val="22"/>
          <w:szCs w:val="22"/>
        </w:rPr>
        <w:t xml:space="preserve">). </w:t>
      </w:r>
    </w:p>
    <w:p w14:paraId="75CD1D69" w14:textId="58EE4DAA" w:rsidR="00296C42" w:rsidRDefault="00296C42" w:rsidP="00756AB9">
      <w:pPr>
        <w:widowControl w:val="0"/>
        <w:pBdr>
          <w:top w:val="nil"/>
          <w:left w:val="nil"/>
          <w:bottom w:val="nil"/>
          <w:right w:val="nil"/>
          <w:between w:val="nil"/>
        </w:pBdr>
        <w:rPr>
          <w:rFonts w:ascii="Arial" w:eastAsia="Arial" w:hAnsi="Arial" w:cs="Arial"/>
          <w:sz w:val="22"/>
          <w:szCs w:val="22"/>
        </w:rPr>
      </w:pPr>
    </w:p>
    <w:p w14:paraId="7D5FF90E" w14:textId="77777777" w:rsidR="005E085D" w:rsidRDefault="005E085D" w:rsidP="00756AB9">
      <w:pPr>
        <w:widowControl w:val="0"/>
        <w:pBdr>
          <w:top w:val="nil"/>
          <w:left w:val="nil"/>
          <w:bottom w:val="nil"/>
          <w:right w:val="nil"/>
          <w:between w:val="nil"/>
        </w:pBdr>
        <w:rPr>
          <w:rFonts w:ascii="Arial" w:eastAsia="Arial" w:hAnsi="Arial" w:cs="Arial"/>
          <w:sz w:val="22"/>
          <w:szCs w:val="22"/>
        </w:rPr>
      </w:pPr>
    </w:p>
    <w:p w14:paraId="05B0B159" w14:textId="77777777" w:rsidR="006D2868" w:rsidRDefault="006D2868">
      <w:bookmarkStart w:id="4" w:name="SupplementalTable2"/>
      <w: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222"/>
        <w:gridCol w:w="95"/>
        <w:gridCol w:w="1596"/>
        <w:gridCol w:w="1677"/>
      </w:tblGrid>
      <w:tr w:rsidR="00756AB9" w:rsidRPr="00BA6517" w14:paraId="1D0FD5BC" w14:textId="77777777" w:rsidTr="00BC0444">
        <w:tc>
          <w:tcPr>
            <w:tcW w:w="9360" w:type="dxa"/>
            <w:gridSpan w:val="5"/>
            <w:tcBorders>
              <w:bottom w:val="single" w:sz="4" w:space="0" w:color="auto"/>
            </w:tcBorders>
          </w:tcPr>
          <w:p w14:paraId="18BCC64A" w14:textId="5B37C5EB" w:rsidR="00756AB9" w:rsidRPr="00BA6517" w:rsidRDefault="00756AB9" w:rsidP="00BC0444">
            <w:pPr>
              <w:rPr>
                <w:b/>
                <w:bCs/>
                <w:sz w:val="20"/>
                <w:szCs w:val="20"/>
              </w:rPr>
            </w:pPr>
            <w:r w:rsidRPr="006D2868">
              <w:rPr>
                <w:rFonts w:ascii="Arial" w:eastAsia="Arial" w:hAnsi="Arial" w:cs="Arial"/>
                <w:b/>
                <w:bCs/>
                <w:color w:val="000000" w:themeColor="text1"/>
                <w:sz w:val="22"/>
                <w:szCs w:val="22"/>
              </w:rPr>
              <w:lastRenderedPageBreak/>
              <w:t>Table</w:t>
            </w:r>
            <w:r>
              <w:rPr>
                <w:rFonts w:ascii="Arial" w:eastAsia="Arial" w:hAnsi="Arial" w:cs="Arial"/>
                <w:b/>
                <w:bCs/>
                <w:color w:val="000000" w:themeColor="text1"/>
                <w:sz w:val="20"/>
                <w:szCs w:val="20"/>
              </w:rPr>
              <w:t xml:space="preserve"> S2</w:t>
            </w:r>
            <w:r w:rsidRPr="00BA6517">
              <w:rPr>
                <w:rFonts w:ascii="Arial" w:eastAsia="Arial" w:hAnsi="Arial" w:cs="Arial"/>
                <w:b/>
                <w:bCs/>
                <w:color w:val="000000" w:themeColor="text1"/>
                <w:sz w:val="20"/>
                <w:szCs w:val="20"/>
              </w:rPr>
              <w:t xml:space="preserve">: </w:t>
            </w:r>
            <w:r w:rsidRPr="00BA6517">
              <w:rPr>
                <w:rFonts w:ascii="Arial" w:hAnsi="Arial" w:cs="Arial"/>
                <w:b/>
                <w:bCs/>
                <w:sz w:val="20"/>
                <w:szCs w:val="20"/>
              </w:rPr>
              <w:t xml:space="preserve">Sensitivity of power to number of </w:t>
            </w:r>
            <w:r w:rsidR="005E085D">
              <w:rPr>
                <w:rFonts w:ascii="Arial" w:hAnsi="Arial" w:cs="Arial"/>
                <w:b/>
                <w:bCs/>
                <w:sz w:val="20"/>
                <w:szCs w:val="20"/>
              </w:rPr>
              <w:t>primary care providers (PCP)</w:t>
            </w:r>
            <w:r w:rsidRPr="00BA6517">
              <w:rPr>
                <w:rFonts w:ascii="Arial" w:hAnsi="Arial" w:cs="Arial"/>
                <w:b/>
                <w:bCs/>
                <w:sz w:val="20"/>
                <w:szCs w:val="20"/>
              </w:rPr>
              <w:t xml:space="preserve"> per health facility</w:t>
            </w:r>
            <w:r w:rsidR="005E085D">
              <w:rPr>
                <w:rFonts w:ascii="Arial" w:hAnsi="Arial" w:cs="Arial"/>
                <w:b/>
                <w:bCs/>
                <w:sz w:val="20"/>
                <w:szCs w:val="20"/>
              </w:rPr>
              <w:t xml:space="preserve"> (HF)</w:t>
            </w:r>
            <w:r w:rsidRPr="00BA6517">
              <w:rPr>
                <w:rFonts w:ascii="Arial" w:hAnsi="Arial" w:cs="Arial"/>
                <w:b/>
                <w:bCs/>
                <w:sz w:val="20"/>
                <w:szCs w:val="20"/>
              </w:rPr>
              <w:t xml:space="preserve"> - s</w:t>
            </w:r>
            <w:r w:rsidRPr="00BA6517">
              <w:rPr>
                <w:rFonts w:ascii="Arial" w:eastAsia="Arial" w:hAnsi="Arial" w:cs="Arial"/>
                <w:b/>
                <w:bCs/>
                <w:color w:val="000000" w:themeColor="text1"/>
                <w:sz w:val="20"/>
                <w:szCs w:val="20"/>
              </w:rPr>
              <w:t>ample size assumptions</w:t>
            </w:r>
            <w:bookmarkEnd w:id="4"/>
          </w:p>
        </w:tc>
      </w:tr>
      <w:tr w:rsidR="00756AB9" w:rsidRPr="00BA6517" w14:paraId="576BA580" w14:textId="77777777" w:rsidTr="00E16070">
        <w:tc>
          <w:tcPr>
            <w:tcW w:w="4770" w:type="dxa"/>
            <w:tcBorders>
              <w:top w:val="single" w:sz="4" w:space="0" w:color="auto"/>
              <w:bottom w:val="single" w:sz="4" w:space="0" w:color="auto"/>
            </w:tcBorders>
          </w:tcPr>
          <w:p w14:paraId="03874067" w14:textId="77777777" w:rsidR="00756AB9" w:rsidRPr="00BA6517" w:rsidRDefault="00756AB9" w:rsidP="00BC0444">
            <w:pPr>
              <w:rPr>
                <w:rFonts w:ascii="Arial" w:eastAsia="Arial" w:hAnsi="Arial" w:cs="Arial"/>
                <w:color w:val="000000" w:themeColor="text1"/>
                <w:sz w:val="20"/>
                <w:szCs w:val="20"/>
              </w:rPr>
            </w:pPr>
            <w:r w:rsidRPr="00BA6517">
              <w:rPr>
                <w:rFonts w:ascii="Arial" w:eastAsia="Arial" w:hAnsi="Arial" w:cs="Arial"/>
                <w:color w:val="000000" w:themeColor="text1"/>
                <w:sz w:val="20"/>
                <w:szCs w:val="20"/>
              </w:rPr>
              <w:t>Sample size assumption/parameter</w:t>
            </w:r>
          </w:p>
        </w:tc>
        <w:tc>
          <w:tcPr>
            <w:tcW w:w="1222" w:type="dxa"/>
            <w:tcBorders>
              <w:top w:val="single" w:sz="4" w:space="0" w:color="auto"/>
              <w:bottom w:val="single" w:sz="4" w:space="0" w:color="auto"/>
            </w:tcBorders>
          </w:tcPr>
          <w:p w14:paraId="76BE5E3F"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IAU</w:t>
            </w:r>
          </w:p>
        </w:tc>
        <w:tc>
          <w:tcPr>
            <w:tcW w:w="1691" w:type="dxa"/>
            <w:gridSpan w:val="2"/>
            <w:tcBorders>
              <w:top w:val="single" w:sz="4" w:space="0" w:color="auto"/>
              <w:bottom w:val="single" w:sz="4" w:space="0" w:color="auto"/>
            </w:tcBorders>
          </w:tcPr>
          <w:p w14:paraId="003284E3"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RESHAPE</w:t>
            </w:r>
          </w:p>
        </w:tc>
        <w:tc>
          <w:tcPr>
            <w:tcW w:w="1677" w:type="dxa"/>
            <w:tcBorders>
              <w:top w:val="single" w:sz="4" w:space="0" w:color="auto"/>
              <w:bottom w:val="single" w:sz="4" w:space="0" w:color="auto"/>
            </w:tcBorders>
          </w:tcPr>
          <w:p w14:paraId="2D209E74"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Total (across both arms)</w:t>
            </w:r>
          </w:p>
        </w:tc>
      </w:tr>
      <w:tr w:rsidR="00756AB9" w:rsidRPr="00BA6517" w14:paraId="6DF9EDB2" w14:textId="77777777" w:rsidTr="00E16070">
        <w:tc>
          <w:tcPr>
            <w:tcW w:w="4770" w:type="dxa"/>
          </w:tcPr>
          <w:p w14:paraId="57B9142A" w14:textId="77777777" w:rsidR="00756AB9" w:rsidRPr="00BA6517" w:rsidRDefault="00756AB9" w:rsidP="00BC0444">
            <w:pPr>
              <w:jc w:val="right"/>
              <w:rPr>
                <w:rFonts w:ascii="Arial" w:eastAsia="Arial" w:hAnsi="Arial" w:cs="Arial"/>
                <w:color w:val="000000" w:themeColor="text1"/>
                <w:sz w:val="20"/>
                <w:szCs w:val="20"/>
              </w:rPr>
            </w:pPr>
          </w:p>
        </w:tc>
        <w:tc>
          <w:tcPr>
            <w:tcW w:w="1222" w:type="dxa"/>
          </w:tcPr>
          <w:p w14:paraId="724761FA" w14:textId="77777777" w:rsidR="00756AB9" w:rsidRPr="00BA6517" w:rsidRDefault="00756AB9" w:rsidP="00BC0444">
            <w:pPr>
              <w:jc w:val="center"/>
              <w:rPr>
                <w:rFonts w:ascii="Arial" w:eastAsia="Arial" w:hAnsi="Arial" w:cs="Arial"/>
                <w:color w:val="000000" w:themeColor="text1"/>
                <w:sz w:val="20"/>
                <w:szCs w:val="20"/>
              </w:rPr>
            </w:pPr>
          </w:p>
        </w:tc>
        <w:tc>
          <w:tcPr>
            <w:tcW w:w="1691" w:type="dxa"/>
            <w:gridSpan w:val="2"/>
          </w:tcPr>
          <w:p w14:paraId="3786A20A" w14:textId="77777777" w:rsidR="00756AB9" w:rsidRPr="00BA6517" w:rsidRDefault="00756AB9" w:rsidP="00BC0444">
            <w:pPr>
              <w:jc w:val="center"/>
              <w:rPr>
                <w:rFonts w:ascii="Arial" w:eastAsia="Arial" w:hAnsi="Arial" w:cs="Arial"/>
                <w:color w:val="000000" w:themeColor="text1"/>
                <w:sz w:val="20"/>
                <w:szCs w:val="20"/>
              </w:rPr>
            </w:pPr>
          </w:p>
        </w:tc>
        <w:tc>
          <w:tcPr>
            <w:tcW w:w="1677" w:type="dxa"/>
          </w:tcPr>
          <w:p w14:paraId="43033AF7" w14:textId="77777777" w:rsidR="00756AB9" w:rsidRPr="00BA6517" w:rsidRDefault="00756AB9" w:rsidP="00BC0444">
            <w:pPr>
              <w:jc w:val="center"/>
              <w:rPr>
                <w:rFonts w:ascii="Arial" w:eastAsia="Arial" w:hAnsi="Arial" w:cs="Arial"/>
                <w:color w:val="000000" w:themeColor="text1"/>
                <w:sz w:val="20"/>
                <w:szCs w:val="20"/>
              </w:rPr>
            </w:pPr>
          </w:p>
        </w:tc>
      </w:tr>
      <w:tr w:rsidR="00756AB9" w:rsidRPr="00BA6517" w14:paraId="1239BEB7" w14:textId="77777777" w:rsidTr="00E16070">
        <w:tc>
          <w:tcPr>
            <w:tcW w:w="4770" w:type="dxa"/>
          </w:tcPr>
          <w:p w14:paraId="2820A8F2" w14:textId="77777777" w:rsidR="00756AB9" w:rsidRPr="00BA6517" w:rsidRDefault="00756AB9" w:rsidP="00BC0444">
            <w:pPr>
              <w:rPr>
                <w:rFonts w:ascii="Arial" w:eastAsia="Arial" w:hAnsi="Arial" w:cs="Arial"/>
                <w:color w:val="000000" w:themeColor="text1"/>
                <w:sz w:val="20"/>
                <w:szCs w:val="20"/>
              </w:rPr>
            </w:pPr>
            <w:r w:rsidRPr="00BA6517">
              <w:rPr>
                <w:rFonts w:ascii="Arial" w:eastAsia="Arial" w:hAnsi="Arial" w:cs="Arial"/>
                <w:color w:val="000000" w:themeColor="text1"/>
                <w:sz w:val="20"/>
                <w:szCs w:val="20"/>
              </w:rPr>
              <w:t>Aim 2</w:t>
            </w:r>
          </w:p>
        </w:tc>
        <w:tc>
          <w:tcPr>
            <w:tcW w:w="1222" w:type="dxa"/>
          </w:tcPr>
          <w:p w14:paraId="07FE1952" w14:textId="77777777" w:rsidR="00756AB9" w:rsidRPr="00BA6517" w:rsidRDefault="00756AB9" w:rsidP="00BC0444">
            <w:pPr>
              <w:jc w:val="center"/>
              <w:rPr>
                <w:rFonts w:ascii="Arial" w:eastAsia="Arial" w:hAnsi="Arial" w:cs="Arial"/>
                <w:color w:val="000000" w:themeColor="text1"/>
                <w:sz w:val="20"/>
                <w:szCs w:val="20"/>
              </w:rPr>
            </w:pPr>
          </w:p>
        </w:tc>
        <w:tc>
          <w:tcPr>
            <w:tcW w:w="1691" w:type="dxa"/>
            <w:gridSpan w:val="2"/>
          </w:tcPr>
          <w:p w14:paraId="3A1E0441" w14:textId="77777777" w:rsidR="00756AB9" w:rsidRPr="00BA6517" w:rsidRDefault="00756AB9" w:rsidP="00BC0444">
            <w:pPr>
              <w:jc w:val="center"/>
              <w:rPr>
                <w:rFonts w:ascii="Arial" w:eastAsia="Arial" w:hAnsi="Arial" w:cs="Arial"/>
                <w:color w:val="000000" w:themeColor="text1"/>
                <w:sz w:val="20"/>
                <w:szCs w:val="20"/>
              </w:rPr>
            </w:pPr>
          </w:p>
        </w:tc>
        <w:tc>
          <w:tcPr>
            <w:tcW w:w="1677" w:type="dxa"/>
          </w:tcPr>
          <w:p w14:paraId="2C96048F" w14:textId="77777777" w:rsidR="00756AB9" w:rsidRPr="00BA6517" w:rsidRDefault="00756AB9" w:rsidP="00BC0444">
            <w:pPr>
              <w:jc w:val="center"/>
              <w:rPr>
                <w:rFonts w:ascii="Arial" w:eastAsia="Arial" w:hAnsi="Arial" w:cs="Arial"/>
                <w:color w:val="000000" w:themeColor="text1"/>
                <w:sz w:val="20"/>
                <w:szCs w:val="20"/>
              </w:rPr>
            </w:pPr>
          </w:p>
        </w:tc>
      </w:tr>
      <w:tr w:rsidR="00756AB9" w:rsidRPr="00BA6517" w14:paraId="1797585E" w14:textId="77777777" w:rsidTr="00E16070">
        <w:tc>
          <w:tcPr>
            <w:tcW w:w="4770" w:type="dxa"/>
          </w:tcPr>
          <w:p w14:paraId="4C562103" w14:textId="28D3143A" w:rsidR="00756AB9" w:rsidRPr="00BA6517" w:rsidRDefault="005E085D" w:rsidP="00BC0444">
            <w:pPr>
              <w:jc w:val="right"/>
              <w:rPr>
                <w:rFonts w:ascii="Arial" w:eastAsia="Arial" w:hAnsi="Arial" w:cs="Arial"/>
                <w:color w:val="000000" w:themeColor="text1"/>
                <w:sz w:val="20"/>
                <w:szCs w:val="20"/>
              </w:rPr>
            </w:pPr>
            <w:r>
              <w:rPr>
                <w:rFonts w:ascii="Arial" w:eastAsia="Arial" w:hAnsi="Arial" w:cs="Arial"/>
                <w:color w:val="000000" w:themeColor="text1"/>
                <w:sz w:val="20"/>
                <w:szCs w:val="20"/>
              </w:rPr>
              <w:t>PCP</w:t>
            </w:r>
            <w:r w:rsidR="00756AB9" w:rsidRPr="00BA6517">
              <w:rPr>
                <w:rFonts w:ascii="Arial" w:eastAsia="Arial" w:hAnsi="Arial" w:cs="Arial"/>
                <w:color w:val="000000" w:themeColor="text1"/>
                <w:sz w:val="20"/>
                <w:szCs w:val="20"/>
              </w:rPr>
              <w:t>/HF providing MH services to patients</w:t>
            </w:r>
          </w:p>
        </w:tc>
        <w:tc>
          <w:tcPr>
            <w:tcW w:w="1222" w:type="dxa"/>
          </w:tcPr>
          <w:p w14:paraId="1F3D4237"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1</w:t>
            </w:r>
          </w:p>
        </w:tc>
        <w:tc>
          <w:tcPr>
            <w:tcW w:w="1691" w:type="dxa"/>
            <w:gridSpan w:val="2"/>
          </w:tcPr>
          <w:p w14:paraId="0C21EE75"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1</w:t>
            </w:r>
          </w:p>
        </w:tc>
        <w:tc>
          <w:tcPr>
            <w:tcW w:w="1677" w:type="dxa"/>
          </w:tcPr>
          <w:p w14:paraId="0CC5B402"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72</w:t>
            </w:r>
          </w:p>
        </w:tc>
      </w:tr>
      <w:tr w:rsidR="00756AB9" w:rsidRPr="00BA6517" w14:paraId="02549DEF" w14:textId="77777777" w:rsidTr="00E16070">
        <w:tc>
          <w:tcPr>
            <w:tcW w:w="4770" w:type="dxa"/>
          </w:tcPr>
          <w:p w14:paraId="2425C4FF"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Patients/HF</w:t>
            </w:r>
            <w:r w:rsidRPr="00BA6517">
              <w:rPr>
                <w:rFonts w:ascii="Arial" w:eastAsia="Arial" w:hAnsi="Arial" w:cs="Arial"/>
                <w:color w:val="000000" w:themeColor="text1"/>
                <w:sz w:val="20"/>
                <w:szCs w:val="20"/>
                <w:vertAlign w:val="superscript"/>
              </w:rPr>
              <w:t>a</w:t>
            </w:r>
            <w:r w:rsidRPr="00BA6517">
              <w:rPr>
                <w:rFonts w:ascii="Arial" w:eastAsia="Arial" w:hAnsi="Arial" w:cs="Arial"/>
                <w:color w:val="000000" w:themeColor="text1"/>
                <w:sz w:val="20"/>
                <w:szCs w:val="20"/>
              </w:rPr>
              <w:t xml:space="preserve"> enrolled</w:t>
            </w:r>
          </w:p>
        </w:tc>
        <w:tc>
          <w:tcPr>
            <w:tcW w:w="1222" w:type="dxa"/>
          </w:tcPr>
          <w:p w14:paraId="580342FA"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80</w:t>
            </w:r>
          </w:p>
        </w:tc>
        <w:tc>
          <w:tcPr>
            <w:tcW w:w="1691" w:type="dxa"/>
            <w:gridSpan w:val="2"/>
          </w:tcPr>
          <w:p w14:paraId="102D5095"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80</w:t>
            </w:r>
          </w:p>
        </w:tc>
        <w:tc>
          <w:tcPr>
            <w:tcW w:w="1677" w:type="dxa"/>
          </w:tcPr>
          <w:p w14:paraId="35791CDA"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5760</w:t>
            </w:r>
          </w:p>
        </w:tc>
      </w:tr>
      <w:tr w:rsidR="00756AB9" w:rsidRPr="00BA6517" w14:paraId="6E93DD08" w14:textId="77777777" w:rsidTr="00E16070">
        <w:tc>
          <w:tcPr>
            <w:tcW w:w="4770" w:type="dxa"/>
          </w:tcPr>
          <w:p w14:paraId="033B78EC"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Patients with SCID</w:t>
            </w:r>
            <w:r w:rsidRPr="00BA6517">
              <w:rPr>
                <w:rFonts w:ascii="Arial" w:eastAsia="Arial" w:hAnsi="Arial" w:cs="Arial"/>
                <w:color w:val="000000" w:themeColor="text1"/>
                <w:sz w:val="20"/>
                <w:szCs w:val="20"/>
                <w:vertAlign w:val="superscript"/>
              </w:rPr>
              <w:t>b</w:t>
            </w:r>
            <w:r w:rsidRPr="00BA6517">
              <w:rPr>
                <w:rFonts w:ascii="Arial" w:eastAsia="Arial" w:hAnsi="Arial" w:cs="Arial"/>
                <w:color w:val="000000" w:themeColor="text1"/>
                <w:sz w:val="20"/>
                <w:szCs w:val="20"/>
              </w:rPr>
              <w:t xml:space="preserve"> at 3-mth FU</w:t>
            </w:r>
          </w:p>
        </w:tc>
        <w:tc>
          <w:tcPr>
            <w:tcW w:w="1222" w:type="dxa"/>
          </w:tcPr>
          <w:p w14:paraId="1B9AB7D3"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16</w:t>
            </w:r>
          </w:p>
        </w:tc>
        <w:tc>
          <w:tcPr>
            <w:tcW w:w="1691" w:type="dxa"/>
            <w:gridSpan w:val="2"/>
          </w:tcPr>
          <w:p w14:paraId="198AEC12"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16</w:t>
            </w:r>
          </w:p>
        </w:tc>
        <w:tc>
          <w:tcPr>
            <w:tcW w:w="1677" w:type="dxa"/>
          </w:tcPr>
          <w:p w14:paraId="018F393F"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1152</w:t>
            </w:r>
          </w:p>
        </w:tc>
      </w:tr>
      <w:tr w:rsidR="00756AB9" w:rsidRPr="00BA6517" w14:paraId="04D9D9F3" w14:textId="77777777" w:rsidTr="00E16070">
        <w:tc>
          <w:tcPr>
            <w:tcW w:w="4770" w:type="dxa"/>
          </w:tcPr>
          <w:p w14:paraId="3993701F" w14:textId="77777777" w:rsidR="00756AB9" w:rsidRPr="00BA6517" w:rsidRDefault="00756AB9" w:rsidP="00BC0444">
            <w:pPr>
              <w:rPr>
                <w:rFonts w:ascii="Arial" w:eastAsia="Arial" w:hAnsi="Arial" w:cs="Arial"/>
                <w:color w:val="000000" w:themeColor="text1"/>
                <w:sz w:val="20"/>
                <w:szCs w:val="20"/>
              </w:rPr>
            </w:pPr>
            <w:r w:rsidRPr="00BA6517">
              <w:rPr>
                <w:rFonts w:ascii="Arial" w:eastAsia="Arial" w:hAnsi="Arial" w:cs="Arial"/>
                <w:color w:val="000000" w:themeColor="text1"/>
                <w:sz w:val="20"/>
                <w:szCs w:val="20"/>
              </w:rPr>
              <w:t>Accuracy pairwise correlation</w:t>
            </w:r>
          </w:p>
        </w:tc>
        <w:tc>
          <w:tcPr>
            <w:tcW w:w="1222" w:type="dxa"/>
          </w:tcPr>
          <w:p w14:paraId="68413026" w14:textId="77777777" w:rsidR="00756AB9" w:rsidRPr="00BA6517" w:rsidRDefault="00756AB9" w:rsidP="00BC0444">
            <w:pPr>
              <w:jc w:val="center"/>
              <w:rPr>
                <w:rFonts w:ascii="Arial" w:eastAsia="Arial" w:hAnsi="Arial" w:cs="Arial"/>
                <w:color w:val="000000" w:themeColor="text1"/>
                <w:sz w:val="20"/>
                <w:szCs w:val="20"/>
              </w:rPr>
            </w:pPr>
          </w:p>
        </w:tc>
        <w:tc>
          <w:tcPr>
            <w:tcW w:w="1691" w:type="dxa"/>
            <w:gridSpan w:val="2"/>
          </w:tcPr>
          <w:p w14:paraId="27E1084F" w14:textId="77777777" w:rsidR="00756AB9" w:rsidRPr="00BA6517" w:rsidRDefault="00756AB9" w:rsidP="00BC0444">
            <w:pPr>
              <w:jc w:val="center"/>
              <w:rPr>
                <w:rFonts w:ascii="Arial" w:eastAsia="Arial" w:hAnsi="Arial" w:cs="Arial"/>
                <w:color w:val="000000" w:themeColor="text1"/>
                <w:sz w:val="20"/>
                <w:szCs w:val="20"/>
              </w:rPr>
            </w:pPr>
          </w:p>
        </w:tc>
        <w:tc>
          <w:tcPr>
            <w:tcW w:w="1677" w:type="dxa"/>
          </w:tcPr>
          <w:p w14:paraId="7F0884C1" w14:textId="77777777" w:rsidR="00756AB9" w:rsidRPr="00BA6517" w:rsidRDefault="00756AB9" w:rsidP="00BC0444">
            <w:pPr>
              <w:jc w:val="center"/>
              <w:rPr>
                <w:rFonts w:ascii="Arial" w:eastAsia="Arial" w:hAnsi="Arial" w:cs="Arial"/>
                <w:color w:val="000000" w:themeColor="text1"/>
                <w:sz w:val="20"/>
                <w:szCs w:val="20"/>
              </w:rPr>
            </w:pPr>
          </w:p>
        </w:tc>
      </w:tr>
      <w:tr w:rsidR="00756AB9" w:rsidRPr="00BA6517" w14:paraId="672793AE" w14:textId="77777777" w:rsidTr="00E16070">
        <w:tc>
          <w:tcPr>
            <w:tcW w:w="4770" w:type="dxa"/>
          </w:tcPr>
          <w:p w14:paraId="348B003E" w14:textId="44BBADB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 xml:space="preserve">For patient of same </w:t>
            </w:r>
            <w:r w:rsidR="005E085D">
              <w:rPr>
                <w:rFonts w:ascii="Arial" w:eastAsia="Arial" w:hAnsi="Arial" w:cs="Arial"/>
                <w:color w:val="000000" w:themeColor="text1"/>
                <w:sz w:val="20"/>
                <w:szCs w:val="20"/>
              </w:rPr>
              <w:t>PCP</w:t>
            </w:r>
          </w:p>
        </w:tc>
        <w:tc>
          <w:tcPr>
            <w:tcW w:w="1222" w:type="dxa"/>
          </w:tcPr>
          <w:p w14:paraId="53951081"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0.05</w:t>
            </w:r>
          </w:p>
        </w:tc>
        <w:tc>
          <w:tcPr>
            <w:tcW w:w="1691" w:type="dxa"/>
            <w:gridSpan w:val="2"/>
          </w:tcPr>
          <w:p w14:paraId="18A717BB"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0.05</w:t>
            </w:r>
          </w:p>
        </w:tc>
        <w:tc>
          <w:tcPr>
            <w:tcW w:w="1677" w:type="dxa"/>
          </w:tcPr>
          <w:p w14:paraId="5D4625DE" w14:textId="16BB2A3F" w:rsidR="00756AB9" w:rsidRPr="00BA6517" w:rsidRDefault="00793FD6" w:rsidP="00BC0444">
            <w:pPr>
              <w:jc w:val="center"/>
              <w:rPr>
                <w:rFonts w:ascii="Arial" w:eastAsia="Arial" w:hAnsi="Arial" w:cs="Arial"/>
                <w:color w:val="000000" w:themeColor="text1"/>
                <w:sz w:val="20"/>
                <w:szCs w:val="20"/>
              </w:rPr>
            </w:pPr>
            <w:r>
              <w:rPr>
                <w:rFonts w:ascii="Arial" w:eastAsia="Arial" w:hAnsi="Arial" w:cs="Arial"/>
                <w:color w:val="000000" w:themeColor="text1"/>
                <w:sz w:val="20"/>
                <w:szCs w:val="20"/>
              </w:rPr>
              <w:t>0.05</w:t>
            </w:r>
          </w:p>
        </w:tc>
      </w:tr>
      <w:tr w:rsidR="00756AB9" w:rsidRPr="00BA6517" w14:paraId="72F6A460" w14:textId="77777777" w:rsidTr="00E16070">
        <w:tc>
          <w:tcPr>
            <w:tcW w:w="4770" w:type="dxa"/>
          </w:tcPr>
          <w:p w14:paraId="745978D6" w14:textId="6F042B9B"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 xml:space="preserve">For patient of different </w:t>
            </w:r>
            <w:r w:rsidR="0033041A">
              <w:rPr>
                <w:rFonts w:ascii="Arial" w:eastAsia="Arial" w:hAnsi="Arial" w:cs="Arial"/>
                <w:color w:val="000000" w:themeColor="text1"/>
                <w:sz w:val="20"/>
                <w:szCs w:val="20"/>
              </w:rPr>
              <w:t>PCP</w:t>
            </w:r>
            <w:r w:rsidRPr="00BA6517">
              <w:rPr>
                <w:rFonts w:ascii="Arial" w:eastAsia="Arial" w:hAnsi="Arial" w:cs="Arial"/>
                <w:color w:val="000000" w:themeColor="text1"/>
                <w:sz w:val="20"/>
                <w:szCs w:val="20"/>
              </w:rPr>
              <w:t xml:space="preserve"> in same municipality</w:t>
            </w:r>
            <w:r w:rsidRPr="00BA6517">
              <w:rPr>
                <w:rFonts w:ascii="Arial" w:eastAsia="Arial" w:hAnsi="Arial" w:cs="Arial"/>
                <w:color w:val="000000" w:themeColor="text1"/>
                <w:sz w:val="20"/>
                <w:szCs w:val="20"/>
                <w:vertAlign w:val="superscript"/>
              </w:rPr>
              <w:t>c</w:t>
            </w:r>
          </w:p>
        </w:tc>
        <w:tc>
          <w:tcPr>
            <w:tcW w:w="1222" w:type="dxa"/>
          </w:tcPr>
          <w:p w14:paraId="277DA8E6"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0.03</w:t>
            </w:r>
          </w:p>
        </w:tc>
        <w:tc>
          <w:tcPr>
            <w:tcW w:w="1691" w:type="dxa"/>
            <w:gridSpan w:val="2"/>
          </w:tcPr>
          <w:p w14:paraId="1AC53C79"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0.03</w:t>
            </w:r>
          </w:p>
        </w:tc>
        <w:tc>
          <w:tcPr>
            <w:tcW w:w="1677" w:type="dxa"/>
          </w:tcPr>
          <w:p w14:paraId="1BADBB49" w14:textId="5F839601" w:rsidR="00756AB9" w:rsidRPr="00BA6517" w:rsidRDefault="00793FD6" w:rsidP="00BC0444">
            <w:pPr>
              <w:jc w:val="center"/>
              <w:rPr>
                <w:rFonts w:ascii="Arial" w:eastAsia="Arial" w:hAnsi="Arial" w:cs="Arial"/>
                <w:color w:val="000000" w:themeColor="text1"/>
                <w:sz w:val="20"/>
                <w:szCs w:val="20"/>
              </w:rPr>
            </w:pPr>
            <w:r>
              <w:rPr>
                <w:rFonts w:ascii="Arial" w:eastAsia="Arial" w:hAnsi="Arial" w:cs="Arial"/>
                <w:color w:val="000000" w:themeColor="text1"/>
                <w:sz w:val="20"/>
                <w:szCs w:val="20"/>
              </w:rPr>
              <w:t>0.03</w:t>
            </w:r>
          </w:p>
        </w:tc>
      </w:tr>
      <w:tr w:rsidR="00756AB9" w:rsidRPr="00BA6517" w14:paraId="1972FBAC" w14:textId="77777777" w:rsidTr="00E16070">
        <w:tc>
          <w:tcPr>
            <w:tcW w:w="4770" w:type="dxa"/>
          </w:tcPr>
          <w:p w14:paraId="7B0CF44D"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Assumed diagnostic accuracy</w:t>
            </w:r>
            <w:r w:rsidRPr="00BA6517">
              <w:rPr>
                <w:rFonts w:ascii="Arial" w:eastAsia="Arial" w:hAnsi="Arial" w:cs="Arial"/>
                <w:color w:val="000000" w:themeColor="text1"/>
                <w:sz w:val="20"/>
                <w:szCs w:val="20"/>
                <w:vertAlign w:val="superscript"/>
              </w:rPr>
              <w:t>d</w:t>
            </w:r>
          </w:p>
        </w:tc>
        <w:tc>
          <w:tcPr>
            <w:tcW w:w="1222" w:type="dxa"/>
          </w:tcPr>
          <w:p w14:paraId="3B0530DF"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50.1%</w:t>
            </w:r>
          </w:p>
        </w:tc>
        <w:tc>
          <w:tcPr>
            <w:tcW w:w="1691" w:type="dxa"/>
            <w:gridSpan w:val="2"/>
          </w:tcPr>
          <w:p w14:paraId="5130C170"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69.9%</w:t>
            </w:r>
          </w:p>
        </w:tc>
        <w:tc>
          <w:tcPr>
            <w:tcW w:w="1677" w:type="dxa"/>
          </w:tcPr>
          <w:p w14:paraId="5679CB24"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w:t>
            </w:r>
          </w:p>
        </w:tc>
      </w:tr>
      <w:tr w:rsidR="00756AB9" w:rsidRPr="00BA6517" w14:paraId="1F68CB5B" w14:textId="77777777" w:rsidTr="00E16070">
        <w:tc>
          <w:tcPr>
            <w:tcW w:w="4770" w:type="dxa"/>
          </w:tcPr>
          <w:p w14:paraId="6B2DB5EC"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Effect size</w:t>
            </w:r>
          </w:p>
        </w:tc>
        <w:tc>
          <w:tcPr>
            <w:tcW w:w="2913" w:type="dxa"/>
            <w:gridSpan w:val="3"/>
          </w:tcPr>
          <w:p w14:paraId="53A900AA"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Ratio = 1.40; Diff = 19.8%</w:t>
            </w:r>
          </w:p>
        </w:tc>
        <w:tc>
          <w:tcPr>
            <w:tcW w:w="1677" w:type="dxa"/>
          </w:tcPr>
          <w:p w14:paraId="158B632F"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w:t>
            </w:r>
          </w:p>
        </w:tc>
      </w:tr>
      <w:tr w:rsidR="00756AB9" w:rsidRPr="00BA6517" w14:paraId="1ED11231" w14:textId="77777777" w:rsidTr="00E16070">
        <w:tc>
          <w:tcPr>
            <w:tcW w:w="4770" w:type="dxa"/>
          </w:tcPr>
          <w:p w14:paraId="124E2E44"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Power</w:t>
            </w:r>
          </w:p>
        </w:tc>
        <w:tc>
          <w:tcPr>
            <w:tcW w:w="2913" w:type="dxa"/>
            <w:gridSpan w:val="3"/>
          </w:tcPr>
          <w:p w14:paraId="5C518FC3" w14:textId="0E09C941"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9</w:t>
            </w:r>
            <w:r w:rsidR="00A96FC8">
              <w:rPr>
                <w:rFonts w:ascii="Arial" w:eastAsia="Arial" w:hAnsi="Arial" w:cs="Arial"/>
                <w:color w:val="000000" w:themeColor="text1"/>
                <w:sz w:val="20"/>
                <w:szCs w:val="20"/>
              </w:rPr>
              <w:t>7</w:t>
            </w:r>
            <w:r w:rsidRPr="00BA6517">
              <w:rPr>
                <w:rFonts w:ascii="Arial" w:eastAsia="Arial" w:hAnsi="Arial" w:cs="Arial"/>
                <w:color w:val="000000" w:themeColor="text1"/>
                <w:sz w:val="20"/>
                <w:szCs w:val="20"/>
              </w:rPr>
              <w:t>%</w:t>
            </w:r>
          </w:p>
        </w:tc>
        <w:tc>
          <w:tcPr>
            <w:tcW w:w="1677" w:type="dxa"/>
          </w:tcPr>
          <w:p w14:paraId="40051A5C"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w:t>
            </w:r>
          </w:p>
        </w:tc>
      </w:tr>
      <w:tr w:rsidR="00756AB9" w:rsidRPr="00BA6517" w14:paraId="6AB22144" w14:textId="77777777" w:rsidTr="00E16070">
        <w:tc>
          <w:tcPr>
            <w:tcW w:w="4770" w:type="dxa"/>
          </w:tcPr>
          <w:p w14:paraId="55B3A250" w14:textId="77777777" w:rsidR="00756AB9" w:rsidRPr="00BA6517" w:rsidRDefault="00756AB9" w:rsidP="00BC0444">
            <w:pPr>
              <w:jc w:val="right"/>
              <w:rPr>
                <w:rFonts w:ascii="Arial" w:eastAsia="Arial" w:hAnsi="Arial" w:cs="Arial"/>
                <w:color w:val="000000" w:themeColor="text1"/>
                <w:sz w:val="20"/>
                <w:szCs w:val="20"/>
              </w:rPr>
            </w:pPr>
          </w:p>
        </w:tc>
        <w:tc>
          <w:tcPr>
            <w:tcW w:w="2913" w:type="dxa"/>
            <w:gridSpan w:val="3"/>
          </w:tcPr>
          <w:p w14:paraId="6766BFF6" w14:textId="77777777" w:rsidR="00756AB9" w:rsidRPr="00BA6517" w:rsidRDefault="00756AB9" w:rsidP="00BC0444">
            <w:pPr>
              <w:jc w:val="center"/>
              <w:rPr>
                <w:rFonts w:ascii="Arial" w:eastAsia="Arial" w:hAnsi="Arial" w:cs="Arial"/>
                <w:color w:val="000000" w:themeColor="text1"/>
                <w:sz w:val="20"/>
                <w:szCs w:val="20"/>
              </w:rPr>
            </w:pPr>
          </w:p>
        </w:tc>
        <w:tc>
          <w:tcPr>
            <w:tcW w:w="1677" w:type="dxa"/>
          </w:tcPr>
          <w:p w14:paraId="6BDF2598" w14:textId="77777777" w:rsidR="00756AB9" w:rsidRPr="00BA6517" w:rsidRDefault="00756AB9" w:rsidP="00BC0444">
            <w:pPr>
              <w:jc w:val="center"/>
              <w:rPr>
                <w:rFonts w:ascii="Arial" w:eastAsia="Arial" w:hAnsi="Arial" w:cs="Arial"/>
                <w:color w:val="000000" w:themeColor="text1"/>
                <w:sz w:val="20"/>
                <w:szCs w:val="20"/>
              </w:rPr>
            </w:pPr>
          </w:p>
        </w:tc>
      </w:tr>
      <w:tr w:rsidR="00756AB9" w:rsidRPr="00BA6517" w14:paraId="5A7C7E41" w14:textId="77777777" w:rsidTr="00E16070">
        <w:tc>
          <w:tcPr>
            <w:tcW w:w="4770" w:type="dxa"/>
          </w:tcPr>
          <w:p w14:paraId="4EB32104" w14:textId="77777777" w:rsidR="00756AB9" w:rsidRPr="00BA6517" w:rsidRDefault="00756AB9" w:rsidP="00BC0444">
            <w:pPr>
              <w:jc w:val="right"/>
              <w:rPr>
                <w:rFonts w:ascii="Arial" w:eastAsia="Arial" w:hAnsi="Arial" w:cs="Arial"/>
                <w:color w:val="000000" w:themeColor="text1"/>
                <w:sz w:val="20"/>
                <w:szCs w:val="20"/>
              </w:rPr>
            </w:pPr>
          </w:p>
        </w:tc>
        <w:tc>
          <w:tcPr>
            <w:tcW w:w="2913" w:type="dxa"/>
            <w:gridSpan w:val="3"/>
          </w:tcPr>
          <w:p w14:paraId="49068532" w14:textId="77777777" w:rsidR="00756AB9" w:rsidRPr="00BA6517" w:rsidRDefault="00756AB9" w:rsidP="00BC0444">
            <w:pPr>
              <w:jc w:val="center"/>
              <w:rPr>
                <w:rFonts w:ascii="Arial" w:eastAsia="Arial" w:hAnsi="Arial" w:cs="Arial"/>
                <w:color w:val="000000" w:themeColor="text1"/>
                <w:sz w:val="20"/>
                <w:szCs w:val="20"/>
              </w:rPr>
            </w:pPr>
          </w:p>
        </w:tc>
        <w:tc>
          <w:tcPr>
            <w:tcW w:w="1677" w:type="dxa"/>
          </w:tcPr>
          <w:p w14:paraId="1A30BAD7" w14:textId="77777777" w:rsidR="00756AB9" w:rsidRPr="00BA6517" w:rsidRDefault="00756AB9" w:rsidP="00BC0444">
            <w:pPr>
              <w:jc w:val="center"/>
              <w:rPr>
                <w:rFonts w:ascii="Arial" w:eastAsia="Arial" w:hAnsi="Arial" w:cs="Arial"/>
                <w:color w:val="000000" w:themeColor="text1"/>
                <w:sz w:val="20"/>
                <w:szCs w:val="20"/>
              </w:rPr>
            </w:pPr>
          </w:p>
        </w:tc>
      </w:tr>
      <w:tr w:rsidR="00756AB9" w:rsidRPr="00BA6517" w14:paraId="2740D209" w14:textId="77777777" w:rsidTr="00E16070">
        <w:tc>
          <w:tcPr>
            <w:tcW w:w="4770" w:type="dxa"/>
          </w:tcPr>
          <w:p w14:paraId="75046DA2" w14:textId="287A847A" w:rsidR="00756AB9" w:rsidRPr="00BA6517" w:rsidRDefault="005E085D" w:rsidP="00BC0444">
            <w:pPr>
              <w:jc w:val="right"/>
              <w:rPr>
                <w:rFonts w:ascii="Arial" w:eastAsia="Arial" w:hAnsi="Arial" w:cs="Arial"/>
                <w:color w:val="000000" w:themeColor="text1"/>
                <w:sz w:val="20"/>
                <w:szCs w:val="20"/>
              </w:rPr>
            </w:pPr>
            <w:r>
              <w:rPr>
                <w:rFonts w:ascii="Arial" w:eastAsia="Arial" w:hAnsi="Arial" w:cs="Arial"/>
                <w:color w:val="000000" w:themeColor="text1"/>
                <w:sz w:val="20"/>
                <w:szCs w:val="20"/>
              </w:rPr>
              <w:t>PCP</w:t>
            </w:r>
            <w:r w:rsidR="00756AB9" w:rsidRPr="00BA6517">
              <w:rPr>
                <w:rFonts w:ascii="Arial" w:eastAsia="Arial" w:hAnsi="Arial" w:cs="Arial"/>
                <w:color w:val="000000" w:themeColor="text1"/>
                <w:sz w:val="20"/>
                <w:szCs w:val="20"/>
              </w:rPr>
              <w:t>/HF providing MH services to patients</w:t>
            </w:r>
          </w:p>
        </w:tc>
        <w:tc>
          <w:tcPr>
            <w:tcW w:w="1317" w:type="dxa"/>
            <w:gridSpan w:val="2"/>
          </w:tcPr>
          <w:p w14:paraId="45EEE0E1"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2</w:t>
            </w:r>
          </w:p>
        </w:tc>
        <w:tc>
          <w:tcPr>
            <w:tcW w:w="1596" w:type="dxa"/>
          </w:tcPr>
          <w:p w14:paraId="7835E97B"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2</w:t>
            </w:r>
          </w:p>
        </w:tc>
        <w:tc>
          <w:tcPr>
            <w:tcW w:w="1677" w:type="dxa"/>
          </w:tcPr>
          <w:p w14:paraId="474B1A68"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144</w:t>
            </w:r>
          </w:p>
        </w:tc>
      </w:tr>
      <w:tr w:rsidR="00756AB9" w:rsidRPr="00BA6517" w14:paraId="2E5FA68E" w14:textId="77777777" w:rsidTr="00E16070">
        <w:tc>
          <w:tcPr>
            <w:tcW w:w="4770" w:type="dxa"/>
          </w:tcPr>
          <w:p w14:paraId="7CC67D54" w14:textId="7F390931"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Patients/</w:t>
            </w:r>
            <w:r w:rsidR="005E085D">
              <w:rPr>
                <w:rFonts w:ascii="Arial" w:eastAsia="Arial" w:hAnsi="Arial" w:cs="Arial"/>
                <w:color w:val="000000" w:themeColor="text1"/>
                <w:sz w:val="20"/>
                <w:szCs w:val="20"/>
              </w:rPr>
              <w:t>PCP</w:t>
            </w:r>
            <w:r w:rsidRPr="00BA6517">
              <w:rPr>
                <w:rFonts w:ascii="Arial" w:eastAsia="Arial" w:hAnsi="Arial" w:cs="Arial"/>
                <w:color w:val="000000" w:themeColor="text1"/>
                <w:sz w:val="20"/>
                <w:szCs w:val="20"/>
              </w:rPr>
              <w:t xml:space="preserve"> enrolled</w:t>
            </w:r>
          </w:p>
        </w:tc>
        <w:tc>
          <w:tcPr>
            <w:tcW w:w="1317" w:type="dxa"/>
            <w:gridSpan w:val="2"/>
          </w:tcPr>
          <w:p w14:paraId="65C30C74"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40</w:t>
            </w:r>
          </w:p>
        </w:tc>
        <w:tc>
          <w:tcPr>
            <w:tcW w:w="1596" w:type="dxa"/>
          </w:tcPr>
          <w:p w14:paraId="06C1B19C"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40</w:t>
            </w:r>
          </w:p>
        </w:tc>
        <w:tc>
          <w:tcPr>
            <w:tcW w:w="1677" w:type="dxa"/>
          </w:tcPr>
          <w:p w14:paraId="4FC75DA0"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5760</w:t>
            </w:r>
          </w:p>
        </w:tc>
      </w:tr>
      <w:tr w:rsidR="00756AB9" w:rsidRPr="00BA6517" w14:paraId="1D291DB3" w14:textId="77777777" w:rsidTr="00E16070">
        <w:tc>
          <w:tcPr>
            <w:tcW w:w="4770" w:type="dxa"/>
          </w:tcPr>
          <w:p w14:paraId="268570DA" w14:textId="4A22AAF1"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Patients/</w:t>
            </w:r>
            <w:r w:rsidR="005E085D">
              <w:rPr>
                <w:rFonts w:ascii="Arial" w:eastAsia="Arial" w:hAnsi="Arial" w:cs="Arial"/>
                <w:color w:val="000000" w:themeColor="text1"/>
                <w:sz w:val="20"/>
                <w:szCs w:val="20"/>
              </w:rPr>
              <w:t>PCP</w:t>
            </w:r>
            <w:r w:rsidRPr="00BA6517">
              <w:rPr>
                <w:rFonts w:ascii="Arial" w:eastAsia="Arial" w:hAnsi="Arial" w:cs="Arial"/>
                <w:color w:val="000000" w:themeColor="text1"/>
                <w:sz w:val="20"/>
                <w:szCs w:val="20"/>
              </w:rPr>
              <w:t xml:space="preserve"> with SCID</w:t>
            </w:r>
            <w:r w:rsidRPr="00BA6517">
              <w:rPr>
                <w:rFonts w:ascii="Arial" w:eastAsia="Arial" w:hAnsi="Arial" w:cs="Arial"/>
                <w:color w:val="000000" w:themeColor="text1"/>
                <w:sz w:val="20"/>
                <w:szCs w:val="20"/>
                <w:vertAlign w:val="superscript"/>
              </w:rPr>
              <w:t>b</w:t>
            </w:r>
            <w:r w:rsidRPr="00BA6517">
              <w:rPr>
                <w:rFonts w:ascii="Arial" w:eastAsia="Arial" w:hAnsi="Arial" w:cs="Arial"/>
                <w:color w:val="000000" w:themeColor="text1"/>
                <w:sz w:val="20"/>
                <w:szCs w:val="20"/>
              </w:rPr>
              <w:t xml:space="preserve"> at 3-mth FU</w:t>
            </w:r>
          </w:p>
        </w:tc>
        <w:tc>
          <w:tcPr>
            <w:tcW w:w="1317" w:type="dxa"/>
            <w:gridSpan w:val="2"/>
          </w:tcPr>
          <w:p w14:paraId="684717CF"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8</w:t>
            </w:r>
          </w:p>
        </w:tc>
        <w:tc>
          <w:tcPr>
            <w:tcW w:w="1596" w:type="dxa"/>
          </w:tcPr>
          <w:p w14:paraId="0A695E62"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8</w:t>
            </w:r>
          </w:p>
        </w:tc>
        <w:tc>
          <w:tcPr>
            <w:tcW w:w="1677" w:type="dxa"/>
          </w:tcPr>
          <w:p w14:paraId="07568496"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1152</w:t>
            </w:r>
          </w:p>
        </w:tc>
      </w:tr>
      <w:tr w:rsidR="00756AB9" w:rsidRPr="00BA6517" w14:paraId="7CC3DE21" w14:textId="77777777" w:rsidTr="00E16070">
        <w:tc>
          <w:tcPr>
            <w:tcW w:w="4770" w:type="dxa"/>
          </w:tcPr>
          <w:p w14:paraId="4D652023"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Accuracy pairwise correlation</w:t>
            </w:r>
          </w:p>
        </w:tc>
        <w:tc>
          <w:tcPr>
            <w:tcW w:w="2913" w:type="dxa"/>
            <w:gridSpan w:val="3"/>
          </w:tcPr>
          <w:p w14:paraId="3B8EBCD3" w14:textId="77777777" w:rsidR="00756AB9" w:rsidRPr="00BA6517" w:rsidRDefault="00756AB9" w:rsidP="00BC0444">
            <w:pPr>
              <w:jc w:val="center"/>
              <w:rPr>
                <w:rFonts w:ascii="Arial" w:eastAsia="Arial" w:hAnsi="Arial" w:cs="Arial"/>
                <w:color w:val="000000" w:themeColor="text1"/>
                <w:sz w:val="20"/>
                <w:szCs w:val="20"/>
              </w:rPr>
            </w:pPr>
          </w:p>
        </w:tc>
        <w:tc>
          <w:tcPr>
            <w:tcW w:w="1677" w:type="dxa"/>
          </w:tcPr>
          <w:p w14:paraId="6DEEC9E2" w14:textId="77777777" w:rsidR="00756AB9" w:rsidRPr="00BA6517" w:rsidRDefault="00756AB9" w:rsidP="00BC0444">
            <w:pPr>
              <w:jc w:val="center"/>
              <w:rPr>
                <w:rFonts w:ascii="Arial" w:eastAsia="Arial" w:hAnsi="Arial" w:cs="Arial"/>
                <w:color w:val="000000" w:themeColor="text1"/>
                <w:sz w:val="20"/>
                <w:szCs w:val="20"/>
              </w:rPr>
            </w:pPr>
          </w:p>
        </w:tc>
      </w:tr>
      <w:tr w:rsidR="00756AB9" w:rsidRPr="00BA6517" w14:paraId="155C6ED4" w14:textId="77777777" w:rsidTr="00E16070">
        <w:tc>
          <w:tcPr>
            <w:tcW w:w="4770" w:type="dxa"/>
          </w:tcPr>
          <w:p w14:paraId="012DA216" w14:textId="2F04A90F"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 xml:space="preserve">For patient of same </w:t>
            </w:r>
            <w:r w:rsidR="0033041A">
              <w:rPr>
                <w:rFonts w:ascii="Arial" w:eastAsia="Arial" w:hAnsi="Arial" w:cs="Arial"/>
                <w:color w:val="000000" w:themeColor="text1"/>
                <w:sz w:val="20"/>
                <w:szCs w:val="20"/>
              </w:rPr>
              <w:t>PCP</w:t>
            </w:r>
          </w:p>
        </w:tc>
        <w:tc>
          <w:tcPr>
            <w:tcW w:w="1317" w:type="dxa"/>
            <w:gridSpan w:val="2"/>
          </w:tcPr>
          <w:p w14:paraId="4EAFD07A"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0.05</w:t>
            </w:r>
          </w:p>
        </w:tc>
        <w:tc>
          <w:tcPr>
            <w:tcW w:w="1596" w:type="dxa"/>
          </w:tcPr>
          <w:p w14:paraId="49DDB1C9"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0.05</w:t>
            </w:r>
          </w:p>
        </w:tc>
        <w:tc>
          <w:tcPr>
            <w:tcW w:w="1677" w:type="dxa"/>
          </w:tcPr>
          <w:p w14:paraId="58FA4CAD"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0.05</w:t>
            </w:r>
          </w:p>
        </w:tc>
      </w:tr>
      <w:tr w:rsidR="00756AB9" w:rsidRPr="00BA6517" w14:paraId="10B2E8CA" w14:textId="77777777" w:rsidTr="00E16070">
        <w:trPr>
          <w:trHeight w:val="76"/>
        </w:trPr>
        <w:tc>
          <w:tcPr>
            <w:tcW w:w="4770" w:type="dxa"/>
          </w:tcPr>
          <w:p w14:paraId="161476A9" w14:textId="60D65F31"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 xml:space="preserve">For patient of different </w:t>
            </w:r>
            <w:r w:rsidR="0033041A">
              <w:rPr>
                <w:rFonts w:ascii="Arial" w:eastAsia="Arial" w:hAnsi="Arial" w:cs="Arial"/>
                <w:color w:val="000000" w:themeColor="text1"/>
                <w:sz w:val="20"/>
                <w:szCs w:val="20"/>
              </w:rPr>
              <w:t>PCP</w:t>
            </w:r>
            <w:r w:rsidRPr="00BA6517">
              <w:rPr>
                <w:rFonts w:ascii="Arial" w:eastAsia="Arial" w:hAnsi="Arial" w:cs="Arial"/>
                <w:color w:val="000000" w:themeColor="text1"/>
                <w:sz w:val="20"/>
                <w:szCs w:val="20"/>
              </w:rPr>
              <w:t xml:space="preserve"> in same HF</w:t>
            </w:r>
          </w:p>
        </w:tc>
        <w:tc>
          <w:tcPr>
            <w:tcW w:w="1317" w:type="dxa"/>
            <w:gridSpan w:val="2"/>
          </w:tcPr>
          <w:p w14:paraId="2A18FB5A"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0.04</w:t>
            </w:r>
          </w:p>
        </w:tc>
        <w:tc>
          <w:tcPr>
            <w:tcW w:w="1596" w:type="dxa"/>
          </w:tcPr>
          <w:p w14:paraId="1B6F69E3"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0.04</w:t>
            </w:r>
          </w:p>
        </w:tc>
        <w:tc>
          <w:tcPr>
            <w:tcW w:w="1677" w:type="dxa"/>
          </w:tcPr>
          <w:p w14:paraId="1C3DFA2A"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0.04</w:t>
            </w:r>
          </w:p>
        </w:tc>
      </w:tr>
      <w:tr w:rsidR="00756AB9" w:rsidRPr="00BA6517" w14:paraId="08332806" w14:textId="77777777" w:rsidTr="00E16070">
        <w:tc>
          <w:tcPr>
            <w:tcW w:w="4770" w:type="dxa"/>
          </w:tcPr>
          <w:p w14:paraId="3A994475" w14:textId="1B0EC43A"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 xml:space="preserve">For patient of different </w:t>
            </w:r>
            <w:r w:rsidR="0033041A">
              <w:rPr>
                <w:rFonts w:ascii="Arial" w:eastAsia="Arial" w:hAnsi="Arial" w:cs="Arial"/>
                <w:color w:val="000000" w:themeColor="text1"/>
                <w:sz w:val="20"/>
                <w:szCs w:val="20"/>
              </w:rPr>
              <w:t>PCP</w:t>
            </w:r>
            <w:r w:rsidRPr="00BA6517">
              <w:rPr>
                <w:rFonts w:ascii="Arial" w:eastAsia="Arial" w:hAnsi="Arial" w:cs="Arial"/>
                <w:color w:val="000000" w:themeColor="text1"/>
                <w:sz w:val="20"/>
                <w:szCs w:val="20"/>
              </w:rPr>
              <w:t xml:space="preserve"> in same municipality</w:t>
            </w:r>
          </w:p>
        </w:tc>
        <w:tc>
          <w:tcPr>
            <w:tcW w:w="1317" w:type="dxa"/>
            <w:gridSpan w:val="2"/>
          </w:tcPr>
          <w:p w14:paraId="24E40363"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0.03</w:t>
            </w:r>
          </w:p>
        </w:tc>
        <w:tc>
          <w:tcPr>
            <w:tcW w:w="1596" w:type="dxa"/>
          </w:tcPr>
          <w:p w14:paraId="5A62C05C"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0.03</w:t>
            </w:r>
          </w:p>
        </w:tc>
        <w:tc>
          <w:tcPr>
            <w:tcW w:w="1677" w:type="dxa"/>
          </w:tcPr>
          <w:p w14:paraId="197A69A2"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0.03</w:t>
            </w:r>
          </w:p>
        </w:tc>
      </w:tr>
      <w:tr w:rsidR="00756AB9" w:rsidRPr="00BA6517" w14:paraId="6D1FF6EA" w14:textId="77777777" w:rsidTr="00E16070">
        <w:tc>
          <w:tcPr>
            <w:tcW w:w="4770" w:type="dxa"/>
          </w:tcPr>
          <w:p w14:paraId="2D931C30"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Assumed diagnostic accuracy</w:t>
            </w:r>
            <w:r w:rsidRPr="00BA6517">
              <w:rPr>
                <w:rFonts w:ascii="Arial" w:eastAsia="Arial" w:hAnsi="Arial" w:cs="Arial"/>
                <w:color w:val="000000" w:themeColor="text1"/>
                <w:sz w:val="20"/>
                <w:szCs w:val="20"/>
                <w:vertAlign w:val="superscript"/>
              </w:rPr>
              <w:t>d</w:t>
            </w:r>
          </w:p>
        </w:tc>
        <w:tc>
          <w:tcPr>
            <w:tcW w:w="1317" w:type="dxa"/>
            <w:gridSpan w:val="2"/>
          </w:tcPr>
          <w:p w14:paraId="7FAD2524"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50.1%</w:t>
            </w:r>
          </w:p>
        </w:tc>
        <w:tc>
          <w:tcPr>
            <w:tcW w:w="1596" w:type="dxa"/>
          </w:tcPr>
          <w:p w14:paraId="3076CFC3"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69.9%</w:t>
            </w:r>
          </w:p>
        </w:tc>
        <w:tc>
          <w:tcPr>
            <w:tcW w:w="1677" w:type="dxa"/>
          </w:tcPr>
          <w:p w14:paraId="590D4514"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w:t>
            </w:r>
          </w:p>
        </w:tc>
      </w:tr>
      <w:tr w:rsidR="00756AB9" w:rsidRPr="00BA6517" w14:paraId="432C71AD" w14:textId="77777777" w:rsidTr="00E16070">
        <w:tc>
          <w:tcPr>
            <w:tcW w:w="4770" w:type="dxa"/>
          </w:tcPr>
          <w:p w14:paraId="7E50695D"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Effect size</w:t>
            </w:r>
          </w:p>
        </w:tc>
        <w:tc>
          <w:tcPr>
            <w:tcW w:w="2913" w:type="dxa"/>
            <w:gridSpan w:val="3"/>
          </w:tcPr>
          <w:p w14:paraId="6DE70673"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Ratio = 1.40; Diff = 19.8%</w:t>
            </w:r>
          </w:p>
        </w:tc>
        <w:tc>
          <w:tcPr>
            <w:tcW w:w="1677" w:type="dxa"/>
          </w:tcPr>
          <w:p w14:paraId="52EF58BF"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w:t>
            </w:r>
          </w:p>
        </w:tc>
      </w:tr>
      <w:tr w:rsidR="00756AB9" w:rsidRPr="00BA6517" w14:paraId="35302144" w14:textId="77777777" w:rsidTr="00E16070">
        <w:tc>
          <w:tcPr>
            <w:tcW w:w="4770" w:type="dxa"/>
          </w:tcPr>
          <w:p w14:paraId="1B11CEF8" w14:textId="77777777" w:rsidR="00756AB9" w:rsidRPr="00BA6517" w:rsidRDefault="00756AB9" w:rsidP="00BC0444">
            <w:pPr>
              <w:jc w:val="right"/>
              <w:rPr>
                <w:rFonts w:ascii="Arial" w:eastAsia="Arial" w:hAnsi="Arial" w:cs="Arial"/>
                <w:color w:val="000000" w:themeColor="text1"/>
                <w:sz w:val="20"/>
                <w:szCs w:val="20"/>
              </w:rPr>
            </w:pPr>
            <w:r w:rsidRPr="00BA6517">
              <w:rPr>
                <w:rFonts w:ascii="Arial" w:eastAsia="Arial" w:hAnsi="Arial" w:cs="Arial"/>
                <w:color w:val="000000" w:themeColor="text1"/>
                <w:sz w:val="20"/>
                <w:szCs w:val="20"/>
              </w:rPr>
              <w:t>Power</w:t>
            </w:r>
          </w:p>
        </w:tc>
        <w:tc>
          <w:tcPr>
            <w:tcW w:w="2913" w:type="dxa"/>
            <w:gridSpan w:val="3"/>
          </w:tcPr>
          <w:p w14:paraId="153DC0C3" w14:textId="208AAE5A"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9</w:t>
            </w:r>
            <w:r w:rsidR="00A96FC8">
              <w:rPr>
                <w:rFonts w:ascii="Arial" w:eastAsia="Arial" w:hAnsi="Arial" w:cs="Arial"/>
                <w:color w:val="000000" w:themeColor="text1"/>
                <w:sz w:val="20"/>
                <w:szCs w:val="20"/>
              </w:rPr>
              <w:t>7</w:t>
            </w:r>
            <w:r w:rsidRPr="00BA6517">
              <w:rPr>
                <w:rFonts w:ascii="Arial" w:eastAsia="Arial" w:hAnsi="Arial" w:cs="Arial"/>
                <w:color w:val="000000" w:themeColor="text1"/>
                <w:sz w:val="20"/>
                <w:szCs w:val="20"/>
              </w:rPr>
              <w:t>%</w:t>
            </w:r>
          </w:p>
        </w:tc>
        <w:tc>
          <w:tcPr>
            <w:tcW w:w="1677" w:type="dxa"/>
          </w:tcPr>
          <w:p w14:paraId="7D18A2F2" w14:textId="77777777" w:rsidR="00756AB9" w:rsidRPr="00BA6517" w:rsidRDefault="00756AB9" w:rsidP="00BC0444">
            <w:pPr>
              <w:jc w:val="center"/>
              <w:rPr>
                <w:rFonts w:ascii="Arial" w:eastAsia="Arial" w:hAnsi="Arial" w:cs="Arial"/>
                <w:color w:val="000000" w:themeColor="text1"/>
                <w:sz w:val="20"/>
                <w:szCs w:val="20"/>
              </w:rPr>
            </w:pPr>
            <w:r w:rsidRPr="00BA6517">
              <w:rPr>
                <w:rFonts w:ascii="Arial" w:eastAsia="Arial" w:hAnsi="Arial" w:cs="Arial"/>
                <w:color w:val="000000" w:themeColor="text1"/>
                <w:sz w:val="20"/>
                <w:szCs w:val="20"/>
              </w:rPr>
              <w:t>-</w:t>
            </w:r>
          </w:p>
        </w:tc>
      </w:tr>
      <w:tr w:rsidR="00756AB9" w:rsidRPr="00BA6517" w14:paraId="252A9CE4" w14:textId="77777777" w:rsidTr="00E16070">
        <w:tc>
          <w:tcPr>
            <w:tcW w:w="4770" w:type="dxa"/>
          </w:tcPr>
          <w:p w14:paraId="1278F137" w14:textId="77777777" w:rsidR="00756AB9" w:rsidRPr="00BA6517" w:rsidRDefault="00756AB9" w:rsidP="00BC0444">
            <w:pPr>
              <w:jc w:val="right"/>
              <w:rPr>
                <w:rFonts w:ascii="Arial" w:eastAsia="Arial" w:hAnsi="Arial" w:cs="Arial"/>
                <w:color w:val="000000" w:themeColor="text1"/>
                <w:sz w:val="20"/>
                <w:szCs w:val="20"/>
              </w:rPr>
            </w:pPr>
          </w:p>
        </w:tc>
        <w:tc>
          <w:tcPr>
            <w:tcW w:w="2913" w:type="dxa"/>
            <w:gridSpan w:val="3"/>
          </w:tcPr>
          <w:p w14:paraId="44CA97B5" w14:textId="77777777" w:rsidR="00756AB9" w:rsidRPr="00BA6517" w:rsidRDefault="00756AB9" w:rsidP="00BC0444">
            <w:pPr>
              <w:jc w:val="center"/>
              <w:rPr>
                <w:rFonts w:ascii="Arial" w:eastAsia="Arial" w:hAnsi="Arial" w:cs="Arial"/>
                <w:color w:val="000000" w:themeColor="text1"/>
                <w:sz w:val="20"/>
                <w:szCs w:val="20"/>
              </w:rPr>
            </w:pPr>
          </w:p>
        </w:tc>
        <w:tc>
          <w:tcPr>
            <w:tcW w:w="1677" w:type="dxa"/>
          </w:tcPr>
          <w:p w14:paraId="2B2AD498" w14:textId="77777777" w:rsidR="00756AB9" w:rsidRPr="00BA6517" w:rsidRDefault="00756AB9" w:rsidP="00BC0444">
            <w:pPr>
              <w:jc w:val="center"/>
              <w:rPr>
                <w:rFonts w:ascii="Arial" w:eastAsia="Arial" w:hAnsi="Arial" w:cs="Arial"/>
                <w:color w:val="000000" w:themeColor="text1"/>
                <w:sz w:val="20"/>
                <w:szCs w:val="20"/>
              </w:rPr>
            </w:pPr>
          </w:p>
        </w:tc>
      </w:tr>
      <w:tr w:rsidR="00756AB9" w:rsidRPr="00BA6517" w14:paraId="7D622291" w14:textId="77777777" w:rsidTr="00BC0444">
        <w:tc>
          <w:tcPr>
            <w:tcW w:w="9360" w:type="dxa"/>
            <w:gridSpan w:val="5"/>
            <w:tcBorders>
              <w:top w:val="single" w:sz="4" w:space="0" w:color="auto"/>
            </w:tcBorders>
          </w:tcPr>
          <w:p w14:paraId="6ED1B037" w14:textId="77125211" w:rsidR="00756AB9" w:rsidRPr="00E16070" w:rsidRDefault="00756AB9" w:rsidP="00BC0444">
            <w:pPr>
              <w:rPr>
                <w:rFonts w:ascii="Arial" w:eastAsia="Arial" w:hAnsi="Arial" w:cs="Arial"/>
                <w:color w:val="000000" w:themeColor="text1"/>
                <w:sz w:val="18"/>
                <w:szCs w:val="18"/>
              </w:rPr>
            </w:pPr>
            <w:r w:rsidRPr="00E16070">
              <w:rPr>
                <w:rFonts w:ascii="Arial" w:eastAsia="Arial" w:hAnsi="Arial" w:cs="Arial"/>
                <w:color w:val="000000" w:themeColor="text1"/>
                <w:sz w:val="18"/>
                <w:szCs w:val="18"/>
                <w:vertAlign w:val="superscript"/>
              </w:rPr>
              <w:t xml:space="preserve">a </w:t>
            </w:r>
            <w:r w:rsidRPr="00E16070">
              <w:rPr>
                <w:rFonts w:ascii="Arial" w:eastAsia="Arial" w:hAnsi="Arial" w:cs="Arial"/>
                <w:color w:val="000000" w:themeColor="text1"/>
                <w:sz w:val="18"/>
                <w:szCs w:val="18"/>
              </w:rPr>
              <w:t>Equivalently Patients/</w:t>
            </w:r>
            <w:r w:rsidR="00B3055B" w:rsidRPr="00E16070">
              <w:rPr>
                <w:rFonts w:ascii="Arial" w:eastAsia="Arial" w:hAnsi="Arial" w:cs="Arial"/>
                <w:color w:val="000000" w:themeColor="text1"/>
                <w:sz w:val="18"/>
                <w:szCs w:val="18"/>
              </w:rPr>
              <w:t>PCP</w:t>
            </w:r>
            <w:r w:rsidRPr="00E16070">
              <w:rPr>
                <w:rFonts w:ascii="Arial" w:eastAsia="Arial" w:hAnsi="Arial" w:cs="Arial"/>
                <w:color w:val="000000" w:themeColor="text1"/>
                <w:sz w:val="18"/>
                <w:szCs w:val="18"/>
              </w:rPr>
              <w:t xml:space="preserve"> given assumption of 1 </w:t>
            </w:r>
            <w:r w:rsidR="00B3055B" w:rsidRPr="00E16070">
              <w:rPr>
                <w:rFonts w:ascii="Arial" w:eastAsia="Arial" w:hAnsi="Arial" w:cs="Arial"/>
                <w:color w:val="000000" w:themeColor="text1"/>
                <w:sz w:val="18"/>
                <w:szCs w:val="18"/>
              </w:rPr>
              <w:t>PCP</w:t>
            </w:r>
            <w:r w:rsidRPr="00E16070">
              <w:rPr>
                <w:rFonts w:ascii="Arial" w:eastAsia="Arial" w:hAnsi="Arial" w:cs="Arial"/>
                <w:color w:val="000000" w:themeColor="text1"/>
                <w:sz w:val="18"/>
                <w:szCs w:val="18"/>
              </w:rPr>
              <w:t xml:space="preserve">/HF providing MH services, and note that it is assumed that all </w:t>
            </w:r>
            <w:r w:rsidR="00B3055B" w:rsidRPr="00E16070">
              <w:rPr>
                <w:rFonts w:ascii="Arial" w:eastAsia="Arial" w:hAnsi="Arial" w:cs="Arial"/>
                <w:color w:val="000000" w:themeColor="text1"/>
                <w:sz w:val="18"/>
                <w:szCs w:val="18"/>
              </w:rPr>
              <w:t>PCP</w:t>
            </w:r>
            <w:r w:rsidRPr="00E16070">
              <w:rPr>
                <w:rFonts w:ascii="Arial" w:eastAsia="Arial" w:hAnsi="Arial" w:cs="Arial"/>
                <w:color w:val="000000" w:themeColor="text1"/>
                <w:sz w:val="18"/>
                <w:szCs w:val="18"/>
              </w:rPr>
              <w:t xml:space="preserve">-positive patients are enrolled in the study whereas only a sub-sample of </w:t>
            </w:r>
            <w:r w:rsidR="00B3055B" w:rsidRPr="00E16070">
              <w:rPr>
                <w:rFonts w:ascii="Arial" w:eastAsia="Arial" w:hAnsi="Arial" w:cs="Arial"/>
                <w:color w:val="000000" w:themeColor="text1"/>
                <w:sz w:val="18"/>
                <w:szCs w:val="18"/>
              </w:rPr>
              <w:t>PCP</w:t>
            </w:r>
            <w:r w:rsidRPr="00E16070">
              <w:rPr>
                <w:rFonts w:ascii="Arial" w:eastAsia="Arial" w:hAnsi="Arial" w:cs="Arial"/>
                <w:color w:val="000000" w:themeColor="text1"/>
                <w:sz w:val="18"/>
                <w:szCs w:val="18"/>
              </w:rPr>
              <w:t xml:space="preserve">-negative patients are enrolled (see assumed sampling fractions in Figure S3); </w:t>
            </w:r>
            <w:r w:rsidRPr="00E16070">
              <w:rPr>
                <w:rFonts w:ascii="Arial" w:eastAsia="Arial" w:hAnsi="Arial" w:cs="Arial"/>
                <w:color w:val="000000" w:themeColor="text1"/>
                <w:sz w:val="18"/>
                <w:szCs w:val="18"/>
                <w:vertAlign w:val="superscript"/>
              </w:rPr>
              <w:t xml:space="preserve">b </w:t>
            </w:r>
            <w:r w:rsidRPr="00E16070">
              <w:rPr>
                <w:rFonts w:ascii="Arial" w:eastAsia="Arial" w:hAnsi="Arial" w:cs="Arial"/>
                <w:color w:val="000000" w:themeColor="text1"/>
                <w:sz w:val="18"/>
                <w:szCs w:val="18"/>
              </w:rPr>
              <w:t xml:space="preserve">Based on assumed sub-sampling of </w:t>
            </w:r>
            <w:r w:rsidR="00B3055B" w:rsidRPr="00E16070">
              <w:rPr>
                <w:rFonts w:ascii="Arial" w:eastAsia="Arial" w:hAnsi="Arial" w:cs="Arial"/>
                <w:color w:val="000000" w:themeColor="text1"/>
                <w:sz w:val="18"/>
                <w:szCs w:val="18"/>
              </w:rPr>
              <w:t>PCP</w:t>
            </w:r>
            <w:r w:rsidRPr="00E16070">
              <w:rPr>
                <w:rFonts w:ascii="Arial" w:eastAsia="Arial" w:hAnsi="Arial" w:cs="Arial"/>
                <w:color w:val="000000" w:themeColor="text1"/>
                <w:sz w:val="18"/>
                <w:szCs w:val="18"/>
              </w:rPr>
              <w:t xml:space="preserve">-negatives at 3-month follow-up so that only a sub-sample of enrolled </w:t>
            </w:r>
            <w:r w:rsidR="00B3055B" w:rsidRPr="00E16070">
              <w:rPr>
                <w:rFonts w:ascii="Arial" w:eastAsia="Arial" w:hAnsi="Arial" w:cs="Arial"/>
                <w:color w:val="000000" w:themeColor="text1"/>
                <w:sz w:val="18"/>
                <w:szCs w:val="18"/>
              </w:rPr>
              <w:t>PCP</w:t>
            </w:r>
            <w:r w:rsidRPr="00E16070">
              <w:rPr>
                <w:rFonts w:ascii="Arial" w:eastAsia="Arial" w:hAnsi="Arial" w:cs="Arial"/>
                <w:color w:val="000000" w:themeColor="text1"/>
                <w:sz w:val="18"/>
                <w:szCs w:val="18"/>
              </w:rPr>
              <w:t>-negative patients are assessed for diagnostic confirmation (by psychiatrist using the SCID) and that a percentage are lost to follow-up (see assumptions in Figure S3);</w:t>
            </w:r>
            <w:r w:rsidRPr="00E16070">
              <w:rPr>
                <w:rFonts w:ascii="Arial" w:eastAsia="Arial" w:hAnsi="Arial" w:cs="Arial"/>
                <w:color w:val="000000" w:themeColor="text1"/>
                <w:sz w:val="18"/>
                <w:szCs w:val="18"/>
                <w:vertAlign w:val="superscript"/>
              </w:rPr>
              <w:t xml:space="preserve"> c</w:t>
            </w:r>
            <w:r w:rsidRPr="00E16070">
              <w:rPr>
                <w:rFonts w:ascii="Arial" w:eastAsia="Arial" w:hAnsi="Arial" w:cs="Arial"/>
                <w:color w:val="000000" w:themeColor="text1"/>
                <w:sz w:val="18"/>
                <w:szCs w:val="18"/>
              </w:rPr>
              <w:t xml:space="preserve"> Assuming 1 </w:t>
            </w:r>
            <w:r w:rsidR="00B3055B" w:rsidRPr="00E16070">
              <w:rPr>
                <w:rFonts w:ascii="Arial" w:eastAsia="Arial" w:hAnsi="Arial" w:cs="Arial"/>
                <w:color w:val="000000" w:themeColor="text1"/>
                <w:sz w:val="18"/>
                <w:szCs w:val="18"/>
              </w:rPr>
              <w:t>PCP</w:t>
            </w:r>
            <w:r w:rsidRPr="00E16070">
              <w:rPr>
                <w:rFonts w:ascii="Arial" w:eastAsia="Arial" w:hAnsi="Arial" w:cs="Arial"/>
                <w:color w:val="000000" w:themeColor="text1"/>
                <w:sz w:val="18"/>
                <w:szCs w:val="18"/>
              </w:rPr>
              <w:t xml:space="preserve"> per HF provides MH services (note, if multiple </w:t>
            </w:r>
            <w:r w:rsidR="00B3055B" w:rsidRPr="00E16070">
              <w:rPr>
                <w:rFonts w:ascii="Arial" w:eastAsia="Arial" w:hAnsi="Arial" w:cs="Arial"/>
                <w:color w:val="000000" w:themeColor="text1"/>
                <w:sz w:val="18"/>
                <w:szCs w:val="18"/>
              </w:rPr>
              <w:t>PCP</w:t>
            </w:r>
            <w:r w:rsidRPr="00E16070">
              <w:rPr>
                <w:rFonts w:ascii="Arial" w:eastAsia="Arial" w:hAnsi="Arial" w:cs="Arial"/>
                <w:color w:val="000000" w:themeColor="text1"/>
                <w:sz w:val="18"/>
                <w:szCs w:val="18"/>
              </w:rPr>
              <w:t xml:space="preserve"> per HF, an additional level of clustering would be added); </w:t>
            </w:r>
            <w:r w:rsidRPr="00E16070">
              <w:rPr>
                <w:rFonts w:ascii="Arial" w:eastAsia="Arial" w:hAnsi="Arial" w:cs="Arial"/>
                <w:color w:val="000000" w:themeColor="text1"/>
                <w:sz w:val="18"/>
                <w:szCs w:val="18"/>
                <w:vertAlign w:val="superscript"/>
              </w:rPr>
              <w:t xml:space="preserve">d </w:t>
            </w:r>
            <w:r w:rsidRPr="00E16070">
              <w:rPr>
                <w:rFonts w:ascii="Arial" w:eastAsia="Arial" w:hAnsi="Arial" w:cs="Arial"/>
                <w:color w:val="000000" w:themeColor="text1"/>
                <w:sz w:val="18"/>
                <w:szCs w:val="18"/>
              </w:rPr>
              <w:t>For calculation, see Figure S3.</w:t>
            </w:r>
          </w:p>
        </w:tc>
      </w:tr>
    </w:tbl>
    <w:p w14:paraId="08851BE1" w14:textId="758B2BC0" w:rsidR="00756AB9" w:rsidRDefault="00756AB9" w:rsidP="005F1907">
      <w:pPr>
        <w:widowControl w:val="0"/>
        <w:pBdr>
          <w:top w:val="nil"/>
          <w:left w:val="nil"/>
          <w:bottom w:val="nil"/>
          <w:right w:val="nil"/>
          <w:between w:val="nil"/>
        </w:pBdr>
        <w:rPr>
          <w:rFonts w:ascii="Arial" w:eastAsia="Arial" w:hAnsi="Arial" w:cs="Arial"/>
          <w:b/>
          <w:color w:val="000000"/>
          <w:sz w:val="22"/>
          <w:szCs w:val="22"/>
        </w:rPr>
      </w:pPr>
    </w:p>
    <w:p w14:paraId="771A68FC" w14:textId="77777777" w:rsidR="00756AB9" w:rsidRDefault="00756AB9" w:rsidP="005F1907">
      <w:pPr>
        <w:widowControl w:val="0"/>
        <w:pBdr>
          <w:top w:val="nil"/>
          <w:left w:val="nil"/>
          <w:bottom w:val="nil"/>
          <w:right w:val="nil"/>
          <w:between w:val="nil"/>
        </w:pBdr>
        <w:rPr>
          <w:rFonts w:ascii="Arial" w:eastAsia="Arial" w:hAnsi="Arial" w:cs="Arial"/>
          <w:b/>
          <w:color w:val="000000"/>
          <w:sz w:val="22"/>
          <w:szCs w:val="22"/>
        </w:rPr>
      </w:pPr>
    </w:p>
    <w:tbl>
      <w:tblPr>
        <w:tblStyle w:val="TableGrid"/>
        <w:tblW w:w="0" w:type="auto"/>
        <w:tblLook w:val="04A0" w:firstRow="1" w:lastRow="0" w:firstColumn="1" w:lastColumn="0" w:noHBand="0" w:noVBand="1"/>
      </w:tblPr>
      <w:tblGrid>
        <w:gridCol w:w="1474"/>
        <w:gridCol w:w="1701"/>
        <w:gridCol w:w="1679"/>
        <w:gridCol w:w="1588"/>
        <w:gridCol w:w="1575"/>
        <w:gridCol w:w="1333"/>
      </w:tblGrid>
      <w:tr w:rsidR="00756AB9" w:rsidRPr="00BA6517" w14:paraId="022442BD" w14:textId="77777777" w:rsidTr="00BC0444">
        <w:tc>
          <w:tcPr>
            <w:tcW w:w="9350" w:type="dxa"/>
            <w:gridSpan w:val="6"/>
            <w:tcBorders>
              <w:top w:val="nil"/>
              <w:left w:val="nil"/>
              <w:bottom w:val="single" w:sz="4" w:space="0" w:color="auto"/>
              <w:right w:val="nil"/>
            </w:tcBorders>
          </w:tcPr>
          <w:p w14:paraId="6B85ABFF" w14:textId="14E35B67" w:rsidR="00756AB9" w:rsidRPr="00BA6517" w:rsidRDefault="00756AB9" w:rsidP="00BC0444">
            <w:pPr>
              <w:rPr>
                <w:rFonts w:ascii="Arial" w:hAnsi="Arial" w:cs="Arial"/>
                <w:b/>
                <w:bCs/>
                <w:sz w:val="22"/>
                <w:szCs w:val="22"/>
              </w:rPr>
            </w:pPr>
            <w:bookmarkStart w:id="5" w:name="SupplementalTable3"/>
            <w:r w:rsidRPr="00BA6517">
              <w:rPr>
                <w:rFonts w:ascii="Arial" w:hAnsi="Arial" w:cs="Arial"/>
                <w:b/>
                <w:bCs/>
                <w:sz w:val="22"/>
                <w:szCs w:val="22"/>
              </w:rPr>
              <w:t>Table S</w:t>
            </w:r>
            <w:r>
              <w:rPr>
                <w:rFonts w:ascii="Arial" w:hAnsi="Arial" w:cs="Arial"/>
                <w:b/>
                <w:bCs/>
                <w:sz w:val="22"/>
                <w:szCs w:val="22"/>
              </w:rPr>
              <w:t>3</w:t>
            </w:r>
            <w:r w:rsidRPr="00BA6517">
              <w:rPr>
                <w:rFonts w:ascii="Arial" w:hAnsi="Arial" w:cs="Arial"/>
                <w:b/>
                <w:bCs/>
                <w:sz w:val="22"/>
                <w:szCs w:val="22"/>
              </w:rPr>
              <w:t xml:space="preserve">: Sensitivity of power to proportion of patients identified as </w:t>
            </w:r>
            <w:r w:rsidR="00B3055B">
              <w:rPr>
                <w:rFonts w:ascii="Arial" w:hAnsi="Arial" w:cs="Arial"/>
                <w:b/>
                <w:bCs/>
                <w:sz w:val="22"/>
                <w:szCs w:val="22"/>
              </w:rPr>
              <w:t>PCP</w:t>
            </w:r>
            <w:r w:rsidRPr="00BA6517">
              <w:rPr>
                <w:rFonts w:ascii="Arial" w:hAnsi="Arial" w:cs="Arial"/>
                <w:b/>
                <w:bCs/>
                <w:sz w:val="22"/>
                <w:szCs w:val="22"/>
              </w:rPr>
              <w:t xml:space="preserve">-positive </w:t>
            </w:r>
            <w:bookmarkEnd w:id="5"/>
          </w:p>
        </w:tc>
      </w:tr>
      <w:tr w:rsidR="00756AB9" w:rsidRPr="00BA6517" w14:paraId="462D97EF" w14:textId="77777777" w:rsidTr="00BC0444">
        <w:tc>
          <w:tcPr>
            <w:tcW w:w="1474" w:type="dxa"/>
            <w:tcBorders>
              <w:top w:val="single" w:sz="4" w:space="0" w:color="auto"/>
              <w:left w:val="nil"/>
              <w:bottom w:val="single" w:sz="4" w:space="0" w:color="auto"/>
              <w:right w:val="nil"/>
            </w:tcBorders>
          </w:tcPr>
          <w:p w14:paraId="4420EBC1" w14:textId="77777777" w:rsidR="00756AB9" w:rsidRPr="00BA6517" w:rsidRDefault="00756AB9" w:rsidP="00BC0444">
            <w:pPr>
              <w:rPr>
                <w:rFonts w:ascii="Arial" w:hAnsi="Arial" w:cs="Arial"/>
                <w:b/>
                <w:bCs/>
                <w:sz w:val="22"/>
                <w:szCs w:val="22"/>
              </w:rPr>
            </w:pPr>
            <w:r w:rsidRPr="00BA6517">
              <w:rPr>
                <w:rFonts w:ascii="Arial" w:hAnsi="Arial" w:cs="Arial"/>
                <w:b/>
                <w:bCs/>
                <w:sz w:val="22"/>
                <w:szCs w:val="22"/>
              </w:rPr>
              <w:t>IAU</w:t>
            </w:r>
          </w:p>
        </w:tc>
        <w:tc>
          <w:tcPr>
            <w:tcW w:w="1701" w:type="dxa"/>
            <w:tcBorders>
              <w:top w:val="single" w:sz="4" w:space="0" w:color="auto"/>
              <w:left w:val="nil"/>
              <w:bottom w:val="single" w:sz="4" w:space="0" w:color="auto"/>
              <w:right w:val="nil"/>
            </w:tcBorders>
          </w:tcPr>
          <w:p w14:paraId="3E013391" w14:textId="77777777" w:rsidR="00756AB9" w:rsidRPr="00BA6517" w:rsidRDefault="00756AB9" w:rsidP="00BC0444">
            <w:pPr>
              <w:rPr>
                <w:rFonts w:ascii="Arial" w:hAnsi="Arial" w:cs="Arial"/>
                <w:b/>
                <w:bCs/>
                <w:sz w:val="22"/>
                <w:szCs w:val="22"/>
              </w:rPr>
            </w:pPr>
            <w:r w:rsidRPr="00BA6517">
              <w:rPr>
                <w:rFonts w:ascii="Arial" w:hAnsi="Arial" w:cs="Arial"/>
                <w:b/>
                <w:bCs/>
                <w:sz w:val="22"/>
                <w:szCs w:val="22"/>
              </w:rPr>
              <w:t>RESHAPE</w:t>
            </w:r>
          </w:p>
        </w:tc>
        <w:tc>
          <w:tcPr>
            <w:tcW w:w="1679" w:type="dxa"/>
            <w:tcBorders>
              <w:top w:val="single" w:sz="4" w:space="0" w:color="auto"/>
              <w:left w:val="nil"/>
              <w:bottom w:val="single" w:sz="4" w:space="0" w:color="auto"/>
              <w:right w:val="nil"/>
            </w:tcBorders>
          </w:tcPr>
          <w:p w14:paraId="4F241419" w14:textId="77777777" w:rsidR="00756AB9" w:rsidRPr="00BA6517" w:rsidRDefault="00756AB9" w:rsidP="00BC0444">
            <w:pPr>
              <w:rPr>
                <w:rFonts w:ascii="Arial" w:hAnsi="Arial" w:cs="Arial"/>
                <w:b/>
                <w:bCs/>
                <w:sz w:val="22"/>
                <w:szCs w:val="22"/>
              </w:rPr>
            </w:pPr>
            <w:r w:rsidRPr="00BA6517">
              <w:rPr>
                <w:rFonts w:ascii="Arial" w:hAnsi="Arial" w:cs="Arial"/>
                <w:b/>
                <w:bCs/>
                <w:sz w:val="22"/>
                <w:szCs w:val="22"/>
              </w:rPr>
              <w:t>Difference</w:t>
            </w:r>
          </w:p>
        </w:tc>
        <w:tc>
          <w:tcPr>
            <w:tcW w:w="1588" w:type="dxa"/>
            <w:tcBorders>
              <w:top w:val="single" w:sz="4" w:space="0" w:color="auto"/>
              <w:left w:val="nil"/>
              <w:bottom w:val="single" w:sz="4" w:space="0" w:color="auto"/>
              <w:right w:val="nil"/>
            </w:tcBorders>
          </w:tcPr>
          <w:p w14:paraId="3623D56E" w14:textId="77777777" w:rsidR="00756AB9" w:rsidRPr="00BA6517" w:rsidRDefault="00756AB9" w:rsidP="00BC0444">
            <w:pPr>
              <w:rPr>
                <w:rFonts w:ascii="Arial" w:hAnsi="Arial" w:cs="Arial"/>
                <w:b/>
                <w:sz w:val="22"/>
                <w:szCs w:val="22"/>
              </w:rPr>
            </w:pPr>
            <w:r w:rsidRPr="00BA6517">
              <w:rPr>
                <w:rFonts w:ascii="Arial" w:hAnsi="Arial" w:cs="Arial"/>
                <w:b/>
                <w:sz w:val="22"/>
                <w:szCs w:val="22"/>
              </w:rPr>
              <w:t>Total # of patients enrolled</w:t>
            </w:r>
          </w:p>
        </w:tc>
        <w:tc>
          <w:tcPr>
            <w:tcW w:w="1575" w:type="dxa"/>
            <w:tcBorders>
              <w:top w:val="single" w:sz="4" w:space="0" w:color="auto"/>
              <w:left w:val="nil"/>
              <w:bottom w:val="single" w:sz="4" w:space="0" w:color="auto"/>
              <w:right w:val="nil"/>
            </w:tcBorders>
          </w:tcPr>
          <w:p w14:paraId="17BFA857" w14:textId="77777777" w:rsidR="00756AB9" w:rsidRPr="00BA6517" w:rsidRDefault="00756AB9" w:rsidP="00BC0444">
            <w:pPr>
              <w:rPr>
                <w:rFonts w:ascii="Arial" w:hAnsi="Arial" w:cs="Arial"/>
                <w:b/>
                <w:sz w:val="22"/>
                <w:szCs w:val="22"/>
              </w:rPr>
            </w:pPr>
            <w:r w:rsidRPr="00BA6517">
              <w:rPr>
                <w:rFonts w:ascii="Arial" w:hAnsi="Arial" w:cs="Arial"/>
                <w:b/>
                <w:sz w:val="22"/>
                <w:szCs w:val="22"/>
              </w:rPr>
              <w:t>Total # of patients at 3-mth FU</w:t>
            </w:r>
          </w:p>
        </w:tc>
        <w:tc>
          <w:tcPr>
            <w:tcW w:w="1333" w:type="dxa"/>
            <w:tcBorders>
              <w:top w:val="single" w:sz="4" w:space="0" w:color="auto"/>
              <w:left w:val="nil"/>
              <w:bottom w:val="single" w:sz="4" w:space="0" w:color="auto"/>
              <w:right w:val="nil"/>
            </w:tcBorders>
          </w:tcPr>
          <w:p w14:paraId="2EA9E11B" w14:textId="77777777" w:rsidR="00756AB9" w:rsidRPr="00BA6517" w:rsidRDefault="00756AB9" w:rsidP="00BC0444">
            <w:pPr>
              <w:rPr>
                <w:rFonts w:ascii="Arial" w:hAnsi="Arial" w:cs="Arial"/>
                <w:b/>
                <w:sz w:val="22"/>
                <w:szCs w:val="22"/>
              </w:rPr>
            </w:pPr>
            <w:r w:rsidRPr="00BA6517">
              <w:rPr>
                <w:rFonts w:ascii="Arial" w:hAnsi="Arial" w:cs="Arial"/>
                <w:b/>
                <w:sz w:val="22"/>
                <w:szCs w:val="22"/>
              </w:rPr>
              <w:t xml:space="preserve">Power </w:t>
            </w:r>
          </w:p>
        </w:tc>
      </w:tr>
      <w:tr w:rsidR="00756AB9" w:rsidRPr="00BA6517" w14:paraId="2C1E2705" w14:textId="77777777" w:rsidTr="00BC0444">
        <w:tc>
          <w:tcPr>
            <w:tcW w:w="1474" w:type="dxa"/>
            <w:tcBorders>
              <w:top w:val="single" w:sz="4" w:space="0" w:color="auto"/>
              <w:left w:val="nil"/>
              <w:bottom w:val="nil"/>
              <w:right w:val="nil"/>
            </w:tcBorders>
          </w:tcPr>
          <w:p w14:paraId="5E2A7E78" w14:textId="77777777" w:rsidR="00756AB9" w:rsidRPr="00BA6517" w:rsidRDefault="00756AB9" w:rsidP="00BC0444">
            <w:pPr>
              <w:rPr>
                <w:rFonts w:ascii="Arial" w:hAnsi="Arial" w:cs="Arial"/>
                <w:sz w:val="22"/>
                <w:szCs w:val="22"/>
              </w:rPr>
            </w:pPr>
            <w:r w:rsidRPr="00BA6517">
              <w:rPr>
                <w:rFonts w:ascii="Arial" w:hAnsi="Arial" w:cs="Arial"/>
                <w:sz w:val="22"/>
                <w:szCs w:val="22"/>
              </w:rPr>
              <w:t>2%</w:t>
            </w:r>
          </w:p>
        </w:tc>
        <w:tc>
          <w:tcPr>
            <w:tcW w:w="1701" w:type="dxa"/>
            <w:tcBorders>
              <w:top w:val="single" w:sz="4" w:space="0" w:color="auto"/>
              <w:left w:val="nil"/>
              <w:bottom w:val="nil"/>
              <w:right w:val="nil"/>
            </w:tcBorders>
          </w:tcPr>
          <w:p w14:paraId="1F42A8D9" w14:textId="77777777" w:rsidR="00756AB9" w:rsidRPr="00BA6517" w:rsidRDefault="00756AB9" w:rsidP="00BC0444">
            <w:pPr>
              <w:rPr>
                <w:rFonts w:ascii="Arial" w:hAnsi="Arial" w:cs="Arial"/>
                <w:sz w:val="22"/>
                <w:szCs w:val="22"/>
              </w:rPr>
            </w:pPr>
            <w:r w:rsidRPr="00BA6517">
              <w:rPr>
                <w:rFonts w:ascii="Arial" w:hAnsi="Arial" w:cs="Arial"/>
                <w:sz w:val="22"/>
                <w:szCs w:val="22"/>
              </w:rPr>
              <w:t>3%</w:t>
            </w:r>
          </w:p>
        </w:tc>
        <w:tc>
          <w:tcPr>
            <w:tcW w:w="1679" w:type="dxa"/>
            <w:tcBorders>
              <w:top w:val="single" w:sz="4" w:space="0" w:color="auto"/>
              <w:left w:val="nil"/>
              <w:bottom w:val="nil"/>
              <w:right w:val="nil"/>
            </w:tcBorders>
          </w:tcPr>
          <w:p w14:paraId="5B544BD8" w14:textId="77777777" w:rsidR="00756AB9" w:rsidRPr="00BA6517" w:rsidRDefault="00756AB9" w:rsidP="00BC0444">
            <w:pPr>
              <w:rPr>
                <w:rFonts w:ascii="Arial" w:hAnsi="Arial" w:cs="Arial"/>
                <w:sz w:val="22"/>
                <w:szCs w:val="22"/>
              </w:rPr>
            </w:pPr>
            <w:r w:rsidRPr="00BA6517">
              <w:rPr>
                <w:rFonts w:ascii="Arial" w:hAnsi="Arial" w:cs="Arial"/>
                <w:sz w:val="22"/>
                <w:szCs w:val="22"/>
              </w:rPr>
              <w:t>+1%</w:t>
            </w:r>
          </w:p>
        </w:tc>
        <w:tc>
          <w:tcPr>
            <w:tcW w:w="1588" w:type="dxa"/>
            <w:tcBorders>
              <w:top w:val="single" w:sz="4" w:space="0" w:color="auto"/>
              <w:left w:val="nil"/>
              <w:bottom w:val="nil"/>
              <w:right w:val="nil"/>
            </w:tcBorders>
          </w:tcPr>
          <w:p w14:paraId="4BEE9474" w14:textId="77777777" w:rsidR="00756AB9" w:rsidRPr="00BA6517" w:rsidRDefault="00756AB9" w:rsidP="00BC0444">
            <w:pPr>
              <w:rPr>
                <w:rFonts w:ascii="Arial" w:hAnsi="Arial" w:cs="Arial"/>
                <w:sz w:val="22"/>
                <w:szCs w:val="22"/>
              </w:rPr>
            </w:pPr>
            <w:r w:rsidRPr="00BA6517">
              <w:rPr>
                <w:rFonts w:ascii="Arial" w:hAnsi="Arial" w:cs="Arial"/>
                <w:sz w:val="22"/>
                <w:szCs w:val="22"/>
              </w:rPr>
              <w:t>5760</w:t>
            </w:r>
          </w:p>
        </w:tc>
        <w:tc>
          <w:tcPr>
            <w:tcW w:w="1575" w:type="dxa"/>
            <w:tcBorders>
              <w:top w:val="single" w:sz="4" w:space="0" w:color="auto"/>
              <w:left w:val="nil"/>
              <w:bottom w:val="nil"/>
              <w:right w:val="nil"/>
            </w:tcBorders>
          </w:tcPr>
          <w:p w14:paraId="1AC21111" w14:textId="77777777" w:rsidR="00756AB9" w:rsidRPr="00BA6517" w:rsidRDefault="00756AB9" w:rsidP="00BC0444">
            <w:pPr>
              <w:rPr>
                <w:rFonts w:ascii="Arial" w:hAnsi="Arial" w:cs="Arial"/>
                <w:sz w:val="22"/>
                <w:szCs w:val="22"/>
              </w:rPr>
            </w:pPr>
            <w:r w:rsidRPr="00BA6517">
              <w:rPr>
                <w:rFonts w:ascii="Arial" w:hAnsi="Arial" w:cs="Arial"/>
                <w:sz w:val="22"/>
                <w:szCs w:val="22"/>
              </w:rPr>
              <w:t>1152</w:t>
            </w:r>
          </w:p>
        </w:tc>
        <w:tc>
          <w:tcPr>
            <w:tcW w:w="1333" w:type="dxa"/>
            <w:tcBorders>
              <w:top w:val="single" w:sz="4" w:space="0" w:color="auto"/>
              <w:left w:val="nil"/>
              <w:bottom w:val="nil"/>
              <w:right w:val="nil"/>
            </w:tcBorders>
          </w:tcPr>
          <w:p w14:paraId="2215745F" w14:textId="5AC22E0E" w:rsidR="00756AB9" w:rsidRPr="00BA6517" w:rsidRDefault="00756AB9" w:rsidP="00BC0444">
            <w:pPr>
              <w:rPr>
                <w:rFonts w:ascii="Arial" w:hAnsi="Arial" w:cs="Arial"/>
                <w:sz w:val="22"/>
                <w:szCs w:val="22"/>
              </w:rPr>
            </w:pPr>
            <w:r w:rsidRPr="00BA6517">
              <w:rPr>
                <w:rFonts w:ascii="Arial" w:hAnsi="Arial" w:cs="Arial"/>
                <w:sz w:val="22"/>
                <w:szCs w:val="22"/>
              </w:rPr>
              <w:t>9</w:t>
            </w:r>
            <w:r w:rsidR="006A3064">
              <w:rPr>
                <w:rFonts w:ascii="Arial" w:hAnsi="Arial" w:cs="Arial"/>
                <w:sz w:val="22"/>
                <w:szCs w:val="22"/>
              </w:rPr>
              <w:t>7</w:t>
            </w:r>
            <w:r w:rsidRPr="00BA6517">
              <w:rPr>
                <w:rFonts w:ascii="Arial" w:hAnsi="Arial" w:cs="Arial"/>
                <w:sz w:val="22"/>
                <w:szCs w:val="22"/>
              </w:rPr>
              <w:t>%</w:t>
            </w:r>
          </w:p>
        </w:tc>
      </w:tr>
      <w:tr w:rsidR="00756AB9" w:rsidRPr="00BA6517" w14:paraId="4439171C" w14:textId="77777777" w:rsidTr="00BC0444">
        <w:tc>
          <w:tcPr>
            <w:tcW w:w="1474" w:type="dxa"/>
            <w:tcBorders>
              <w:top w:val="nil"/>
              <w:left w:val="nil"/>
              <w:bottom w:val="nil"/>
              <w:right w:val="nil"/>
            </w:tcBorders>
          </w:tcPr>
          <w:p w14:paraId="1BCBC1BC" w14:textId="77777777" w:rsidR="00756AB9" w:rsidRPr="00BA6517" w:rsidRDefault="00756AB9" w:rsidP="00BC0444">
            <w:pPr>
              <w:rPr>
                <w:rFonts w:ascii="Arial" w:hAnsi="Arial" w:cs="Arial"/>
                <w:sz w:val="22"/>
                <w:szCs w:val="22"/>
              </w:rPr>
            </w:pPr>
            <w:r w:rsidRPr="00BA6517">
              <w:rPr>
                <w:rFonts w:ascii="Arial" w:hAnsi="Arial" w:cs="Arial"/>
                <w:sz w:val="22"/>
                <w:szCs w:val="22"/>
              </w:rPr>
              <w:t>1%</w:t>
            </w:r>
          </w:p>
        </w:tc>
        <w:tc>
          <w:tcPr>
            <w:tcW w:w="1701" w:type="dxa"/>
            <w:tcBorders>
              <w:top w:val="nil"/>
              <w:left w:val="nil"/>
              <w:bottom w:val="nil"/>
              <w:right w:val="nil"/>
            </w:tcBorders>
          </w:tcPr>
          <w:p w14:paraId="72D417BE" w14:textId="77777777" w:rsidR="00756AB9" w:rsidRPr="00BA6517" w:rsidRDefault="00756AB9" w:rsidP="00BC0444">
            <w:pPr>
              <w:rPr>
                <w:rFonts w:ascii="Arial" w:hAnsi="Arial" w:cs="Arial"/>
                <w:sz w:val="22"/>
                <w:szCs w:val="22"/>
              </w:rPr>
            </w:pPr>
            <w:r w:rsidRPr="00BA6517">
              <w:rPr>
                <w:rFonts w:ascii="Arial" w:hAnsi="Arial" w:cs="Arial"/>
                <w:sz w:val="22"/>
                <w:szCs w:val="22"/>
              </w:rPr>
              <w:t>2%</w:t>
            </w:r>
          </w:p>
        </w:tc>
        <w:tc>
          <w:tcPr>
            <w:tcW w:w="1679" w:type="dxa"/>
            <w:tcBorders>
              <w:top w:val="nil"/>
              <w:left w:val="nil"/>
              <w:bottom w:val="nil"/>
              <w:right w:val="nil"/>
            </w:tcBorders>
          </w:tcPr>
          <w:p w14:paraId="4D9FDB0B" w14:textId="77777777" w:rsidR="00756AB9" w:rsidRPr="00BA6517" w:rsidRDefault="00756AB9" w:rsidP="00BC0444">
            <w:pPr>
              <w:rPr>
                <w:rFonts w:ascii="Arial" w:hAnsi="Arial" w:cs="Arial"/>
                <w:sz w:val="22"/>
                <w:szCs w:val="22"/>
              </w:rPr>
            </w:pPr>
            <w:r w:rsidRPr="00BA6517">
              <w:rPr>
                <w:rFonts w:ascii="Arial" w:hAnsi="Arial" w:cs="Arial"/>
                <w:sz w:val="22"/>
                <w:szCs w:val="22"/>
              </w:rPr>
              <w:t>+1%</w:t>
            </w:r>
          </w:p>
        </w:tc>
        <w:tc>
          <w:tcPr>
            <w:tcW w:w="1588" w:type="dxa"/>
            <w:tcBorders>
              <w:top w:val="nil"/>
              <w:left w:val="nil"/>
              <w:bottom w:val="nil"/>
              <w:right w:val="nil"/>
            </w:tcBorders>
          </w:tcPr>
          <w:p w14:paraId="08A31B21" w14:textId="77777777" w:rsidR="00756AB9" w:rsidRPr="00BA6517" w:rsidRDefault="00756AB9" w:rsidP="00BC0444">
            <w:pPr>
              <w:rPr>
                <w:rFonts w:ascii="Arial" w:hAnsi="Arial" w:cs="Arial"/>
                <w:sz w:val="22"/>
                <w:szCs w:val="22"/>
              </w:rPr>
            </w:pPr>
            <w:r w:rsidRPr="00BA6517">
              <w:rPr>
                <w:rFonts w:ascii="Arial" w:hAnsi="Arial" w:cs="Arial"/>
                <w:sz w:val="22"/>
                <w:szCs w:val="22"/>
              </w:rPr>
              <w:t>5760</w:t>
            </w:r>
          </w:p>
        </w:tc>
        <w:tc>
          <w:tcPr>
            <w:tcW w:w="1575" w:type="dxa"/>
            <w:tcBorders>
              <w:top w:val="nil"/>
              <w:left w:val="nil"/>
              <w:bottom w:val="nil"/>
              <w:right w:val="nil"/>
            </w:tcBorders>
          </w:tcPr>
          <w:p w14:paraId="74546434" w14:textId="77777777" w:rsidR="00756AB9" w:rsidRPr="00BA6517" w:rsidRDefault="00756AB9" w:rsidP="00BC0444">
            <w:pPr>
              <w:rPr>
                <w:rFonts w:ascii="Arial" w:hAnsi="Arial" w:cs="Arial"/>
                <w:sz w:val="22"/>
                <w:szCs w:val="22"/>
              </w:rPr>
            </w:pPr>
            <w:r w:rsidRPr="00BA6517">
              <w:rPr>
                <w:rFonts w:ascii="Arial" w:hAnsi="Arial" w:cs="Arial"/>
                <w:sz w:val="22"/>
                <w:szCs w:val="22"/>
              </w:rPr>
              <w:t>1080</w:t>
            </w:r>
          </w:p>
        </w:tc>
        <w:tc>
          <w:tcPr>
            <w:tcW w:w="1333" w:type="dxa"/>
            <w:tcBorders>
              <w:top w:val="nil"/>
              <w:left w:val="nil"/>
              <w:bottom w:val="nil"/>
              <w:right w:val="nil"/>
            </w:tcBorders>
          </w:tcPr>
          <w:p w14:paraId="649506F7" w14:textId="666DB85C" w:rsidR="00756AB9" w:rsidRPr="00BA6517" w:rsidRDefault="00756AB9" w:rsidP="00BC0444">
            <w:pPr>
              <w:rPr>
                <w:rFonts w:ascii="Arial" w:hAnsi="Arial" w:cs="Arial"/>
                <w:sz w:val="22"/>
                <w:szCs w:val="22"/>
              </w:rPr>
            </w:pPr>
            <w:r w:rsidRPr="00BA6517">
              <w:rPr>
                <w:rFonts w:ascii="Arial" w:hAnsi="Arial" w:cs="Arial"/>
                <w:sz w:val="22"/>
                <w:szCs w:val="22"/>
              </w:rPr>
              <w:t>9</w:t>
            </w:r>
            <w:r w:rsidR="00A96FC8">
              <w:rPr>
                <w:rFonts w:ascii="Arial" w:hAnsi="Arial" w:cs="Arial"/>
                <w:sz w:val="22"/>
                <w:szCs w:val="22"/>
              </w:rPr>
              <w:t>8</w:t>
            </w:r>
            <w:r w:rsidRPr="00BA6517">
              <w:rPr>
                <w:rFonts w:ascii="Arial" w:hAnsi="Arial" w:cs="Arial"/>
                <w:sz w:val="22"/>
                <w:szCs w:val="22"/>
              </w:rPr>
              <w:t>%</w:t>
            </w:r>
          </w:p>
        </w:tc>
      </w:tr>
      <w:tr w:rsidR="00756AB9" w:rsidRPr="00BA6517" w14:paraId="5F9E348A" w14:textId="77777777" w:rsidTr="00BC0444">
        <w:tc>
          <w:tcPr>
            <w:tcW w:w="1474" w:type="dxa"/>
            <w:tcBorders>
              <w:top w:val="nil"/>
              <w:left w:val="nil"/>
              <w:bottom w:val="nil"/>
              <w:right w:val="nil"/>
            </w:tcBorders>
          </w:tcPr>
          <w:p w14:paraId="5D385DCB" w14:textId="77777777" w:rsidR="00756AB9" w:rsidRPr="00BA6517" w:rsidRDefault="00756AB9" w:rsidP="00BC0444">
            <w:pPr>
              <w:rPr>
                <w:rFonts w:ascii="Arial" w:hAnsi="Arial" w:cs="Arial"/>
                <w:sz w:val="22"/>
                <w:szCs w:val="22"/>
              </w:rPr>
            </w:pPr>
            <w:r w:rsidRPr="00BA6517">
              <w:rPr>
                <w:rFonts w:ascii="Arial" w:hAnsi="Arial" w:cs="Arial"/>
                <w:sz w:val="22"/>
                <w:szCs w:val="22"/>
              </w:rPr>
              <w:t>2%</w:t>
            </w:r>
          </w:p>
        </w:tc>
        <w:tc>
          <w:tcPr>
            <w:tcW w:w="1701" w:type="dxa"/>
            <w:tcBorders>
              <w:top w:val="nil"/>
              <w:left w:val="nil"/>
              <w:bottom w:val="nil"/>
              <w:right w:val="nil"/>
            </w:tcBorders>
          </w:tcPr>
          <w:p w14:paraId="56731FAB" w14:textId="77777777" w:rsidR="00756AB9" w:rsidRPr="00BA6517" w:rsidRDefault="00756AB9" w:rsidP="00BC0444">
            <w:pPr>
              <w:rPr>
                <w:rFonts w:ascii="Arial" w:hAnsi="Arial" w:cs="Arial"/>
                <w:sz w:val="22"/>
                <w:szCs w:val="22"/>
              </w:rPr>
            </w:pPr>
            <w:r w:rsidRPr="00BA6517">
              <w:rPr>
                <w:rFonts w:ascii="Arial" w:hAnsi="Arial" w:cs="Arial"/>
                <w:sz w:val="22"/>
                <w:szCs w:val="22"/>
              </w:rPr>
              <w:t>4%</w:t>
            </w:r>
          </w:p>
        </w:tc>
        <w:tc>
          <w:tcPr>
            <w:tcW w:w="1679" w:type="dxa"/>
            <w:tcBorders>
              <w:top w:val="nil"/>
              <w:left w:val="nil"/>
              <w:bottom w:val="nil"/>
              <w:right w:val="nil"/>
            </w:tcBorders>
          </w:tcPr>
          <w:p w14:paraId="1992C4AE" w14:textId="77777777" w:rsidR="00756AB9" w:rsidRPr="00BA6517" w:rsidRDefault="00756AB9" w:rsidP="00BC0444">
            <w:pPr>
              <w:rPr>
                <w:rFonts w:ascii="Arial" w:hAnsi="Arial" w:cs="Arial"/>
                <w:sz w:val="22"/>
                <w:szCs w:val="22"/>
              </w:rPr>
            </w:pPr>
            <w:r w:rsidRPr="00BA6517">
              <w:rPr>
                <w:rFonts w:ascii="Arial" w:hAnsi="Arial" w:cs="Arial"/>
                <w:sz w:val="22"/>
                <w:szCs w:val="22"/>
              </w:rPr>
              <w:t>+2%</w:t>
            </w:r>
          </w:p>
        </w:tc>
        <w:tc>
          <w:tcPr>
            <w:tcW w:w="1588" w:type="dxa"/>
            <w:tcBorders>
              <w:top w:val="nil"/>
              <w:left w:val="nil"/>
              <w:bottom w:val="nil"/>
              <w:right w:val="nil"/>
            </w:tcBorders>
          </w:tcPr>
          <w:p w14:paraId="2E900DB8" w14:textId="77777777" w:rsidR="00756AB9" w:rsidRPr="00BA6517" w:rsidRDefault="00756AB9" w:rsidP="00BC0444">
            <w:pPr>
              <w:rPr>
                <w:rFonts w:ascii="Arial" w:hAnsi="Arial" w:cs="Arial"/>
                <w:sz w:val="22"/>
                <w:szCs w:val="22"/>
              </w:rPr>
            </w:pPr>
            <w:r w:rsidRPr="00BA6517">
              <w:rPr>
                <w:rFonts w:ascii="Arial" w:hAnsi="Arial" w:cs="Arial"/>
                <w:sz w:val="22"/>
                <w:szCs w:val="22"/>
              </w:rPr>
              <w:t>5760</w:t>
            </w:r>
          </w:p>
        </w:tc>
        <w:tc>
          <w:tcPr>
            <w:tcW w:w="1575" w:type="dxa"/>
            <w:tcBorders>
              <w:top w:val="nil"/>
              <w:left w:val="nil"/>
              <w:bottom w:val="nil"/>
              <w:right w:val="nil"/>
            </w:tcBorders>
          </w:tcPr>
          <w:p w14:paraId="676B22C2" w14:textId="77777777" w:rsidR="00756AB9" w:rsidRPr="00BA6517" w:rsidRDefault="00756AB9" w:rsidP="00BC0444">
            <w:pPr>
              <w:rPr>
                <w:rFonts w:ascii="Arial" w:hAnsi="Arial" w:cs="Arial"/>
                <w:sz w:val="22"/>
                <w:szCs w:val="22"/>
              </w:rPr>
            </w:pPr>
            <w:r w:rsidRPr="00BA6517">
              <w:rPr>
                <w:rFonts w:ascii="Arial" w:hAnsi="Arial" w:cs="Arial"/>
                <w:sz w:val="22"/>
                <w:szCs w:val="22"/>
              </w:rPr>
              <w:t>1224</w:t>
            </w:r>
          </w:p>
        </w:tc>
        <w:tc>
          <w:tcPr>
            <w:tcW w:w="1333" w:type="dxa"/>
            <w:tcBorders>
              <w:top w:val="nil"/>
              <w:left w:val="nil"/>
              <w:bottom w:val="nil"/>
              <w:right w:val="nil"/>
            </w:tcBorders>
          </w:tcPr>
          <w:p w14:paraId="1421614B" w14:textId="1A468322" w:rsidR="00756AB9" w:rsidRPr="00BA6517" w:rsidRDefault="00756AB9" w:rsidP="00BC0444">
            <w:pPr>
              <w:rPr>
                <w:rFonts w:ascii="Arial" w:hAnsi="Arial" w:cs="Arial"/>
                <w:sz w:val="22"/>
                <w:szCs w:val="22"/>
              </w:rPr>
            </w:pPr>
            <w:r w:rsidRPr="00BA6517">
              <w:rPr>
                <w:rFonts w:ascii="Arial" w:hAnsi="Arial" w:cs="Arial"/>
                <w:sz w:val="22"/>
                <w:szCs w:val="22"/>
              </w:rPr>
              <w:t>9</w:t>
            </w:r>
            <w:r w:rsidR="00A96FC8">
              <w:rPr>
                <w:rFonts w:ascii="Arial" w:hAnsi="Arial" w:cs="Arial"/>
                <w:sz w:val="22"/>
                <w:szCs w:val="22"/>
              </w:rPr>
              <w:t>8</w:t>
            </w:r>
            <w:r w:rsidRPr="00BA6517">
              <w:rPr>
                <w:rFonts w:ascii="Arial" w:hAnsi="Arial" w:cs="Arial"/>
                <w:sz w:val="22"/>
                <w:szCs w:val="22"/>
              </w:rPr>
              <w:t>%</w:t>
            </w:r>
          </w:p>
        </w:tc>
      </w:tr>
      <w:tr w:rsidR="00756AB9" w:rsidRPr="00BA6517" w14:paraId="2E187C96" w14:textId="77777777" w:rsidTr="00BC0444">
        <w:tc>
          <w:tcPr>
            <w:tcW w:w="1474" w:type="dxa"/>
            <w:tcBorders>
              <w:top w:val="nil"/>
              <w:left w:val="nil"/>
              <w:bottom w:val="single" w:sz="4" w:space="0" w:color="auto"/>
              <w:right w:val="nil"/>
            </w:tcBorders>
          </w:tcPr>
          <w:p w14:paraId="5352781C" w14:textId="77777777" w:rsidR="00756AB9" w:rsidRPr="00BA6517" w:rsidRDefault="00756AB9" w:rsidP="00BC0444">
            <w:pPr>
              <w:rPr>
                <w:rFonts w:ascii="Arial" w:hAnsi="Arial" w:cs="Arial"/>
                <w:sz w:val="22"/>
                <w:szCs w:val="22"/>
              </w:rPr>
            </w:pPr>
            <w:r w:rsidRPr="00BA6517">
              <w:rPr>
                <w:rFonts w:ascii="Arial" w:hAnsi="Arial" w:cs="Arial"/>
                <w:sz w:val="22"/>
                <w:szCs w:val="22"/>
              </w:rPr>
              <w:t>1%</w:t>
            </w:r>
          </w:p>
        </w:tc>
        <w:tc>
          <w:tcPr>
            <w:tcW w:w="1701" w:type="dxa"/>
            <w:tcBorders>
              <w:top w:val="nil"/>
              <w:left w:val="nil"/>
              <w:bottom w:val="single" w:sz="4" w:space="0" w:color="auto"/>
              <w:right w:val="nil"/>
            </w:tcBorders>
          </w:tcPr>
          <w:p w14:paraId="1DD6AC2E" w14:textId="77777777" w:rsidR="00756AB9" w:rsidRPr="00BA6517" w:rsidRDefault="00756AB9" w:rsidP="00BC0444">
            <w:pPr>
              <w:rPr>
                <w:rFonts w:ascii="Arial" w:hAnsi="Arial" w:cs="Arial"/>
                <w:sz w:val="22"/>
                <w:szCs w:val="22"/>
              </w:rPr>
            </w:pPr>
            <w:r w:rsidRPr="00BA6517">
              <w:rPr>
                <w:rFonts w:ascii="Arial" w:hAnsi="Arial" w:cs="Arial"/>
                <w:sz w:val="22"/>
                <w:szCs w:val="22"/>
              </w:rPr>
              <w:t>3%</w:t>
            </w:r>
          </w:p>
        </w:tc>
        <w:tc>
          <w:tcPr>
            <w:tcW w:w="1679" w:type="dxa"/>
            <w:tcBorders>
              <w:top w:val="nil"/>
              <w:left w:val="nil"/>
              <w:bottom w:val="single" w:sz="4" w:space="0" w:color="auto"/>
              <w:right w:val="nil"/>
            </w:tcBorders>
          </w:tcPr>
          <w:p w14:paraId="4F982AAA" w14:textId="77777777" w:rsidR="00756AB9" w:rsidRPr="00BA6517" w:rsidRDefault="00756AB9" w:rsidP="00BC0444">
            <w:pPr>
              <w:rPr>
                <w:rFonts w:ascii="Arial" w:hAnsi="Arial" w:cs="Arial"/>
                <w:sz w:val="22"/>
                <w:szCs w:val="22"/>
              </w:rPr>
            </w:pPr>
            <w:r w:rsidRPr="00BA6517">
              <w:rPr>
                <w:rFonts w:ascii="Arial" w:hAnsi="Arial" w:cs="Arial"/>
                <w:sz w:val="22"/>
                <w:szCs w:val="22"/>
              </w:rPr>
              <w:t>+2%</w:t>
            </w:r>
          </w:p>
        </w:tc>
        <w:tc>
          <w:tcPr>
            <w:tcW w:w="1588" w:type="dxa"/>
            <w:tcBorders>
              <w:top w:val="nil"/>
              <w:left w:val="nil"/>
              <w:bottom w:val="single" w:sz="4" w:space="0" w:color="auto"/>
              <w:right w:val="nil"/>
            </w:tcBorders>
          </w:tcPr>
          <w:p w14:paraId="1BA9A050" w14:textId="77777777" w:rsidR="00756AB9" w:rsidRPr="00BA6517" w:rsidRDefault="00756AB9" w:rsidP="00BC0444">
            <w:pPr>
              <w:rPr>
                <w:rFonts w:ascii="Arial" w:hAnsi="Arial" w:cs="Arial"/>
                <w:sz w:val="22"/>
                <w:szCs w:val="22"/>
              </w:rPr>
            </w:pPr>
            <w:r w:rsidRPr="00BA6517">
              <w:rPr>
                <w:rFonts w:ascii="Arial" w:hAnsi="Arial" w:cs="Arial"/>
                <w:sz w:val="22"/>
                <w:szCs w:val="22"/>
              </w:rPr>
              <w:t>5760</w:t>
            </w:r>
          </w:p>
        </w:tc>
        <w:tc>
          <w:tcPr>
            <w:tcW w:w="1575" w:type="dxa"/>
            <w:tcBorders>
              <w:top w:val="nil"/>
              <w:left w:val="nil"/>
              <w:bottom w:val="single" w:sz="4" w:space="0" w:color="auto"/>
              <w:right w:val="nil"/>
            </w:tcBorders>
          </w:tcPr>
          <w:p w14:paraId="5577EDC2" w14:textId="77777777" w:rsidR="00756AB9" w:rsidRPr="00BA6517" w:rsidRDefault="00756AB9" w:rsidP="00BC0444">
            <w:pPr>
              <w:rPr>
                <w:rFonts w:ascii="Arial" w:hAnsi="Arial" w:cs="Arial"/>
                <w:sz w:val="22"/>
                <w:szCs w:val="22"/>
              </w:rPr>
            </w:pPr>
            <w:r w:rsidRPr="00BA6517">
              <w:rPr>
                <w:rFonts w:ascii="Arial" w:hAnsi="Arial" w:cs="Arial"/>
                <w:sz w:val="22"/>
                <w:szCs w:val="22"/>
              </w:rPr>
              <w:t>1152</w:t>
            </w:r>
          </w:p>
        </w:tc>
        <w:tc>
          <w:tcPr>
            <w:tcW w:w="1333" w:type="dxa"/>
            <w:tcBorders>
              <w:top w:val="nil"/>
              <w:left w:val="nil"/>
              <w:bottom w:val="single" w:sz="4" w:space="0" w:color="auto"/>
              <w:right w:val="nil"/>
            </w:tcBorders>
          </w:tcPr>
          <w:p w14:paraId="74E91D5D" w14:textId="1E215D6F" w:rsidR="00756AB9" w:rsidRPr="00BA6517" w:rsidRDefault="00756AB9" w:rsidP="00BC0444">
            <w:pPr>
              <w:rPr>
                <w:rFonts w:ascii="Arial" w:hAnsi="Arial" w:cs="Arial"/>
                <w:sz w:val="22"/>
                <w:szCs w:val="22"/>
              </w:rPr>
            </w:pPr>
            <w:r w:rsidRPr="00BA6517">
              <w:rPr>
                <w:rFonts w:ascii="Arial" w:hAnsi="Arial" w:cs="Arial"/>
                <w:sz w:val="22"/>
                <w:szCs w:val="22"/>
              </w:rPr>
              <w:t>9</w:t>
            </w:r>
            <w:r w:rsidR="00A96FC8">
              <w:rPr>
                <w:rFonts w:ascii="Arial" w:hAnsi="Arial" w:cs="Arial"/>
                <w:sz w:val="22"/>
                <w:szCs w:val="22"/>
              </w:rPr>
              <w:t>9</w:t>
            </w:r>
            <w:r w:rsidRPr="00BA6517">
              <w:rPr>
                <w:rFonts w:ascii="Arial" w:hAnsi="Arial" w:cs="Arial"/>
                <w:sz w:val="22"/>
                <w:szCs w:val="22"/>
              </w:rPr>
              <w:t>%</w:t>
            </w:r>
          </w:p>
        </w:tc>
      </w:tr>
      <w:tr w:rsidR="00756AB9" w:rsidRPr="00BA6517" w14:paraId="7B580F23" w14:textId="77777777" w:rsidTr="00BC0444">
        <w:tc>
          <w:tcPr>
            <w:tcW w:w="9350" w:type="dxa"/>
            <w:gridSpan w:val="6"/>
            <w:tcBorders>
              <w:top w:val="single" w:sz="4" w:space="0" w:color="auto"/>
              <w:left w:val="nil"/>
              <w:bottom w:val="nil"/>
              <w:right w:val="nil"/>
            </w:tcBorders>
          </w:tcPr>
          <w:p w14:paraId="7C704D72" w14:textId="77777777" w:rsidR="00756AB9" w:rsidRPr="00BA6517" w:rsidRDefault="00756AB9" w:rsidP="00BC0444">
            <w:pPr>
              <w:rPr>
                <w:rFonts w:ascii="Arial" w:hAnsi="Arial" w:cs="Arial"/>
                <w:b/>
                <w:bCs/>
                <w:sz w:val="22"/>
                <w:szCs w:val="22"/>
              </w:rPr>
            </w:pPr>
          </w:p>
        </w:tc>
      </w:tr>
    </w:tbl>
    <w:p w14:paraId="442C1DF2" w14:textId="1EF46F87" w:rsidR="00756AB9" w:rsidRDefault="00756AB9" w:rsidP="00F968E6">
      <w:pPr>
        <w:rPr>
          <w:rFonts w:ascii="Arial" w:eastAsia="Arial" w:hAnsi="Arial" w:cs="Arial"/>
          <w:b/>
          <w:color w:val="000000"/>
          <w:sz w:val="22"/>
          <w:szCs w:val="22"/>
        </w:rPr>
      </w:pPr>
      <w:r w:rsidRPr="00BA6517">
        <w:rPr>
          <w:rFonts w:ascii="Arial" w:hAnsi="Arial" w:cs="Arial"/>
          <w:sz w:val="22"/>
          <w:szCs w:val="22"/>
        </w:rPr>
        <w:t xml:space="preserve"> </w:t>
      </w:r>
    </w:p>
    <w:p w14:paraId="797D04EC" w14:textId="0BC5F3F1" w:rsidR="00AE3BC8" w:rsidRPr="00C27617" w:rsidRDefault="00C27617" w:rsidP="005F1907">
      <w:pPr>
        <w:widowControl w:val="0"/>
        <w:pBdr>
          <w:top w:val="nil"/>
          <w:left w:val="nil"/>
          <w:bottom w:val="nil"/>
          <w:right w:val="nil"/>
          <w:between w:val="nil"/>
        </w:pBdr>
        <w:rPr>
          <w:rFonts w:ascii="Arial" w:eastAsia="Arial" w:hAnsi="Arial" w:cs="Arial"/>
          <w:bCs/>
          <w:color w:val="000000"/>
          <w:sz w:val="22"/>
          <w:szCs w:val="22"/>
        </w:rPr>
      </w:pPr>
      <w:r>
        <w:rPr>
          <w:rFonts w:ascii="Arial" w:eastAsia="Arial" w:hAnsi="Arial" w:cs="Arial"/>
          <w:b/>
          <w:color w:val="000000"/>
          <w:sz w:val="22"/>
          <w:szCs w:val="22"/>
        </w:rPr>
        <w:t xml:space="preserve">Statistical methods </w:t>
      </w:r>
      <w:r>
        <w:rPr>
          <w:rFonts w:ascii="Arial" w:eastAsia="Arial" w:hAnsi="Arial" w:cs="Arial"/>
          <w:bCs/>
          <w:color w:val="000000"/>
          <w:sz w:val="22"/>
          <w:szCs w:val="22"/>
        </w:rPr>
        <w:t>(additional details)</w:t>
      </w:r>
    </w:p>
    <w:p w14:paraId="72D2FB46" w14:textId="0DF6B68F" w:rsidR="00C27617" w:rsidRPr="00442A52" w:rsidRDefault="00C27617" w:rsidP="00C27617">
      <w:pPr>
        <w:widowControl w:val="0"/>
        <w:pBdr>
          <w:top w:val="nil"/>
          <w:left w:val="nil"/>
          <w:bottom w:val="nil"/>
          <w:right w:val="nil"/>
          <w:between w:val="nil"/>
        </w:pBdr>
        <w:rPr>
          <w:rFonts w:ascii="Arial" w:eastAsia="Arial" w:hAnsi="Arial" w:cs="Arial"/>
          <w:sz w:val="22"/>
          <w:szCs w:val="22"/>
          <w:highlight w:val="yellow"/>
        </w:rPr>
      </w:pPr>
      <w:r w:rsidRPr="00442A52">
        <w:rPr>
          <w:rFonts w:ascii="Arial" w:eastAsia="Arial" w:hAnsi="Arial" w:cs="Arial"/>
          <w:sz w:val="22"/>
          <w:szCs w:val="22"/>
        </w:rPr>
        <w:t>Additionally, for Objective 1, pre-training SDS will be included as a covariate to leverage the information in each primary care worker’s baseline level and, because there are three SDS follow-up measurements (post-training, 3- and 6-months follow-up), these will be simultaneously modeled. As such, time point and the implementation-arm by time interaction will be included in the stigma model in order to estimate different effects at different follow-up time points, with 6-months the primary time</w:t>
      </w:r>
      <w:r w:rsidR="00ED11B5">
        <w:rPr>
          <w:rFonts w:ascii="Arial" w:eastAsia="Arial" w:hAnsi="Arial" w:cs="Arial"/>
          <w:sz w:val="22"/>
          <w:szCs w:val="22"/>
        </w:rPr>
        <w:t xml:space="preserve"> </w:t>
      </w:r>
      <w:r w:rsidRPr="00442A52">
        <w:rPr>
          <w:rFonts w:ascii="Arial" w:eastAsia="Arial" w:hAnsi="Arial" w:cs="Arial"/>
          <w:sz w:val="22"/>
          <w:szCs w:val="22"/>
        </w:rPr>
        <w:t>point. Both outcomes are specified within a four-level structure: municipality, health facility, PCP and time</w:t>
      </w:r>
      <w:r w:rsidR="00ED11B5">
        <w:rPr>
          <w:rFonts w:ascii="Arial" w:eastAsia="Arial" w:hAnsi="Arial" w:cs="Arial"/>
          <w:sz w:val="22"/>
          <w:szCs w:val="22"/>
        </w:rPr>
        <w:t xml:space="preserve"> </w:t>
      </w:r>
      <w:r w:rsidRPr="00442A52">
        <w:rPr>
          <w:rFonts w:ascii="Arial" w:eastAsia="Arial" w:hAnsi="Arial" w:cs="Arial"/>
          <w:sz w:val="22"/>
          <w:szCs w:val="22"/>
        </w:rPr>
        <w:t xml:space="preserve">point for stigma; municipality, health facility, PCP and patient for diagnostic accuracy. In practice, we note that, for the latter, because we expect 1 PCP per health facility who provides MH services, the PCP and health facility will coincide thus reducing the structure to three levels. Moreover, we expect to collapse to a PCP measure of diagnostic accuracy, analyzed within a binomial model (with a denominator of accurate diagnoses and numerator of all diagnoses made) for computational efficiency and because we do not expect primary analyses to include patient-level characteristics. For objective 1, the identity link will be used to estimate between-arm differences in mean PCP </w:t>
      </w:r>
      <w:r w:rsidRPr="00442A52">
        <w:rPr>
          <w:rFonts w:ascii="Arial" w:eastAsia="Arial" w:hAnsi="Arial" w:cs="Arial"/>
          <w:sz w:val="22"/>
          <w:szCs w:val="22"/>
        </w:rPr>
        <w:lastRenderedPageBreak/>
        <w:t xml:space="preserve">stigma (SDS) whereas the log and identity links will be used to estimate the ratio and difference, respectively, in the proportion of patients with accurate diagnosis. </w:t>
      </w:r>
      <w:r w:rsidR="00793FD6">
        <w:rPr>
          <w:rFonts w:ascii="Arial" w:eastAsia="Arial" w:hAnsi="Arial" w:cs="Arial"/>
          <w:sz w:val="22"/>
          <w:szCs w:val="22"/>
        </w:rPr>
        <w:t>We expect to use t</w:t>
      </w:r>
      <w:r w:rsidRPr="00442A52">
        <w:rPr>
          <w:rFonts w:ascii="Arial" w:eastAsia="Arial" w:hAnsi="Arial" w:cs="Arial"/>
          <w:sz w:val="22"/>
          <w:szCs w:val="22"/>
        </w:rPr>
        <w:t xml:space="preserve">he nested exchangeable correlation </w:t>
      </w:r>
      <w:r w:rsidR="000331BE">
        <w:rPr>
          <w:rFonts w:ascii="Arial" w:eastAsia="Arial" w:hAnsi="Arial" w:cs="Arial"/>
          <w:sz w:val="22"/>
          <w:szCs w:val="22"/>
        </w:rPr>
        <w:t>when a</w:t>
      </w:r>
      <w:r w:rsidRPr="00442A52">
        <w:rPr>
          <w:rFonts w:ascii="Arial" w:eastAsia="Arial" w:hAnsi="Arial" w:cs="Arial"/>
          <w:sz w:val="22"/>
          <w:szCs w:val="22"/>
        </w:rPr>
        <w:t xml:space="preserve"> three</w:t>
      </w:r>
      <w:r w:rsidR="000331BE">
        <w:rPr>
          <w:rFonts w:ascii="Arial" w:eastAsia="Arial" w:hAnsi="Arial" w:cs="Arial"/>
          <w:sz w:val="22"/>
          <w:szCs w:val="22"/>
        </w:rPr>
        <w:t xml:space="preserve"> </w:t>
      </w:r>
      <w:r w:rsidRPr="00442A52">
        <w:rPr>
          <w:rFonts w:ascii="Arial" w:eastAsia="Arial" w:hAnsi="Arial" w:cs="Arial"/>
          <w:sz w:val="22"/>
          <w:szCs w:val="22"/>
        </w:rPr>
        <w:t>level</w:t>
      </w:r>
      <w:r w:rsidR="000331BE">
        <w:rPr>
          <w:rFonts w:ascii="Arial" w:eastAsia="Arial" w:hAnsi="Arial" w:cs="Arial"/>
          <w:sz w:val="22"/>
          <w:szCs w:val="22"/>
        </w:rPr>
        <w:t xml:space="preserve"> structure is analyzed</w:t>
      </w:r>
      <w:r w:rsidRPr="00442A52">
        <w:rPr>
          <w:rFonts w:ascii="Arial" w:eastAsia="Arial" w:hAnsi="Arial" w:cs="Arial"/>
          <w:sz w:val="22"/>
          <w:szCs w:val="22"/>
        </w:rPr>
        <w:t xml:space="preserve">  </w:t>
      </w:r>
      <w:r w:rsidRPr="00442A52">
        <w:rPr>
          <w:rFonts w:ascii="Arial" w:eastAsia="Arial" w:hAnsi="Arial" w:cs="Arial"/>
          <w:sz w:val="22"/>
          <w:szCs w:val="22"/>
        </w:rPr>
        <w:fldChar w:fldCharType="begin"/>
      </w:r>
      <w:r w:rsidR="008F3B85">
        <w:rPr>
          <w:rFonts w:ascii="Arial" w:eastAsia="Arial" w:hAnsi="Arial" w:cs="Arial"/>
          <w:sz w:val="22"/>
          <w:szCs w:val="22"/>
        </w:rPr>
        <w:instrText xml:space="preserve"> ADDIN EN.CITE &lt;EndNote&gt;&lt;Cite&gt;&lt;Author&gt;Teerenstra&lt;/Author&gt;&lt;Year&gt;2010&lt;/Year&gt;&lt;RecNum&gt;25077&lt;/RecNum&gt;&lt;DisplayText&gt;[12]&lt;/DisplayText&gt;&lt;record&gt;&lt;rec-number&gt;25077&lt;/rec-number&gt;&lt;foreign-keys&gt;&lt;key app="EN" db-id="ax0v2pxro500rte5pd0pvztksdwapad2rtaa" timestamp="1644630440"&gt;25077&lt;/key&gt;&lt;/foreign-keys&gt;&lt;ref-type name="Journal Article"&gt;17&lt;/ref-type&gt;&lt;contributors&gt;&lt;authors&gt;&lt;author&gt;Teerenstra, Steven&lt;/author&gt;&lt;author&gt;Lu, Bing&lt;/author&gt;&lt;author&gt;Preisser, John S&lt;/author&gt;&lt;author&gt;Van Achterberg, Theo&lt;/author&gt;&lt;author&gt;Borm, George F&lt;/author&gt;&lt;/authors&gt;&lt;/contributors&gt;&lt;titles&gt;&lt;title&gt;Sample size considerations for GEE analyses of three</w:instrText>
      </w:r>
      <w:r w:rsidR="008F3B85">
        <w:rPr>
          <w:rFonts w:ascii="Cambria Math" w:eastAsia="Arial" w:hAnsi="Cambria Math" w:cs="Cambria Math"/>
          <w:sz w:val="22"/>
          <w:szCs w:val="22"/>
        </w:rPr>
        <w:instrText>‐</w:instrText>
      </w:r>
      <w:r w:rsidR="008F3B85">
        <w:rPr>
          <w:rFonts w:ascii="Arial" w:eastAsia="Arial" w:hAnsi="Arial" w:cs="Arial"/>
          <w:sz w:val="22"/>
          <w:szCs w:val="22"/>
        </w:rPr>
        <w:instrText>level cluster randomized trials&lt;/title&gt;&lt;secondary-title&gt;Biometrics&lt;/secondary-title&gt;&lt;/titles&gt;&lt;periodical&gt;&lt;full-title&gt;Biometrics&lt;/full-title&gt;&lt;abbr-1&gt;Biometrics&lt;/abbr-1&gt;&lt;/periodical&gt;&lt;pages&gt;1230-1237&lt;/pages&gt;&lt;volume&gt;66&lt;/volume&gt;&lt;number&gt;4&lt;/number&gt;&lt;dates&gt;&lt;year&gt;2010&lt;/year&gt;&lt;/dates&gt;&lt;isbn&gt;0006-341X&lt;/isbn&gt;&lt;urls&gt;&lt;/urls&gt;&lt;/record&gt;&lt;/Cite&gt;&lt;/EndNote&gt;</w:instrText>
      </w:r>
      <w:r w:rsidRPr="00442A52">
        <w:rPr>
          <w:rFonts w:ascii="Arial" w:eastAsia="Arial" w:hAnsi="Arial" w:cs="Arial"/>
          <w:sz w:val="22"/>
          <w:szCs w:val="22"/>
        </w:rPr>
        <w:fldChar w:fldCharType="separate"/>
      </w:r>
      <w:r w:rsidR="008F3B85">
        <w:rPr>
          <w:rFonts w:ascii="Arial" w:eastAsia="Arial" w:hAnsi="Arial" w:cs="Arial"/>
          <w:noProof/>
          <w:sz w:val="22"/>
          <w:szCs w:val="22"/>
        </w:rPr>
        <w:t>[12]</w:t>
      </w:r>
      <w:r w:rsidRPr="00442A52">
        <w:rPr>
          <w:rFonts w:ascii="Arial" w:eastAsia="Arial" w:hAnsi="Arial" w:cs="Arial"/>
          <w:sz w:val="22"/>
          <w:szCs w:val="22"/>
        </w:rPr>
        <w:fldChar w:fldCharType="end"/>
      </w:r>
      <w:r w:rsidRPr="00442A52">
        <w:rPr>
          <w:rFonts w:ascii="Arial" w:eastAsia="Arial" w:hAnsi="Arial" w:cs="Arial"/>
          <w:sz w:val="22"/>
          <w:szCs w:val="22"/>
        </w:rPr>
        <w:t xml:space="preserve"> and</w:t>
      </w:r>
      <w:r w:rsidR="00793FD6">
        <w:rPr>
          <w:rFonts w:ascii="Arial" w:eastAsia="Arial" w:hAnsi="Arial" w:cs="Arial"/>
          <w:sz w:val="22"/>
          <w:szCs w:val="22"/>
        </w:rPr>
        <w:t xml:space="preserve"> </w:t>
      </w:r>
      <w:r w:rsidRPr="00442A52">
        <w:rPr>
          <w:rFonts w:ascii="Arial" w:eastAsia="Arial" w:hAnsi="Arial" w:cs="Arial"/>
          <w:sz w:val="22"/>
          <w:szCs w:val="22"/>
        </w:rPr>
        <w:t xml:space="preserve">the extended nested exchangeable correlation structure </w:t>
      </w:r>
      <w:r w:rsidR="000331BE">
        <w:rPr>
          <w:rFonts w:ascii="Arial" w:eastAsia="Arial" w:hAnsi="Arial" w:cs="Arial"/>
          <w:sz w:val="22"/>
          <w:szCs w:val="22"/>
        </w:rPr>
        <w:t>when a four-level structure is analyzed</w:t>
      </w:r>
      <w:r w:rsidRPr="00442A52">
        <w:rPr>
          <w:rFonts w:ascii="Arial" w:eastAsia="Arial" w:hAnsi="Arial" w:cs="Arial"/>
          <w:sz w:val="22"/>
          <w:szCs w:val="22"/>
        </w:rPr>
        <w:t xml:space="preserve"> </w:t>
      </w:r>
      <w:r w:rsidRPr="00442A52">
        <w:rPr>
          <w:rFonts w:ascii="Arial" w:eastAsia="Arial" w:hAnsi="Arial" w:cs="Arial"/>
          <w:sz w:val="22"/>
          <w:szCs w:val="22"/>
        </w:rPr>
        <w:fldChar w:fldCharType="begin"/>
      </w:r>
      <w:r w:rsidR="008F3B85">
        <w:rPr>
          <w:rFonts w:ascii="Arial" w:eastAsia="Arial" w:hAnsi="Arial" w:cs="Arial"/>
          <w:sz w:val="22"/>
          <w:szCs w:val="22"/>
        </w:rPr>
        <w:instrText xml:space="preserve"> ADDIN EN.CITE &lt;EndNote&gt;&lt;Cite&gt;&lt;Author&gt;Wang&lt;/Author&gt;&lt;Year&gt;2020&lt;/Year&gt;&lt;RecNum&gt;25074&lt;/RecNum&gt;&lt;DisplayText&gt;[13]&lt;/DisplayText&gt;&lt;record&gt;&lt;rec-number&gt;25074&lt;/rec-number&gt;&lt;foreign-keys&gt;&lt;key app="EN" db-id="ax0v2pxro500rte5pd0pvztksdwapad2rtaa" timestamp="1644513578"&gt;25074&lt;/key&gt;&lt;/foreign-keys&gt;&lt;ref-type name="Journal Article"&gt;17&lt;/ref-type&gt;&lt;contributors&gt;&lt;authors&gt;&lt;author&gt;Wang, Xueqi&lt;/author&gt;&lt;author&gt;Turner, Elizabeth L.&lt;/author&gt;&lt;author&gt;Preisser, John S.&lt;/author&gt;&lt;author&gt;Li, Fan&lt;/author&gt;&lt;/authors&gt;&lt;/contributors&gt;&lt;titles&gt;&lt;title&gt;Power considerations for generalized estimating equations analyses of four-level cluster randomized trials&lt;/title&gt;&lt;secondary-title&gt;Biometrical Journal&lt;/secondary-title&gt;&lt;/titles&gt;&lt;periodical&gt;&lt;full-title&gt;Biometrical Journal&lt;/full-title&gt;&lt;/periodical&gt;&lt;volume&gt;n/a&lt;/volume&gt;&lt;number&gt;n/a&lt;/number&gt;&lt;dates&gt;&lt;year&gt;2020&lt;/year&gt;&lt;/dates&gt;&lt;isbn&gt;0323-3847&lt;/isbn&gt;&lt;urls&gt;&lt;related-urls&gt;&lt;url&gt;https://onlinelibrary.wiley.com/doi/abs/10.1002/bimj.202100081&lt;/url&gt;&lt;/related-urls&gt;&lt;/urls&gt;&lt;electronic-resource-num&gt;https://doi.org/10.1002/bimj.202100081&lt;/electronic-resource-num&gt;&lt;/record&gt;&lt;/Cite&gt;&lt;/EndNote&gt;</w:instrText>
      </w:r>
      <w:r w:rsidRPr="00442A52">
        <w:rPr>
          <w:rFonts w:ascii="Arial" w:eastAsia="Arial" w:hAnsi="Arial" w:cs="Arial"/>
          <w:sz w:val="22"/>
          <w:szCs w:val="22"/>
        </w:rPr>
        <w:fldChar w:fldCharType="separate"/>
      </w:r>
      <w:r w:rsidR="008F3B85">
        <w:rPr>
          <w:rFonts w:ascii="Arial" w:eastAsia="Arial" w:hAnsi="Arial" w:cs="Arial"/>
          <w:noProof/>
          <w:sz w:val="22"/>
          <w:szCs w:val="22"/>
        </w:rPr>
        <w:t>[13]</w:t>
      </w:r>
      <w:r w:rsidRPr="00442A52">
        <w:rPr>
          <w:rFonts w:ascii="Arial" w:eastAsia="Arial" w:hAnsi="Arial" w:cs="Arial"/>
          <w:sz w:val="22"/>
          <w:szCs w:val="22"/>
        </w:rPr>
        <w:fldChar w:fldCharType="end"/>
      </w:r>
      <w:r w:rsidRPr="00442A52">
        <w:rPr>
          <w:rFonts w:ascii="Arial" w:eastAsia="Arial" w:hAnsi="Arial" w:cs="Arial"/>
          <w:sz w:val="22"/>
          <w:szCs w:val="22"/>
        </w:rPr>
        <w:t xml:space="preserve"> </w:t>
      </w:r>
      <w:r w:rsidR="000331BE">
        <w:rPr>
          <w:rFonts w:ascii="Arial" w:eastAsia="Arial" w:hAnsi="Arial" w:cs="Arial"/>
          <w:sz w:val="22"/>
          <w:szCs w:val="22"/>
        </w:rPr>
        <w:t xml:space="preserve">e.g., </w:t>
      </w:r>
      <w:r w:rsidRPr="00442A52">
        <w:rPr>
          <w:rFonts w:ascii="Arial" w:eastAsia="Arial" w:hAnsi="Arial" w:cs="Arial"/>
          <w:sz w:val="22"/>
          <w:szCs w:val="22"/>
        </w:rPr>
        <w:t>in the situation whereby there is more than 1 PCP per health facility</w:t>
      </w:r>
      <w:r w:rsidR="00346C71">
        <w:rPr>
          <w:rFonts w:ascii="Arial" w:eastAsia="Arial" w:hAnsi="Arial" w:cs="Arial"/>
          <w:sz w:val="22"/>
          <w:szCs w:val="22"/>
        </w:rPr>
        <w:t xml:space="preserve"> who provides MH services</w:t>
      </w:r>
      <w:r w:rsidRPr="00442A52">
        <w:rPr>
          <w:rFonts w:ascii="Arial" w:eastAsia="Arial" w:hAnsi="Arial" w:cs="Arial"/>
          <w:sz w:val="22"/>
          <w:szCs w:val="22"/>
        </w:rPr>
        <w:t xml:space="preserve">. </w:t>
      </w:r>
    </w:p>
    <w:p w14:paraId="22FE8EE3" w14:textId="77777777" w:rsidR="00C27617" w:rsidRPr="00442A52" w:rsidRDefault="00C27617" w:rsidP="00C27617">
      <w:pPr>
        <w:widowControl w:val="0"/>
        <w:pBdr>
          <w:top w:val="nil"/>
          <w:left w:val="nil"/>
          <w:bottom w:val="nil"/>
          <w:right w:val="nil"/>
          <w:between w:val="nil"/>
        </w:pBdr>
        <w:rPr>
          <w:rFonts w:ascii="Arial" w:eastAsia="Arial" w:hAnsi="Arial" w:cs="Arial"/>
          <w:sz w:val="22"/>
          <w:szCs w:val="22"/>
          <w:highlight w:val="white"/>
        </w:rPr>
      </w:pPr>
    </w:p>
    <w:p w14:paraId="1ABC6805" w14:textId="4CC64C03" w:rsidR="00C27617" w:rsidRPr="00442A52" w:rsidRDefault="00C27617" w:rsidP="00C27617">
      <w:pPr>
        <w:widowControl w:val="0"/>
        <w:pBdr>
          <w:top w:val="nil"/>
          <w:left w:val="nil"/>
          <w:bottom w:val="nil"/>
          <w:right w:val="nil"/>
          <w:between w:val="nil"/>
        </w:pBdr>
        <w:rPr>
          <w:rFonts w:ascii="Arial" w:eastAsia="Arial" w:hAnsi="Arial" w:cs="Arial"/>
          <w:color w:val="000000"/>
          <w:sz w:val="22"/>
          <w:szCs w:val="22"/>
        </w:rPr>
      </w:pPr>
      <w:r w:rsidRPr="00442A52">
        <w:rPr>
          <w:rFonts w:ascii="Arial" w:eastAsia="Arial" w:hAnsi="Arial" w:cs="Arial"/>
          <w:sz w:val="22"/>
          <w:szCs w:val="22"/>
        </w:rPr>
        <w:t xml:space="preserve">There are two important distinctions between the modeling approach for the two outcomes. First, related to the sampling scheme, and, second, in the nature of missing data. </w:t>
      </w:r>
      <w:r w:rsidR="00566403">
        <w:rPr>
          <w:rFonts w:ascii="Arial" w:eastAsia="Arial" w:hAnsi="Arial" w:cs="Arial"/>
          <w:sz w:val="22"/>
          <w:szCs w:val="22"/>
        </w:rPr>
        <w:t>Regarding</w:t>
      </w:r>
      <w:r w:rsidRPr="00442A52">
        <w:rPr>
          <w:rFonts w:ascii="Arial" w:eastAsia="Arial" w:hAnsi="Arial" w:cs="Arial"/>
          <w:sz w:val="22"/>
          <w:szCs w:val="22"/>
        </w:rPr>
        <w:t xml:space="preserve"> the sampling scheme, all suspected ‘positive’ patients will be interviewed by a psychiatrist at 3-months post-baseline whereas </w:t>
      </w:r>
      <w:r w:rsidR="00566403">
        <w:rPr>
          <w:rFonts w:ascii="Arial" w:eastAsia="Arial" w:hAnsi="Arial" w:cs="Arial"/>
          <w:sz w:val="22"/>
          <w:szCs w:val="22"/>
        </w:rPr>
        <w:t xml:space="preserve">only </w:t>
      </w:r>
      <w:r w:rsidRPr="00442A52">
        <w:rPr>
          <w:rFonts w:ascii="Arial" w:eastAsia="Arial" w:hAnsi="Arial" w:cs="Arial"/>
          <w:sz w:val="22"/>
          <w:szCs w:val="22"/>
        </w:rPr>
        <w:t xml:space="preserve">a sub-sample of suspected ‘negative’ patients will be interviewed. Therefore, in practice, accuracy will only be available for patients who </w:t>
      </w:r>
      <w:r w:rsidR="00ED11B5">
        <w:rPr>
          <w:rFonts w:ascii="Arial" w:eastAsia="Arial" w:hAnsi="Arial" w:cs="Arial"/>
          <w:sz w:val="22"/>
          <w:szCs w:val="22"/>
        </w:rPr>
        <w:t xml:space="preserve">were </w:t>
      </w:r>
      <w:r w:rsidRPr="00442A52">
        <w:rPr>
          <w:rFonts w:ascii="Arial" w:eastAsia="Arial" w:hAnsi="Arial" w:cs="Arial"/>
          <w:sz w:val="22"/>
          <w:szCs w:val="22"/>
        </w:rPr>
        <w:t xml:space="preserve">interviewed three months after enrollment. Secondary analysis will account for our sampling design by using sampling weights, whereas our primary analysis will not. That is, our primary analysis will assess the impact of the RESHAPE implementation strategy on the accuracy outcome for a population of patients that is comparable to those included in the sample of patients at 3-month follow-up. This is aligned with the research question for which we powered objective 2. </w:t>
      </w:r>
      <w:r w:rsidRPr="00442A52">
        <w:rPr>
          <w:rFonts w:ascii="Arial" w:eastAsia="Arial" w:hAnsi="Arial" w:cs="Arial"/>
          <w:sz w:val="22"/>
          <w:szCs w:val="22"/>
          <w:highlight w:val="white"/>
        </w:rPr>
        <w:t xml:space="preserve">If there are model convergence issues for the accuracy outcome models, a modified Poisson approach </w:t>
      </w:r>
      <w:r w:rsidRPr="00442A52">
        <w:rPr>
          <w:rFonts w:ascii="Arial" w:hAnsi="Arial" w:cs="Arial"/>
          <w:sz w:val="22"/>
          <w:szCs w:val="22"/>
        </w:rPr>
        <w:fldChar w:fldCharType="begin"/>
      </w:r>
      <w:r w:rsidR="008F3B85">
        <w:rPr>
          <w:rFonts w:ascii="Arial" w:hAnsi="Arial" w:cs="Arial"/>
          <w:sz w:val="22"/>
          <w:szCs w:val="22"/>
        </w:rPr>
        <w:instrText xml:space="preserve"> ADDIN EN.CITE &lt;EndNote&gt;&lt;Cite&gt;&lt;Author&gt;Zou&lt;/Author&gt;&lt;Year&gt;2013&lt;/Year&gt;&lt;RecNum&gt;23275&lt;/RecNum&gt;&lt;DisplayText&gt;[14]&lt;/DisplayText&gt;&lt;record&gt;&lt;rec-number&gt;23275&lt;/rec-number&gt;&lt;foreign-keys&gt;&lt;key app="EN" db-id="ax0v2pxro500rte5pd0pvztksdwapad2rtaa" timestamp="1540400491"&gt;23275&lt;/key&gt;&lt;/foreign-keys&gt;&lt;ref-type name="Journal Article"&gt;17&lt;/ref-type&gt;&lt;contributors&gt;&lt;authors&gt;&lt;author&gt;Zou, G. Y.&lt;/author&gt;&lt;author&gt;Donner, A.&lt;/author&gt;&lt;/authors&gt;&lt;/contributors&gt;&lt;auth-address&gt;Department of Epidemiology &amp;amp; Biostatistics, and Robarts Clinical Trials of Robarts Research Institute, Schulich School of Medicine &amp;amp; Dentistry, University of Western Ontario, London, Ontario, Canada.&lt;/auth-address&gt;&lt;titles&gt;&lt;title&gt;Extension of the modified Poisson regression model to prospective studies with correlated binary data&lt;/title&gt;&lt;secondary-title&gt;Stat Methods Med Res&lt;/secondary-title&gt;&lt;alt-title&gt;Statistical methods in medical research&lt;/alt-title&gt;&lt;/titles&gt;&lt;periodical&gt;&lt;full-title&gt;Statistical Methods in Medical Research&lt;/full-title&gt;&lt;abbr-1&gt;Stat Methods Med Res&lt;/abbr-1&gt;&lt;/periodical&gt;&lt;alt-periodical&gt;&lt;full-title&gt;Statistical Methods in Medical Research&lt;/full-title&gt;&lt;abbr-1&gt;Stat Methods Med Res&lt;/abbr-1&gt;&lt;/alt-periodical&gt;&lt;pages&gt;661-70&lt;/pages&gt;&lt;volume&gt;22&lt;/volume&gt;&lt;number&gt;6&lt;/number&gt;&lt;edition&gt;2011/11/11&lt;/edition&gt;&lt;keywords&gt;&lt;keyword&gt;*Poisson Distribution&lt;/keyword&gt;&lt;keyword&gt;Prospective Studies&lt;/keyword&gt;&lt;keyword&gt;*Regression Analysis&lt;/keyword&gt;&lt;keyword&gt;cluster randomized trials&lt;/keyword&gt;&lt;keyword&gt;generalized estimating equations&lt;/keyword&gt;&lt;keyword&gt;logistic regression&lt;/keyword&gt;&lt;keyword&gt;odds ratio&lt;/keyword&gt;&lt;keyword&gt;relative risk&lt;/keyword&gt;&lt;keyword&gt;sandwich estimator&lt;/keyword&gt;&lt;/keywords&gt;&lt;dates&gt;&lt;year&gt;2013&lt;/year&gt;&lt;pub-dates&gt;&lt;date&gt;Dec&lt;/date&gt;&lt;/pub-dates&gt;&lt;/dates&gt;&lt;isbn&gt;0962-2802&lt;/isbn&gt;&lt;accession-num&gt;22072596&lt;/accession-num&gt;&lt;urls&gt;&lt;/urls&gt;&lt;electronic-resource-num&gt;10.1177/0962280211427759&lt;/electronic-resource-num&gt;&lt;remote-database-provider&gt;NLM&lt;/remote-database-provider&gt;&lt;language&gt;eng&lt;/language&gt;&lt;/record&gt;&lt;/Cite&gt;&lt;/EndNote&gt;</w:instrText>
      </w:r>
      <w:r w:rsidRPr="00442A52">
        <w:rPr>
          <w:rFonts w:ascii="Arial" w:hAnsi="Arial" w:cs="Arial"/>
          <w:sz w:val="22"/>
          <w:szCs w:val="22"/>
        </w:rPr>
        <w:fldChar w:fldCharType="separate"/>
      </w:r>
      <w:r w:rsidR="008F3B85">
        <w:rPr>
          <w:rFonts w:ascii="Arial" w:hAnsi="Arial" w:cs="Arial"/>
          <w:noProof/>
          <w:sz w:val="22"/>
          <w:szCs w:val="22"/>
        </w:rPr>
        <w:t>[14]</w:t>
      </w:r>
      <w:r w:rsidRPr="00442A52">
        <w:rPr>
          <w:rFonts w:ascii="Arial" w:hAnsi="Arial" w:cs="Arial"/>
          <w:sz w:val="22"/>
          <w:szCs w:val="22"/>
        </w:rPr>
        <w:fldChar w:fldCharType="end"/>
      </w:r>
      <w:r w:rsidRPr="00442A52">
        <w:rPr>
          <w:rFonts w:ascii="Arial" w:eastAsia="Arial" w:hAnsi="Arial" w:cs="Arial"/>
          <w:sz w:val="22"/>
          <w:szCs w:val="22"/>
          <w:highlight w:val="white"/>
        </w:rPr>
        <w:t xml:space="preserve"> will be used or, instead, odds ratios will be estimated using a logistic approach</w:t>
      </w:r>
      <w:r w:rsidRPr="00442A52">
        <w:rPr>
          <w:rFonts w:ascii="Arial" w:eastAsia="Arial" w:hAnsi="Arial" w:cs="Arial"/>
          <w:sz w:val="22"/>
          <w:szCs w:val="22"/>
        </w:rPr>
        <w:t xml:space="preserve">. All analyses will be reported in accordance with recommendations laid out in the CONSORT statement on the reporting of cRCTs </w:t>
      </w:r>
      <w:r w:rsidRPr="00442A52">
        <w:rPr>
          <w:rFonts w:ascii="Arial" w:hAnsi="Arial" w:cs="Arial"/>
          <w:sz w:val="22"/>
          <w:szCs w:val="22"/>
          <w:lang w:eastAsia="ja-JP"/>
        </w:rPr>
        <w:fldChar w:fldCharType="begin"/>
      </w:r>
      <w:r w:rsidR="008F3B85">
        <w:rPr>
          <w:rFonts w:ascii="Arial" w:hAnsi="Arial" w:cs="Arial"/>
          <w:sz w:val="22"/>
          <w:szCs w:val="22"/>
          <w:lang w:eastAsia="ja-JP"/>
        </w:rPr>
        <w:instrText xml:space="preserve"> ADDIN EN.CITE &lt;EndNote&gt;&lt;Cite&gt;&lt;Author&gt;Campbell&lt;/Author&gt;&lt;Year&gt;2012&lt;/Year&gt;&lt;RecNum&gt;18434&lt;/RecNum&gt;&lt;DisplayText&gt;[15]&lt;/DisplayText&gt;&lt;record&gt;&lt;rec-number&gt;18434&lt;/rec-number&gt;&lt;foreign-keys&gt;&lt;key app="EN" db-id="ax0v2pxro500rte5pd0pvztksdwapad2rtaa" timestamp="1398528063"&gt;18434&lt;/key&gt;&lt;/foreign-keys&gt;&lt;ref-type name="Journal Article"&gt;17&lt;/ref-type&gt;&lt;contributors&gt;&lt;authors&gt;&lt;author&gt;Campbell, Marion K&lt;/author&gt;&lt;author&gt;Piaggio, Gilda&lt;/author&gt;&lt;author&gt;Elbourne, Diana R&lt;/author&gt;&lt;author&gt;Altman, Douglas G&lt;/author&gt;&lt;/authors&gt;&lt;/contributors&gt;&lt;titles&gt;&lt;title&gt;Consort 2010 statement: extension to cluster randomised trials&lt;/title&gt;&lt;secondary-title&gt;BMJ: British Medical Journal&lt;/secondary-title&gt;&lt;/titles&gt;&lt;periodical&gt;&lt;full-title&gt;BMJ: British Medical Journal&lt;/full-title&gt;&lt;/periodical&gt;&lt;volume&gt;345&lt;/volume&gt;&lt;dates&gt;&lt;year&gt;2012&lt;/year&gt;&lt;/dates&gt;&lt;isbn&gt;1756-1833&lt;/isbn&gt;&lt;urls&gt;&lt;/urls&gt;&lt;/record&gt;&lt;/Cite&gt;&lt;/EndNote&gt;</w:instrText>
      </w:r>
      <w:r w:rsidRPr="00442A52">
        <w:rPr>
          <w:rFonts w:ascii="Arial" w:hAnsi="Arial" w:cs="Arial"/>
          <w:sz w:val="22"/>
          <w:szCs w:val="22"/>
          <w:lang w:eastAsia="ja-JP"/>
        </w:rPr>
        <w:fldChar w:fldCharType="separate"/>
      </w:r>
      <w:r w:rsidR="008F3B85">
        <w:rPr>
          <w:rFonts w:ascii="Arial" w:hAnsi="Arial" w:cs="Arial"/>
          <w:noProof/>
          <w:sz w:val="22"/>
          <w:szCs w:val="22"/>
          <w:lang w:eastAsia="ja-JP"/>
        </w:rPr>
        <w:t>[15]</w:t>
      </w:r>
      <w:r w:rsidRPr="00442A52">
        <w:rPr>
          <w:rFonts w:ascii="Arial" w:hAnsi="Arial" w:cs="Arial"/>
          <w:sz w:val="22"/>
          <w:szCs w:val="22"/>
          <w:lang w:eastAsia="ja-JP"/>
        </w:rPr>
        <w:fldChar w:fldCharType="end"/>
      </w:r>
      <w:r w:rsidRPr="00442A52">
        <w:rPr>
          <w:rFonts w:ascii="Arial" w:hAnsi="Arial" w:cs="Arial"/>
          <w:sz w:val="22"/>
          <w:szCs w:val="22"/>
          <w:lang w:eastAsia="ja-JP"/>
        </w:rPr>
        <w:t>.</w:t>
      </w:r>
      <w:r w:rsidRPr="00442A52">
        <w:rPr>
          <w:rFonts w:ascii="Arial" w:eastAsia="Arial" w:hAnsi="Arial" w:cs="Arial"/>
          <w:sz w:val="22"/>
          <w:szCs w:val="22"/>
        </w:rPr>
        <w:t xml:space="preserve">  </w:t>
      </w:r>
    </w:p>
    <w:p w14:paraId="48EF3B38" w14:textId="77777777" w:rsidR="00C27617" w:rsidRPr="00442A52" w:rsidRDefault="00C27617" w:rsidP="00C27617">
      <w:pPr>
        <w:widowControl w:val="0"/>
        <w:pBdr>
          <w:top w:val="nil"/>
          <w:left w:val="nil"/>
          <w:bottom w:val="nil"/>
          <w:right w:val="nil"/>
          <w:between w:val="nil"/>
        </w:pBdr>
        <w:rPr>
          <w:rFonts w:ascii="Arial" w:eastAsia="Arial" w:hAnsi="Arial" w:cs="Arial"/>
          <w:color w:val="000000"/>
          <w:sz w:val="22"/>
          <w:szCs w:val="22"/>
        </w:rPr>
      </w:pPr>
    </w:p>
    <w:p w14:paraId="16831815" w14:textId="0F120E5A" w:rsidR="005F1907" w:rsidRPr="00442A52" w:rsidRDefault="005F1907" w:rsidP="005F1907">
      <w:pPr>
        <w:widowControl w:val="0"/>
        <w:pBdr>
          <w:top w:val="nil"/>
          <w:left w:val="nil"/>
          <w:bottom w:val="nil"/>
          <w:right w:val="nil"/>
          <w:between w:val="nil"/>
        </w:pBdr>
        <w:rPr>
          <w:rFonts w:ascii="Arial" w:eastAsia="Arial" w:hAnsi="Arial" w:cs="Arial"/>
          <w:sz w:val="22"/>
          <w:szCs w:val="22"/>
          <w:shd w:val="clear" w:color="auto" w:fill="EFEFEF"/>
        </w:rPr>
      </w:pPr>
      <w:bookmarkStart w:id="6" w:name="_Hlk97530511"/>
      <w:r w:rsidRPr="00442A52">
        <w:rPr>
          <w:rFonts w:ascii="Arial" w:eastAsia="Arial" w:hAnsi="Arial" w:cs="Arial"/>
          <w:b/>
          <w:color w:val="000000"/>
          <w:sz w:val="22"/>
          <w:szCs w:val="22"/>
        </w:rPr>
        <w:t xml:space="preserve">Methods in analysis to handle protocol non-adherence and any statistical methods to handle missing data </w:t>
      </w:r>
    </w:p>
    <w:bookmarkEnd w:id="6"/>
    <w:p w14:paraId="3E3F953A" w14:textId="5E17D0C7" w:rsidR="005F1907" w:rsidRPr="00442A52" w:rsidRDefault="003C00DF" w:rsidP="005F1907">
      <w:pPr>
        <w:rPr>
          <w:rFonts w:ascii="Arial" w:eastAsia="Arial" w:hAnsi="Arial" w:cs="Arial"/>
          <w:sz w:val="22"/>
          <w:szCs w:val="22"/>
          <w:highlight w:val="yellow"/>
        </w:rPr>
      </w:pPr>
      <w:r>
        <w:rPr>
          <w:rFonts w:ascii="Arial" w:eastAsia="Arial" w:hAnsi="Arial" w:cs="Arial"/>
          <w:sz w:val="22"/>
          <w:szCs w:val="22"/>
        </w:rPr>
        <w:t>F</w:t>
      </w:r>
      <w:r w:rsidR="005F1907" w:rsidRPr="00442A52">
        <w:rPr>
          <w:rFonts w:ascii="Arial" w:eastAsia="Arial" w:hAnsi="Arial" w:cs="Arial"/>
          <w:sz w:val="22"/>
          <w:szCs w:val="22"/>
        </w:rPr>
        <w:t xml:space="preserve">idelity to the RESHAPE implementation will be assessed, summarized and results as to the effectiveness of the RESHAPE implementation strategy will be interpreted in light of the degree of adherence to the implementation strategy. Missing longitudinal data could arise for either PCPs or for the patients who are followed over time. For PCPs, our previous studies have demonstrated minimal drop-out (89% participation at 4-months post-training) </w:t>
      </w:r>
      <w:r w:rsidR="005F1907" w:rsidRPr="00442A52">
        <w:rPr>
          <w:rFonts w:ascii="Arial" w:eastAsia="Arial" w:hAnsi="Arial" w:cs="Arial"/>
          <w:sz w:val="22"/>
          <w:szCs w:val="22"/>
        </w:rPr>
        <w:fldChar w:fldCharType="begin"/>
      </w:r>
      <w:r w:rsidR="008F3B85">
        <w:rPr>
          <w:rFonts w:ascii="Arial" w:eastAsia="Arial" w:hAnsi="Arial" w:cs="Arial"/>
          <w:sz w:val="22"/>
          <w:szCs w:val="22"/>
        </w:rPr>
        <w:instrText xml:space="preserve"> ADDIN EN.CITE &lt;EndNote&gt;&lt;Cite&gt;&lt;Author&gt;Kohrt&lt;/Author&gt;&lt;Year&gt;2021&lt;/Year&gt;&lt;RecNum&gt;24976&lt;/RecNum&gt;&lt;DisplayText&gt;[16]&lt;/DisplayText&gt;&lt;record&gt;&lt;rec-number&gt;24976&lt;/rec-number&gt;&lt;foreign-keys&gt;&lt;key app="EN" db-id="ax0v2pxro500rte5pd0pvztksdwapad2rtaa" timestamp="1629021515"&gt;24976&lt;/key&gt;&lt;/foreign-keys&gt;&lt;ref-type name="Journal Article"&gt;17&lt;/ref-type&gt;&lt;contributors&gt;&lt;authors&gt;&lt;author&gt;Kohrt, Brandon A.&lt;/author&gt;&lt;author&gt;Jordans, Mark J. D.&lt;/author&gt;&lt;author&gt;Turner, Elizabeth L&lt;/author&gt;&lt;author&gt;Rai, Sauharda&lt;/author&gt;&lt;author&gt;Gurung, Dristy&lt;/author&gt;&lt;author&gt;Dhakal, Manoj&lt;/author&gt;&lt;author&gt;Bhardwaj, Anvita&lt;/author&gt;&lt;author&gt;Lamichhane, Jagannath&lt;/author&gt;&lt;author&gt;Singla, Daisy R.&lt;/author&gt;&lt;author&gt;Lund, Crick&lt;/author&gt;&lt;author&gt;Patel, Vikram&lt;/author&gt;&lt;author&gt;Luitel, Nagendra P&lt;/author&gt;&lt;author&gt;Sikkema, Kathleen J&lt;/author&gt;&lt;/authors&gt;&lt;/contributors&gt;&lt;titles&gt;&lt;title&gt;Collaboration with people with lived experience of mental illness to reduce stigma and improve primary care services in Nepal: a pilot cluster randomized clinical trial&lt;/title&gt;&lt;secondary-title&gt;JAMA Network Open&lt;/secondary-title&gt;&lt;/titles&gt;&lt;periodical&gt;&lt;full-title&gt;JAMA Network Open&lt;/full-title&gt;&lt;/periodical&gt;&lt;pages&gt;e2131475&lt;/pages&gt;&lt;volume&gt;4&lt;/volume&gt;&lt;number&gt;11&lt;/number&gt;&lt;dates&gt;&lt;year&gt;2021&lt;/year&gt;&lt;/dates&gt;&lt;urls&gt;&lt;/urls&gt;&lt;electronic-resource-num&gt;https://doi:10.1001/jamanetworkopen.2021.31475&lt;/electronic-resource-num&gt;&lt;/record&gt;&lt;/Cite&gt;&lt;/EndNote&gt;</w:instrText>
      </w:r>
      <w:r w:rsidR="005F1907" w:rsidRPr="00442A52">
        <w:rPr>
          <w:rFonts w:ascii="Arial" w:eastAsia="Arial" w:hAnsi="Arial" w:cs="Arial"/>
          <w:sz w:val="22"/>
          <w:szCs w:val="22"/>
        </w:rPr>
        <w:fldChar w:fldCharType="separate"/>
      </w:r>
      <w:r w:rsidR="008F3B85">
        <w:rPr>
          <w:rFonts w:ascii="Arial" w:eastAsia="Arial" w:hAnsi="Arial" w:cs="Arial"/>
          <w:noProof/>
          <w:sz w:val="22"/>
          <w:szCs w:val="22"/>
        </w:rPr>
        <w:t>[16]</w:t>
      </w:r>
      <w:r w:rsidR="005F1907" w:rsidRPr="00442A52">
        <w:rPr>
          <w:rFonts w:ascii="Arial" w:eastAsia="Arial" w:hAnsi="Arial" w:cs="Arial"/>
          <w:sz w:val="22"/>
          <w:szCs w:val="22"/>
        </w:rPr>
        <w:fldChar w:fldCharType="end"/>
      </w:r>
      <w:r w:rsidR="005F1907" w:rsidRPr="00442A52">
        <w:rPr>
          <w:rFonts w:ascii="Arial" w:eastAsia="Arial" w:hAnsi="Arial" w:cs="Arial"/>
          <w:sz w:val="22"/>
          <w:szCs w:val="22"/>
        </w:rPr>
        <w:t>. For patients, by design, only a sub-sample will be followed over time (specifically, to three months, only screen-positive and a sub-sample of screen-negatives and to six months, only those with a “true positive” diagnosis by a psychiatrist at three months). To address missing longitudinal outcomes, we will adopt two strategies, which we explain here using the six-month PCP SDS outcome as an example. First, we will identify pre-training variables predictive of missing outcome (i.e., a covariate-dependent missing-at-random pattern) by summarizing baseline covariates stratified by individuals missing SDS and those not missing SDS. Then, in a sensitivity analysis</w:t>
      </w:r>
      <w:r w:rsidR="00ED11B5">
        <w:rPr>
          <w:rFonts w:ascii="Arial" w:eastAsia="Arial" w:hAnsi="Arial" w:cs="Arial"/>
          <w:sz w:val="22"/>
          <w:szCs w:val="22"/>
        </w:rPr>
        <w:t>,</w:t>
      </w:r>
      <w:r w:rsidR="005F1907" w:rsidRPr="00442A52">
        <w:rPr>
          <w:rFonts w:ascii="Arial" w:eastAsia="Arial" w:hAnsi="Arial" w:cs="Arial"/>
          <w:sz w:val="22"/>
          <w:szCs w:val="22"/>
        </w:rPr>
        <w:t xml:space="preserve"> we will include those as predictors in the main analysis model. Second, we will perform additional sensitivity analyses using a pattern-mixture approach that tests sensitivity to the missing-at-random assumption by positing a range of missing-not-at random patterns </w:t>
      </w:r>
      <w:r w:rsidR="005F1907" w:rsidRPr="00442A52">
        <w:rPr>
          <w:rFonts w:ascii="Arial" w:hAnsi="Arial" w:cs="Arial"/>
          <w:sz w:val="22"/>
          <w:szCs w:val="22"/>
        </w:rPr>
        <w:fldChar w:fldCharType="begin">
          <w:fldData xml:space="preserve">PEVuZE5vdGU+PENpdGU+PEF1dGhvcj5GaWVybzwvQXV0aG9yPjxZZWFyPjIwMTc8L1llYXI+PFJl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</w:fldData>
        </w:fldChar>
      </w:r>
      <w:r w:rsidR="008F3B85">
        <w:rPr>
          <w:rFonts w:ascii="Arial" w:hAnsi="Arial" w:cs="Arial"/>
          <w:sz w:val="22"/>
          <w:szCs w:val="22"/>
        </w:rPr>
        <w:instrText xml:space="preserve"> ADDIN EN.CITE </w:instrText>
      </w:r>
      <w:r w:rsidR="008F3B85">
        <w:rPr>
          <w:rFonts w:ascii="Arial" w:hAnsi="Arial" w:cs="Arial"/>
          <w:sz w:val="22"/>
          <w:szCs w:val="22"/>
        </w:rPr>
        <w:fldChar w:fldCharType="begin">
          <w:fldData xml:space="preserve">PEVuZE5vdGU+PENpdGU+PEF1dGhvcj5GaWVybzwvQXV0aG9yPjxZZWFyPjIwMTc8L1llYXI+PFJl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</w:fldData>
        </w:fldChar>
      </w:r>
      <w:r w:rsidR="008F3B85">
        <w:rPr>
          <w:rFonts w:ascii="Arial" w:hAnsi="Arial" w:cs="Arial"/>
          <w:sz w:val="22"/>
          <w:szCs w:val="22"/>
        </w:rPr>
        <w:instrText xml:space="preserve"> ADDIN EN.CITE.DATA </w:instrText>
      </w:r>
      <w:r w:rsidR="008F3B85">
        <w:rPr>
          <w:rFonts w:ascii="Arial" w:hAnsi="Arial" w:cs="Arial"/>
          <w:sz w:val="22"/>
          <w:szCs w:val="22"/>
        </w:rPr>
      </w:r>
      <w:r w:rsidR="008F3B85">
        <w:rPr>
          <w:rFonts w:ascii="Arial" w:hAnsi="Arial" w:cs="Arial"/>
          <w:sz w:val="22"/>
          <w:szCs w:val="22"/>
        </w:rPr>
        <w:fldChar w:fldCharType="end"/>
      </w:r>
      <w:r w:rsidR="005F1907" w:rsidRPr="00442A52">
        <w:rPr>
          <w:rFonts w:ascii="Arial" w:hAnsi="Arial" w:cs="Arial"/>
          <w:sz w:val="22"/>
          <w:szCs w:val="22"/>
        </w:rPr>
      </w:r>
      <w:r w:rsidR="005F1907" w:rsidRPr="00442A52">
        <w:rPr>
          <w:rFonts w:ascii="Arial" w:hAnsi="Arial" w:cs="Arial"/>
          <w:sz w:val="22"/>
          <w:szCs w:val="22"/>
        </w:rPr>
        <w:fldChar w:fldCharType="separate"/>
      </w:r>
      <w:r w:rsidR="008F3B85">
        <w:rPr>
          <w:rFonts w:ascii="Arial" w:hAnsi="Arial" w:cs="Arial"/>
          <w:noProof/>
          <w:sz w:val="22"/>
          <w:szCs w:val="22"/>
        </w:rPr>
        <w:t>[17]</w:t>
      </w:r>
      <w:r w:rsidR="005F1907" w:rsidRPr="00442A52">
        <w:rPr>
          <w:rFonts w:ascii="Arial" w:hAnsi="Arial" w:cs="Arial"/>
          <w:sz w:val="22"/>
          <w:szCs w:val="22"/>
        </w:rPr>
        <w:fldChar w:fldCharType="end"/>
      </w:r>
      <w:r w:rsidR="005F1907" w:rsidRPr="00442A52">
        <w:rPr>
          <w:rFonts w:ascii="Arial" w:eastAsia="Arial" w:hAnsi="Arial" w:cs="Arial"/>
          <w:sz w:val="22"/>
          <w:szCs w:val="22"/>
        </w:rPr>
        <w:t xml:space="preserve">. As such, through these comprehensive analyses, we will seek to demonstrate whether there is evidence to suggest that the estimated effect of the RESHAPE implementation strategy is robust to our assumptions. </w:t>
      </w:r>
    </w:p>
    <w:p w14:paraId="5BA41075" w14:textId="01A3E872" w:rsidR="00AA3FF9" w:rsidRDefault="00AA3FF9"/>
    <w:p w14:paraId="418D9053" w14:textId="77777777" w:rsidR="005F1907" w:rsidRPr="00442A52" w:rsidRDefault="005F1907" w:rsidP="005F1907">
      <w:pPr>
        <w:widowControl w:val="0"/>
        <w:pBdr>
          <w:top w:val="nil"/>
          <w:left w:val="nil"/>
          <w:bottom w:val="nil"/>
          <w:right w:val="nil"/>
          <w:between w:val="nil"/>
        </w:pBdr>
        <w:rPr>
          <w:rFonts w:ascii="Arial" w:eastAsia="Arial" w:hAnsi="Arial" w:cs="Arial"/>
          <w:b/>
          <w:color w:val="000000"/>
          <w:sz w:val="22"/>
          <w:szCs w:val="22"/>
        </w:rPr>
      </w:pPr>
      <w:r w:rsidRPr="00442A52">
        <w:rPr>
          <w:rFonts w:ascii="Arial" w:eastAsia="Arial" w:hAnsi="Arial" w:cs="Arial"/>
          <w:b/>
          <w:color w:val="000000"/>
          <w:sz w:val="22"/>
          <w:szCs w:val="22"/>
        </w:rPr>
        <w:t xml:space="preserve">Interim analyses </w:t>
      </w:r>
    </w:p>
    <w:p w14:paraId="6EE69BAD" w14:textId="77777777" w:rsidR="005F1907" w:rsidRPr="00442A52" w:rsidRDefault="005F1907" w:rsidP="005F1907">
      <w:pPr>
        <w:widowControl w:val="0"/>
        <w:pBdr>
          <w:top w:val="nil"/>
          <w:left w:val="nil"/>
          <w:bottom w:val="nil"/>
          <w:right w:val="nil"/>
          <w:between w:val="nil"/>
        </w:pBdr>
        <w:rPr>
          <w:rFonts w:ascii="Arial" w:eastAsia="Arial" w:hAnsi="Arial" w:cs="Arial"/>
          <w:color w:val="000000"/>
          <w:sz w:val="22"/>
          <w:szCs w:val="22"/>
        </w:rPr>
      </w:pPr>
      <w:r w:rsidRPr="00442A52">
        <w:rPr>
          <w:rFonts w:ascii="Arial" w:eastAsia="Arial" w:hAnsi="Arial" w:cs="Arial"/>
          <w:color w:val="000000"/>
          <w:sz w:val="22"/>
          <w:szCs w:val="22"/>
        </w:rPr>
        <w:t xml:space="preserve">No formal interim analyses are currently planned given that the treatments received by patients are the same in both implementation arms. </w:t>
      </w:r>
    </w:p>
    <w:p w14:paraId="1FEF2400" w14:textId="77777777" w:rsidR="005F1907" w:rsidRPr="00442A52" w:rsidRDefault="005F1907" w:rsidP="005F1907">
      <w:pPr>
        <w:widowControl w:val="0"/>
        <w:pBdr>
          <w:top w:val="nil"/>
          <w:left w:val="nil"/>
          <w:bottom w:val="nil"/>
          <w:right w:val="nil"/>
          <w:between w:val="nil"/>
        </w:pBdr>
        <w:rPr>
          <w:rFonts w:ascii="Arial" w:eastAsia="Arial" w:hAnsi="Arial" w:cs="Arial"/>
          <w:color w:val="000000"/>
          <w:sz w:val="22"/>
          <w:szCs w:val="22"/>
        </w:rPr>
      </w:pPr>
    </w:p>
    <w:p w14:paraId="3444DA0F" w14:textId="77777777" w:rsidR="005F1907" w:rsidRPr="00442A52" w:rsidRDefault="005F1907" w:rsidP="005F1907">
      <w:pPr>
        <w:widowControl w:val="0"/>
        <w:pBdr>
          <w:top w:val="nil"/>
          <w:left w:val="nil"/>
          <w:bottom w:val="nil"/>
          <w:right w:val="nil"/>
          <w:between w:val="nil"/>
        </w:pBdr>
        <w:rPr>
          <w:rFonts w:ascii="Arial" w:eastAsia="Arial" w:hAnsi="Arial" w:cs="Arial"/>
          <w:color w:val="006600"/>
          <w:sz w:val="22"/>
          <w:szCs w:val="22"/>
        </w:rPr>
      </w:pPr>
      <w:r w:rsidRPr="00442A52">
        <w:rPr>
          <w:rFonts w:ascii="Arial" w:eastAsia="Arial" w:hAnsi="Arial" w:cs="Arial"/>
          <w:b/>
          <w:color w:val="000000"/>
          <w:sz w:val="22"/>
          <w:szCs w:val="22"/>
        </w:rPr>
        <w:t xml:space="preserve">Methods for additional analyses </w:t>
      </w:r>
    </w:p>
    <w:p w14:paraId="506E44EB" w14:textId="6E5EF48A" w:rsidR="005F1907" w:rsidRPr="00442A52" w:rsidRDefault="00566403" w:rsidP="005F1907">
      <w:pPr>
        <w:rPr>
          <w:rFonts w:ascii="Arial" w:eastAsia="Arial" w:hAnsi="Arial" w:cs="Arial"/>
          <w:color w:val="000000"/>
          <w:sz w:val="22"/>
          <w:szCs w:val="22"/>
        </w:rPr>
      </w:pPr>
      <w:r>
        <w:rPr>
          <w:rFonts w:ascii="Arial" w:eastAsia="Arial" w:hAnsi="Arial" w:cs="Arial"/>
          <w:sz w:val="22"/>
          <w:szCs w:val="22"/>
          <w:highlight w:val="white"/>
        </w:rPr>
        <w:t>Heterogeneity</w:t>
      </w:r>
      <w:r w:rsidR="005F1907" w:rsidRPr="00442A52">
        <w:rPr>
          <w:rFonts w:ascii="Arial" w:eastAsia="Arial" w:hAnsi="Arial" w:cs="Arial"/>
          <w:sz w:val="22"/>
          <w:szCs w:val="22"/>
          <w:highlight w:val="white"/>
        </w:rPr>
        <w:t xml:space="preserve"> analyses are pre-specified by gender for both primary outcomes (PCP stigma and patient accurate diagnosis). This is because there may be gender differences in stigma and in clinical practices. In particular, an interaction between gender and implementation arm will be included in models. For secondary outcomes for both primary care workers and for patients, analytic methods are comparable to those described for the two primary outcomes. Moreover, for PCP outcomes with repeated measurements, secondary time points of interest (including the SDS primary outcome measure) will be immediately post-training and 3-months post-training, in addition to the six-month primary time point of interest. </w:t>
      </w:r>
    </w:p>
    <w:p w14:paraId="3156D28C" w14:textId="77777777" w:rsidR="005F1907" w:rsidRPr="00442A52" w:rsidRDefault="005F1907" w:rsidP="005F1907">
      <w:pPr>
        <w:widowControl w:val="0"/>
        <w:pBdr>
          <w:top w:val="nil"/>
          <w:left w:val="nil"/>
          <w:bottom w:val="nil"/>
          <w:right w:val="nil"/>
          <w:between w:val="nil"/>
        </w:pBdr>
        <w:rPr>
          <w:rFonts w:ascii="Arial" w:eastAsia="Arial" w:hAnsi="Arial" w:cs="Arial"/>
          <w:color w:val="000000"/>
          <w:sz w:val="22"/>
          <w:szCs w:val="22"/>
        </w:rPr>
      </w:pPr>
    </w:p>
    <w:p w14:paraId="6AD82344" w14:textId="1DF4F8C5" w:rsidR="005F1907" w:rsidRPr="00442A52" w:rsidRDefault="005F1907" w:rsidP="005F1907">
      <w:pPr>
        <w:widowControl w:val="0"/>
        <w:pBdr>
          <w:top w:val="nil"/>
          <w:left w:val="nil"/>
          <w:bottom w:val="nil"/>
          <w:right w:val="nil"/>
          <w:between w:val="nil"/>
        </w:pBdr>
        <w:rPr>
          <w:rFonts w:ascii="Arial" w:hAnsi="Arial" w:cs="Arial"/>
          <w:sz w:val="22"/>
          <w:szCs w:val="22"/>
        </w:rPr>
      </w:pPr>
      <w:r w:rsidRPr="00442A52">
        <w:rPr>
          <w:rFonts w:ascii="Arial" w:eastAsia="Arial" w:hAnsi="Arial" w:cs="Arial"/>
          <w:color w:val="000000"/>
          <w:sz w:val="22"/>
          <w:szCs w:val="22"/>
        </w:rPr>
        <w:t xml:space="preserve">Cost-effectiveness will be assessed from the primary care/health sector perspective. The analysis will examine the arm differences in </w:t>
      </w:r>
      <w:r w:rsidR="005844F9" w:rsidRPr="00442A52">
        <w:rPr>
          <w:rFonts w:ascii="Arial" w:eastAsia="Arial" w:hAnsi="Arial" w:cs="Arial"/>
          <w:color w:val="000000"/>
          <w:sz w:val="22"/>
          <w:szCs w:val="22"/>
        </w:rPr>
        <w:t>Quality-of-Life</w:t>
      </w:r>
      <w:r w:rsidRPr="00442A52">
        <w:rPr>
          <w:rFonts w:ascii="Arial" w:eastAsia="Arial" w:hAnsi="Arial" w:cs="Arial"/>
          <w:color w:val="000000"/>
          <w:sz w:val="22"/>
          <w:szCs w:val="22"/>
        </w:rPr>
        <w:t xml:space="preserve"> Years (QALYs) measured with the EQ-5D-5L compared to arm differences in health system and patient costs</w:t>
      </w:r>
      <w:r>
        <w:rPr>
          <w:rFonts w:ascii="Arial" w:eastAsia="Arial" w:hAnsi="Arial" w:cs="Arial"/>
          <w:color w:val="000000"/>
          <w:sz w:val="22"/>
          <w:szCs w:val="22"/>
        </w:rPr>
        <w:t xml:space="preserve"> (see </w:t>
      </w:r>
      <w:r w:rsidRPr="00A9779B">
        <w:rPr>
          <w:rFonts w:ascii="Arial" w:eastAsia="Arial" w:hAnsi="Arial" w:cs="Arial"/>
          <w:b/>
          <w:bCs/>
          <w:sz w:val="22"/>
          <w:szCs w:val="22"/>
        </w:rPr>
        <w:t>Supplemental Figure 4</w:t>
      </w:r>
      <w:r>
        <w:rPr>
          <w:rFonts w:ascii="Arial" w:eastAsia="Arial" w:hAnsi="Arial" w:cs="Arial"/>
          <w:color w:val="000000"/>
          <w:sz w:val="22"/>
          <w:szCs w:val="22"/>
        </w:rPr>
        <w:t>)</w:t>
      </w:r>
      <w:r w:rsidRPr="00442A52">
        <w:rPr>
          <w:rFonts w:ascii="Arial" w:eastAsia="Arial" w:hAnsi="Arial" w:cs="Arial"/>
          <w:color w:val="000000"/>
          <w:sz w:val="22"/>
          <w:szCs w:val="22"/>
        </w:rPr>
        <w:t xml:space="preserve">. </w:t>
      </w:r>
      <w:r w:rsidRPr="00442A52">
        <w:rPr>
          <w:rFonts w:ascii="Arial" w:hAnsi="Arial" w:cs="Arial"/>
          <w:sz w:val="22"/>
          <w:szCs w:val="22"/>
        </w:rPr>
        <w:t xml:space="preserve">In keeping with the Type 3 Hybrid Implementation-Effectiveness approach, we will conduct two cost-effectiveness analyses. The first analysis will be a standard </w:t>
      </w:r>
      <w:r w:rsidRPr="00442A52">
        <w:rPr>
          <w:rFonts w:ascii="Arial" w:hAnsi="Arial" w:cs="Arial"/>
          <w:bCs/>
          <w:sz w:val="22"/>
          <w:szCs w:val="22"/>
        </w:rPr>
        <w:t>cost-effectiveness of treatment</w:t>
      </w:r>
      <w:r w:rsidRPr="00442A52">
        <w:rPr>
          <w:rFonts w:ascii="Arial" w:hAnsi="Arial" w:cs="Arial"/>
          <w:sz w:val="22"/>
          <w:szCs w:val="22"/>
        </w:rPr>
        <w:t xml:space="preserve">. This will be limited to exploring the cost differences in the two implementation arms focusing only on the patients evaluated at </w:t>
      </w:r>
      <w:r w:rsidRPr="00CE69D2">
        <w:rPr>
          <w:rFonts w:ascii="Arial" w:hAnsi="Arial" w:cs="Arial"/>
          <w:sz w:val="22"/>
          <w:szCs w:val="22"/>
        </w:rPr>
        <w:t>6-months</w:t>
      </w:r>
      <w:r w:rsidRPr="00442A52">
        <w:rPr>
          <w:rFonts w:ascii="Arial" w:hAnsi="Arial" w:cs="Arial"/>
          <w:sz w:val="22"/>
          <w:szCs w:val="22"/>
        </w:rPr>
        <w:t xml:space="preserve"> (i.e., the “true positives”). </w:t>
      </w:r>
      <w:r w:rsidRPr="00442A52">
        <w:rPr>
          <w:rFonts w:ascii="Arial" w:hAnsi="Arial" w:cs="Arial"/>
          <w:sz w:val="22"/>
          <w:szCs w:val="22"/>
        </w:rPr>
        <w:lastRenderedPageBreak/>
        <w:t xml:space="preserve">This analysis is limited to the question of “among those patients who are correctly diagnosed, what is the cost difference per quality adjusted life year gained.” Given the non-inferiority nature of this trial at the “true positive” patient level, we do not anticipate to demonstrate cost-effectiveness of RESHAPE over </w:t>
      </w:r>
      <w:r>
        <w:rPr>
          <w:rFonts w:ascii="Arial" w:hAnsi="Arial" w:cs="Arial"/>
          <w:sz w:val="22"/>
          <w:szCs w:val="22"/>
        </w:rPr>
        <w:t xml:space="preserve">IAU </w:t>
      </w:r>
      <w:r w:rsidRPr="00442A52">
        <w:rPr>
          <w:rFonts w:ascii="Arial" w:hAnsi="Arial" w:cs="Arial"/>
          <w:sz w:val="22"/>
          <w:szCs w:val="22"/>
        </w:rPr>
        <w:t xml:space="preserve">when limiting to only those correctly diagnosed and treated. This is because, accurate treatment was above 90% in standard Nepal implementation of mhGAP in prior studies. Therefore, we will additionally conduct a </w:t>
      </w:r>
      <w:r w:rsidRPr="00442A52">
        <w:rPr>
          <w:rFonts w:ascii="Arial" w:hAnsi="Arial" w:cs="Arial"/>
          <w:bCs/>
          <w:sz w:val="22"/>
          <w:szCs w:val="22"/>
        </w:rPr>
        <w:t>cost-effectiveness of implementation strategy</w:t>
      </w:r>
      <w:r w:rsidRPr="00442A52">
        <w:rPr>
          <w:rFonts w:ascii="Arial" w:hAnsi="Arial" w:cs="Arial"/>
          <w:b/>
          <w:sz w:val="22"/>
          <w:szCs w:val="22"/>
        </w:rPr>
        <w:t xml:space="preserve"> </w:t>
      </w:r>
      <w:r w:rsidRPr="00442A52">
        <w:rPr>
          <w:rFonts w:ascii="Arial" w:hAnsi="Arial" w:cs="Arial"/>
          <w:sz w:val="22"/>
          <w:szCs w:val="22"/>
        </w:rPr>
        <w:t>analysis. This second analysis takes into account the total distribution of true positive, true negative, false positive,</w:t>
      </w:r>
      <w:r w:rsidR="00ED11B5">
        <w:rPr>
          <w:rFonts w:ascii="Arial" w:hAnsi="Arial" w:cs="Arial"/>
          <w:sz w:val="22"/>
          <w:szCs w:val="22"/>
        </w:rPr>
        <w:t xml:space="preserve"> and</w:t>
      </w:r>
      <w:r w:rsidRPr="00442A52">
        <w:rPr>
          <w:rFonts w:ascii="Arial" w:hAnsi="Arial" w:cs="Arial"/>
          <w:sz w:val="22"/>
          <w:szCs w:val="22"/>
        </w:rPr>
        <w:t xml:space="preserve"> false negative patients based on the diagnostic accuracy study. For this analysis, we hypothesize cost-effectiveness because the total number of correctly categorized and treated patients will be greater in the RESHAPE implementation strategy. Thus, although at the level of individual patients diagnosed correctly, RESHAPE will not be more cost-effective, at the total primary care patient population level, the RESHAPE will be cost effective because the </w:t>
      </w:r>
      <w:r w:rsidRPr="00442A52">
        <w:rPr>
          <w:rFonts w:ascii="Arial" w:hAnsi="Arial" w:cs="Arial"/>
          <w:i/>
          <w:sz w:val="22"/>
          <w:szCs w:val="22"/>
        </w:rPr>
        <w:t xml:space="preserve">reach </w:t>
      </w:r>
      <w:r w:rsidRPr="00442A52">
        <w:rPr>
          <w:rFonts w:ascii="Arial" w:hAnsi="Arial" w:cs="Arial"/>
          <w:sz w:val="22"/>
          <w:szCs w:val="22"/>
        </w:rPr>
        <w:t>of accurate treatment is greater and the wastage of resources on unnecessary treatments, which would be measured in cost of care both at the primary care level but also any other services such as sought specialty care or hospitalization, is lower. The cost-effectiveness of treatment will take an economic evaluation alongside trial approach, and the cost-effectiveness of implementation strategy will take a decision modelling approach. Results on utilities and costs from the patient outcomes in the treatment analysis will be used to parameterize the decision model, i.e., the cost-effectiveness of treatment analysis is necessary to conduct the decision modeling for the implementation strategy analysis.</w:t>
      </w:r>
    </w:p>
    <w:p w14:paraId="00CDE2D1" w14:textId="77777777" w:rsidR="005F1907" w:rsidRPr="00442A52" w:rsidRDefault="005F1907" w:rsidP="005F1907">
      <w:pPr>
        <w:rPr>
          <w:rFonts w:ascii="Arial" w:hAnsi="Arial" w:cs="Arial"/>
          <w:sz w:val="22"/>
          <w:szCs w:val="22"/>
        </w:rPr>
      </w:pPr>
    </w:p>
    <w:p w14:paraId="0621FF7C" w14:textId="77777777" w:rsidR="00756AB9" w:rsidRPr="00BA6517" w:rsidRDefault="00756AB9" w:rsidP="00756AB9">
      <w:pPr>
        <w:rPr>
          <w:rFonts w:ascii="Arial" w:hAnsi="Arial" w:cs="Arial"/>
          <w:sz w:val="22"/>
          <w:szCs w:val="22"/>
        </w:rPr>
      </w:pPr>
      <w:r>
        <w:rPr>
          <w:rFonts w:ascii="Arial" w:hAnsi="Arial" w:cs="Arial"/>
          <w:noProof/>
          <w:sz w:val="22"/>
          <w:szCs w:val="22"/>
          <w:lang w:val="en-PH" w:eastAsia="en-PH"/>
        </w:rPr>
        <w:lastRenderedPageBreak/>
        <w:drawing>
          <wp:inline distT="0" distB="0" distL="0" distR="0" wp14:anchorId="43987712" wp14:editId="4B1CBC10">
            <wp:extent cx="4599305" cy="85047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b="3031"/>
                    <a:stretch/>
                  </pic:blipFill>
                  <pic:spPr bwMode="auto">
                    <a:xfrm>
                      <a:off x="0" y="0"/>
                      <a:ext cx="4599305" cy="8504767"/>
                    </a:xfrm>
                    <a:prstGeom prst="rect">
                      <a:avLst/>
                    </a:prstGeom>
                    <a:noFill/>
                    <a:ln>
                      <a:noFill/>
                    </a:ln>
                    <a:extLst>
                      <a:ext uri="{53640926-AAD7-44D8-BBD7-CCE9431645EC}">
                        <a14:shadowObscured xmlns:a14="http://schemas.microsoft.com/office/drawing/2010/main"/>
                      </a:ext>
                    </a:extLst>
                  </pic:spPr>
                </pic:pic>
              </a:graphicData>
            </a:graphic>
          </wp:inline>
        </w:drawing>
      </w:r>
    </w:p>
    <w:p w14:paraId="6152E141" w14:textId="77777777" w:rsidR="00756AB9" w:rsidRDefault="00756AB9" w:rsidP="00756AB9">
      <w:pPr>
        <w:widowControl w:val="0"/>
        <w:pBdr>
          <w:top w:val="nil"/>
          <w:left w:val="nil"/>
          <w:bottom w:val="nil"/>
          <w:right w:val="nil"/>
          <w:between w:val="nil"/>
        </w:pBdr>
        <w:rPr>
          <w:rFonts w:ascii="Arial" w:eastAsia="Arial" w:hAnsi="Arial" w:cs="Arial"/>
          <w:sz w:val="22"/>
          <w:szCs w:val="22"/>
        </w:rPr>
      </w:pPr>
      <w:bookmarkStart w:id="7" w:name="SupplementalFigure4"/>
      <w:r w:rsidRPr="00956F6C">
        <w:rPr>
          <w:rFonts w:ascii="Arial" w:eastAsia="Arial" w:hAnsi="Arial" w:cs="Arial"/>
          <w:b/>
          <w:bCs/>
          <w:sz w:val="22"/>
          <w:szCs w:val="22"/>
        </w:rPr>
        <w:t>Figure S4</w:t>
      </w:r>
      <w:r>
        <w:rPr>
          <w:rFonts w:ascii="Arial" w:eastAsia="Arial" w:hAnsi="Arial" w:cs="Arial"/>
          <w:sz w:val="22"/>
          <w:szCs w:val="22"/>
        </w:rPr>
        <w:t xml:space="preserve">. Decision tree model for cost-effectiveness analysis. </w:t>
      </w:r>
      <w:bookmarkEnd w:id="7"/>
    </w:p>
    <w:p w14:paraId="29763F8C" w14:textId="77777777" w:rsidR="00756AB9" w:rsidRDefault="00756AB9" w:rsidP="005F1907">
      <w:pPr>
        <w:widowControl w:val="0"/>
        <w:pBdr>
          <w:top w:val="nil"/>
          <w:left w:val="nil"/>
          <w:bottom w:val="nil"/>
          <w:right w:val="nil"/>
          <w:between w:val="nil"/>
        </w:pBdr>
        <w:rPr>
          <w:rFonts w:ascii="Arial" w:eastAsia="Arial" w:hAnsi="Arial" w:cs="Arial"/>
          <w:b/>
          <w:color w:val="000000"/>
          <w:sz w:val="22"/>
          <w:szCs w:val="22"/>
        </w:rPr>
      </w:pPr>
    </w:p>
    <w:p w14:paraId="2A4C5EB9" w14:textId="77777777" w:rsidR="006D2868" w:rsidRDefault="006D2868" w:rsidP="005F1907">
      <w:pPr>
        <w:widowControl w:val="0"/>
        <w:pBdr>
          <w:top w:val="nil"/>
          <w:left w:val="nil"/>
          <w:bottom w:val="nil"/>
          <w:right w:val="nil"/>
          <w:between w:val="nil"/>
        </w:pBdr>
        <w:rPr>
          <w:rFonts w:ascii="Arial" w:eastAsia="Arial" w:hAnsi="Arial" w:cs="Arial"/>
          <w:b/>
          <w:color w:val="000000"/>
          <w:sz w:val="22"/>
          <w:szCs w:val="22"/>
        </w:rPr>
      </w:pPr>
    </w:p>
    <w:p w14:paraId="3F1CA956" w14:textId="70669418" w:rsidR="005F1907" w:rsidRPr="00442A52" w:rsidRDefault="005F1907" w:rsidP="005F1907">
      <w:pPr>
        <w:widowControl w:val="0"/>
        <w:pBdr>
          <w:top w:val="nil"/>
          <w:left w:val="nil"/>
          <w:bottom w:val="nil"/>
          <w:right w:val="nil"/>
          <w:between w:val="nil"/>
        </w:pBdr>
        <w:rPr>
          <w:rFonts w:ascii="Arial" w:eastAsia="Arial" w:hAnsi="Arial" w:cs="Arial"/>
          <w:b/>
          <w:color w:val="000000"/>
          <w:sz w:val="22"/>
          <w:szCs w:val="22"/>
        </w:rPr>
      </w:pPr>
      <w:r w:rsidRPr="00442A52">
        <w:rPr>
          <w:rFonts w:ascii="Arial" w:eastAsia="Arial" w:hAnsi="Arial" w:cs="Arial"/>
          <w:b/>
          <w:color w:val="000000"/>
          <w:sz w:val="22"/>
          <w:szCs w:val="22"/>
        </w:rPr>
        <w:lastRenderedPageBreak/>
        <w:t xml:space="preserve">Access to the full protocol, participant level-data and statistical code </w:t>
      </w:r>
    </w:p>
    <w:p w14:paraId="49992AC6" w14:textId="77777777" w:rsidR="005F1907" w:rsidRPr="00442A52" w:rsidRDefault="005F1907" w:rsidP="005F1907">
      <w:pPr>
        <w:widowControl w:val="0"/>
        <w:pBdr>
          <w:top w:val="nil"/>
          <w:left w:val="nil"/>
          <w:bottom w:val="nil"/>
          <w:right w:val="nil"/>
          <w:between w:val="nil"/>
        </w:pBdr>
        <w:rPr>
          <w:rFonts w:ascii="Arial" w:eastAsia="Arial" w:hAnsi="Arial" w:cs="Arial"/>
          <w:color w:val="000000"/>
          <w:sz w:val="22"/>
          <w:szCs w:val="22"/>
        </w:rPr>
      </w:pPr>
      <w:r w:rsidRPr="00442A52">
        <w:rPr>
          <w:rFonts w:ascii="Arial" w:eastAsia="Arial" w:hAnsi="Arial" w:cs="Arial"/>
          <w:color w:val="000000"/>
          <w:sz w:val="22"/>
          <w:szCs w:val="22"/>
        </w:rPr>
        <w:t xml:space="preserve">The protocol is registered through ClinicalTrials.gov. Participant level-data will be available through NIMH Data Archive. The statistical code will be made available at the time of publication. </w:t>
      </w:r>
    </w:p>
    <w:p w14:paraId="0818FC23" w14:textId="577CF4B6" w:rsidR="005F1907" w:rsidRDefault="005F1907"/>
    <w:p w14:paraId="6EC03015" w14:textId="77777777" w:rsidR="00AE3BC8" w:rsidRPr="00F662AA" w:rsidRDefault="00AE3BC8" w:rsidP="00AE3BC8">
      <w:pPr>
        <w:widowControl w:val="0"/>
        <w:pBdr>
          <w:top w:val="nil"/>
          <w:left w:val="nil"/>
          <w:bottom w:val="nil"/>
          <w:right w:val="nil"/>
          <w:between w:val="nil"/>
        </w:pBdr>
        <w:rPr>
          <w:rFonts w:ascii="Arial" w:eastAsia="Arial" w:hAnsi="Arial" w:cs="Arial"/>
          <w:b/>
          <w:color w:val="000000"/>
          <w:sz w:val="22"/>
          <w:szCs w:val="22"/>
        </w:rPr>
      </w:pPr>
      <w:r w:rsidRPr="00F662AA">
        <w:rPr>
          <w:rFonts w:ascii="Arial" w:eastAsia="Arial" w:hAnsi="Arial" w:cs="Arial"/>
          <w:b/>
          <w:color w:val="000000"/>
          <w:sz w:val="22"/>
          <w:szCs w:val="22"/>
        </w:rPr>
        <w:t xml:space="preserve">Data management </w:t>
      </w:r>
    </w:p>
    <w:p w14:paraId="5E018126" w14:textId="1F24098B" w:rsidR="00AE3BC8" w:rsidRPr="00F662AA" w:rsidRDefault="00AE3BC8" w:rsidP="00AE3BC8">
      <w:pPr>
        <w:widowControl w:val="0"/>
        <w:pBdr>
          <w:top w:val="nil"/>
          <w:left w:val="nil"/>
          <w:bottom w:val="nil"/>
          <w:right w:val="nil"/>
          <w:between w:val="nil"/>
        </w:pBdr>
        <w:rPr>
          <w:rFonts w:ascii="Arial" w:eastAsia="Arial" w:hAnsi="Arial" w:cs="Arial"/>
          <w:sz w:val="22"/>
          <w:szCs w:val="22"/>
        </w:rPr>
      </w:pPr>
      <w:r w:rsidRPr="00F662AA">
        <w:rPr>
          <w:rFonts w:ascii="Arial" w:eastAsia="Arial" w:hAnsi="Arial" w:cs="Arial"/>
          <w:sz w:val="22"/>
          <w:szCs w:val="22"/>
        </w:rPr>
        <w:t xml:space="preserve">RESHAPE will be collecting primary data in a variety of different ways, including: electronic data collection applications, paper forms, and video- and audio- recording devices. We will also obtain secondary data from health facilities. For electronic data collection, the following three applications will be used: Research Electronic Data Capture (REDCap), the WHO Ensuring Quality in Psychological Support (EQUIP) platform, and a version of the Implicit Association Test (IAT). REDCap is a secure, web-based application designed to support data capture. RESHAPE uses the Duke School of Medicine instance of REDCap, which is managed and supported by the Duke Office of Clinical Research. To accommodate offline data collection, we use the REDCap Mobile application. It integrates with REDCap and is also supported and maintained by Duke University. REDCap stores data in a database and mediates access, which preserves original data values and prevents overwriting, deletions, or other deprecations of raw data integrity. REDCap’s robust data quality protection features include: audit trails, tiered access permissions, data validation (format and range restrictions, skip logic, etc.), and restriction of any modifications to instruments and data after collection begins. Structured role plays to collect competency data on PCPs will be collected in the EQUIP platform which includes the ENACT tool in Nepali and an mhGAP competency assessment tool, also in Nepali </w:t>
      </w:r>
      <w:r w:rsidRPr="00F662AA">
        <w:rPr>
          <w:rFonts w:ascii="Arial" w:eastAsia="Arial" w:hAnsi="Arial" w:cs="Arial"/>
          <w:sz w:val="22"/>
          <w:szCs w:val="22"/>
        </w:rPr>
        <w:fldChar w:fldCharType="begin"/>
      </w:r>
      <w:r w:rsidR="008F3B85" w:rsidRPr="00F662AA">
        <w:rPr>
          <w:rFonts w:ascii="Arial" w:eastAsia="Arial" w:hAnsi="Arial" w:cs="Arial"/>
          <w:sz w:val="22"/>
          <w:szCs w:val="22"/>
        </w:rPr>
        <w:instrText xml:space="preserve"> ADDIN EN.CITE &lt;EndNote&gt;&lt;Cite&gt;&lt;Author&gt;Kohrt&lt;/Author&gt;&lt;Year&gt;2020&lt;/Year&gt;&lt;RecNum&gt;24074&lt;/RecNum&gt;&lt;DisplayText&gt;[18]&lt;/DisplayText&gt;&lt;record&gt;&lt;rec-number&gt;24074&lt;/rec-number&gt;&lt;foreign-keys&gt;&lt;key app="EN" db-id="ax0v2pxro500rte5pd0pvztksdwapad2rtaa" timestamp="1579021435"&gt;24074&lt;/key&gt;&lt;/foreign-keys&gt;&lt;ref-type name="Journal Article"&gt;17&lt;/ref-type&gt;&lt;contributors&gt;&lt;authors&gt;&lt;author&gt;Kohrt, Brandon A.&lt;/author&gt;&lt;author&gt;Schafer,  Alison&lt;/author&gt;&lt;author&gt;Willhoite,  Ann&lt;/author&gt;&lt;author&gt;van&amp;apos;t Hof, Edith&lt;/author&gt;&lt;author&gt;Pedersen, Gloria A.&lt;/author&gt;&lt;author&gt;Watts, Sarah&lt;/author&gt;&lt;author&gt;Ottman, Katherine&lt;/author&gt;&lt;author&gt;Carswell, Kenneth&lt;/author&gt;&lt;author&gt;van Ommeren, Mark&lt;/author&gt;&lt;/authors&gt;&lt;/contributors&gt;&lt;titles&gt;&lt;title&gt;Ensuring Quality in Psychological Support (WHO EQUIP): developing a competent global workforce&lt;/title&gt;&lt;secondary-title&gt;World Psychiatry&lt;/secondary-title&gt;&lt;/titles&gt;&lt;periodical&gt;&lt;full-title&gt;World Psychiatry&lt;/full-title&gt;&lt;/periodical&gt;&lt;pages&gt;115-116&lt;/pages&gt;&lt;volume&gt;19&lt;/volume&gt;&lt;number&gt;1&lt;/number&gt;&lt;dates&gt;&lt;year&gt;2020&lt;/year&gt;&lt;/dates&gt;&lt;isbn&gt;1723-8617&lt;/isbn&gt;&lt;urls&gt;&lt;related-urls&gt;&lt;url&gt;https://onlinelibrary.wiley.com/doi/abs/10.1002/wps.20704&lt;/url&gt;&lt;/related-urls&gt;&lt;/urls&gt;&lt;electronic-resource-num&gt;10.1002/wps.20704&lt;/electronic-resource-num&gt;&lt;/record&gt;&lt;/Cite&gt;&lt;/EndNote&gt;</w:instrText>
      </w:r>
      <w:r w:rsidRPr="00F662AA">
        <w:rPr>
          <w:rFonts w:ascii="Arial" w:eastAsia="Arial" w:hAnsi="Arial" w:cs="Arial"/>
          <w:sz w:val="22"/>
          <w:szCs w:val="22"/>
        </w:rPr>
        <w:fldChar w:fldCharType="separate"/>
      </w:r>
      <w:r w:rsidR="008F3B85" w:rsidRPr="00F662AA">
        <w:rPr>
          <w:rFonts w:ascii="Arial" w:eastAsia="Arial" w:hAnsi="Arial" w:cs="Arial"/>
          <w:noProof/>
          <w:sz w:val="22"/>
          <w:szCs w:val="22"/>
        </w:rPr>
        <w:t>[18]</w:t>
      </w:r>
      <w:r w:rsidRPr="00F662AA">
        <w:rPr>
          <w:rFonts w:ascii="Arial" w:eastAsia="Arial" w:hAnsi="Arial" w:cs="Arial"/>
          <w:sz w:val="22"/>
          <w:szCs w:val="22"/>
        </w:rPr>
        <w:fldChar w:fldCharType="end"/>
      </w:r>
      <w:r w:rsidRPr="00F662AA">
        <w:rPr>
          <w:rFonts w:ascii="Arial" w:eastAsia="Arial" w:hAnsi="Arial" w:cs="Arial"/>
          <w:sz w:val="22"/>
          <w:szCs w:val="22"/>
        </w:rPr>
        <w:t>. A version of IAT was developed specifically for administration in Nepali using touch screens on tablets. Health facility data will be collected by outpatient registers. Paper forms will be kept in a locked cabinet in a locked room of a locked office operated by TPO</w:t>
      </w:r>
      <w:r w:rsidR="00ED11B5" w:rsidRPr="00F662AA">
        <w:rPr>
          <w:rFonts w:ascii="Arial" w:eastAsia="Arial" w:hAnsi="Arial" w:cs="Arial"/>
          <w:sz w:val="22"/>
          <w:szCs w:val="22"/>
        </w:rPr>
        <w:t xml:space="preserve"> </w:t>
      </w:r>
      <w:r w:rsidRPr="00F662AA">
        <w:rPr>
          <w:rFonts w:ascii="Arial" w:eastAsia="Arial" w:hAnsi="Arial" w:cs="Arial"/>
          <w:sz w:val="22"/>
          <w:szCs w:val="22"/>
        </w:rPr>
        <w:t xml:space="preserve">Nepal. Audio and video files will be stored on GW Box. </w:t>
      </w:r>
    </w:p>
    <w:p w14:paraId="7AC481D1" w14:textId="77777777" w:rsidR="00AE3BC8" w:rsidRPr="00F662AA" w:rsidRDefault="00AE3BC8" w:rsidP="00AE3BC8">
      <w:pPr>
        <w:widowControl w:val="0"/>
        <w:pBdr>
          <w:top w:val="nil"/>
          <w:left w:val="nil"/>
          <w:bottom w:val="nil"/>
          <w:right w:val="nil"/>
          <w:between w:val="nil"/>
        </w:pBdr>
        <w:rPr>
          <w:rFonts w:ascii="Arial" w:eastAsia="Arial" w:hAnsi="Arial" w:cs="Arial"/>
          <w:color w:val="000000"/>
          <w:sz w:val="22"/>
          <w:szCs w:val="22"/>
        </w:rPr>
      </w:pPr>
    </w:p>
    <w:p w14:paraId="711229CD" w14:textId="77777777" w:rsidR="00160348" w:rsidRPr="00F662AA" w:rsidRDefault="00160348" w:rsidP="00160348">
      <w:pPr>
        <w:widowControl w:val="0"/>
        <w:pBdr>
          <w:top w:val="nil"/>
          <w:left w:val="nil"/>
          <w:bottom w:val="nil"/>
          <w:right w:val="nil"/>
          <w:between w:val="nil"/>
        </w:pBdr>
        <w:rPr>
          <w:rFonts w:ascii="Arial" w:eastAsia="Arial" w:hAnsi="Arial" w:cs="Arial"/>
          <w:color w:val="006600"/>
          <w:sz w:val="22"/>
          <w:szCs w:val="22"/>
        </w:rPr>
      </w:pPr>
      <w:r w:rsidRPr="00F662AA">
        <w:rPr>
          <w:rFonts w:ascii="Arial" w:eastAsia="Arial" w:hAnsi="Arial" w:cs="Arial"/>
          <w:b/>
          <w:color w:val="000000"/>
          <w:sz w:val="22"/>
          <w:szCs w:val="22"/>
        </w:rPr>
        <w:t xml:space="preserve">Dissemination plans </w:t>
      </w:r>
    </w:p>
    <w:p w14:paraId="60DA9163" w14:textId="05A447F3" w:rsidR="00160348" w:rsidRPr="00F662AA" w:rsidRDefault="00160348" w:rsidP="00160348">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2"/>
          <w:szCs w:val="22"/>
        </w:rPr>
      </w:pPr>
      <w:r w:rsidRPr="00F662AA">
        <w:rPr>
          <w:rFonts w:ascii="Arial" w:eastAsia="Arial" w:hAnsi="Arial" w:cs="Arial"/>
          <w:sz w:val="22"/>
          <w:szCs w:val="22"/>
        </w:rPr>
        <w:t xml:space="preserve">We plan to engage the </w:t>
      </w:r>
      <w:r w:rsidR="002640B3" w:rsidRPr="00F662AA">
        <w:rPr>
          <w:rFonts w:ascii="Arial" w:eastAsia="Arial" w:hAnsi="Arial" w:cs="Arial"/>
          <w:sz w:val="22"/>
          <w:szCs w:val="22"/>
        </w:rPr>
        <w:t xml:space="preserve">federal, provincial, </w:t>
      </w:r>
      <w:r w:rsidRPr="00F662AA">
        <w:rPr>
          <w:rFonts w:ascii="Arial" w:eastAsia="Arial" w:hAnsi="Arial" w:cs="Arial"/>
          <w:sz w:val="22"/>
          <w:szCs w:val="22"/>
        </w:rPr>
        <w:t>and local government</w:t>
      </w:r>
      <w:r w:rsidR="002640B3" w:rsidRPr="00F662AA">
        <w:rPr>
          <w:rFonts w:ascii="Arial" w:eastAsia="Arial" w:hAnsi="Arial" w:cs="Arial"/>
          <w:sz w:val="22"/>
          <w:szCs w:val="22"/>
        </w:rPr>
        <w:t>s,</w:t>
      </w:r>
      <w:r w:rsidRPr="00F662AA">
        <w:rPr>
          <w:rFonts w:ascii="Arial" w:eastAsia="Arial" w:hAnsi="Arial" w:cs="Arial"/>
          <w:sz w:val="22"/>
          <w:szCs w:val="22"/>
        </w:rPr>
        <w:t xml:space="preserve"> as well as communities. The study findings and intervention processes will be disseminated in scientific communities through articles published in national or international peer-reviewed journals</w:t>
      </w:r>
      <w:r w:rsidR="00E16070" w:rsidRPr="00F662AA">
        <w:rPr>
          <w:rFonts w:ascii="Arial" w:eastAsia="Arial" w:hAnsi="Arial" w:cs="Arial"/>
          <w:sz w:val="22"/>
          <w:szCs w:val="22"/>
        </w:rPr>
        <w:t xml:space="preserve"> in collaboration with PWLE</w:t>
      </w:r>
      <w:r w:rsidRPr="00F662AA">
        <w:rPr>
          <w:rFonts w:ascii="Arial" w:eastAsia="Arial" w:hAnsi="Arial" w:cs="Arial"/>
          <w:sz w:val="22"/>
          <w:szCs w:val="22"/>
        </w:rPr>
        <w:t xml:space="preserve">. The findings will also be presented in professional conferences, seminars, workshops, and meetings. </w:t>
      </w:r>
      <w:r w:rsidRPr="00F662AA">
        <w:rPr>
          <w:rFonts w:ascii="Arial" w:eastAsia="Arial" w:hAnsi="Arial" w:cs="Arial"/>
          <w:color w:val="000000"/>
          <w:sz w:val="22"/>
          <w:szCs w:val="22"/>
        </w:rPr>
        <w:t xml:space="preserve">RESHAPE materials </w:t>
      </w:r>
      <w:r w:rsidR="002640B3" w:rsidRPr="00F662AA">
        <w:rPr>
          <w:rFonts w:ascii="Arial" w:eastAsia="Arial" w:hAnsi="Arial" w:cs="Arial"/>
          <w:color w:val="000000"/>
          <w:sz w:val="22"/>
          <w:szCs w:val="22"/>
        </w:rPr>
        <w:t xml:space="preserve">will be made </w:t>
      </w:r>
      <w:r w:rsidRPr="00F662AA">
        <w:rPr>
          <w:rFonts w:ascii="Arial" w:eastAsia="Arial" w:hAnsi="Arial" w:cs="Arial"/>
          <w:color w:val="000000"/>
          <w:sz w:val="22"/>
          <w:szCs w:val="22"/>
        </w:rPr>
        <w:t xml:space="preserve">freely available to anyone implementing mental health training of PCPs. Feedback will also be provided to PWLE and PCPs. </w:t>
      </w:r>
    </w:p>
    <w:p w14:paraId="5FF7C1D5" w14:textId="3ED3DFAC" w:rsidR="008F3B85" w:rsidRDefault="008F3B85" w:rsidP="00160348">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sz w:val="22"/>
          <w:szCs w:val="22"/>
        </w:rPr>
      </w:pPr>
    </w:p>
    <w:p w14:paraId="61389469" w14:textId="2AD07E82" w:rsidR="008F3B85" w:rsidRPr="008F3B85" w:rsidRDefault="008F3B85" w:rsidP="00160348">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bCs/>
          <w:color w:val="000000"/>
          <w:sz w:val="22"/>
          <w:szCs w:val="22"/>
        </w:rPr>
      </w:pPr>
      <w:r w:rsidRPr="008F3B85">
        <w:rPr>
          <w:rFonts w:ascii="Arial" w:eastAsia="Arial" w:hAnsi="Arial" w:cs="Arial"/>
          <w:b/>
          <w:bCs/>
          <w:color w:val="000000"/>
          <w:sz w:val="22"/>
          <w:szCs w:val="22"/>
        </w:rPr>
        <w:t>References</w:t>
      </w:r>
    </w:p>
    <w:p w14:paraId="17C702FA" w14:textId="77777777" w:rsidR="008F3B85" w:rsidRPr="00015890" w:rsidRDefault="008F3B85" w:rsidP="008F3B85">
      <w:pPr>
        <w:pStyle w:val="EndNoteBibliography"/>
        <w:ind w:left="720" w:hanging="720"/>
        <w:rPr>
          <w:sz w:val="22"/>
          <w:szCs w:val="22"/>
        </w:rPr>
      </w:pPr>
      <w:r w:rsidRPr="00015890">
        <w:rPr>
          <w:sz w:val="22"/>
          <w:szCs w:val="22"/>
        </w:rPr>
        <w:fldChar w:fldCharType="begin"/>
      </w:r>
      <w:r w:rsidRPr="00015890">
        <w:rPr>
          <w:sz w:val="22"/>
          <w:szCs w:val="22"/>
        </w:rPr>
        <w:instrText xml:space="preserve"> ADDIN EN.REFLIST </w:instrText>
      </w:r>
      <w:r w:rsidRPr="00015890">
        <w:rPr>
          <w:sz w:val="22"/>
          <w:szCs w:val="22"/>
        </w:rPr>
        <w:fldChar w:fldCharType="separate"/>
      </w:r>
      <w:r w:rsidRPr="00015890">
        <w:rPr>
          <w:sz w:val="22"/>
          <w:szCs w:val="22"/>
        </w:rPr>
        <w:t>1.</w:t>
      </w:r>
      <w:r w:rsidRPr="00015890">
        <w:rPr>
          <w:sz w:val="22"/>
          <w:szCs w:val="22"/>
        </w:rPr>
        <w:tab/>
        <w:t xml:space="preserve">Kohrt BA, Luitel NP, Acharya P, Jordans MJD: </w:t>
      </w:r>
      <w:r w:rsidRPr="00015890">
        <w:rPr>
          <w:b/>
          <w:sz w:val="22"/>
          <w:szCs w:val="22"/>
        </w:rPr>
        <w:t>Detection of depression in low resource settings: validation of the Patient Health Questionnaire (PHQ-9) and cultural concepts of distress in Nepal</w:t>
      </w:r>
      <w:r w:rsidRPr="00015890">
        <w:rPr>
          <w:sz w:val="22"/>
          <w:szCs w:val="22"/>
        </w:rPr>
        <w:t xml:space="preserve">. </w:t>
      </w:r>
      <w:r w:rsidRPr="00015890">
        <w:rPr>
          <w:i/>
          <w:sz w:val="22"/>
          <w:szCs w:val="22"/>
        </w:rPr>
        <w:t xml:space="preserve">BMC Psychiatry </w:t>
      </w:r>
      <w:r w:rsidRPr="00015890">
        <w:rPr>
          <w:sz w:val="22"/>
          <w:szCs w:val="22"/>
        </w:rPr>
        <w:t xml:space="preserve">2016, </w:t>
      </w:r>
      <w:r w:rsidRPr="00015890">
        <w:rPr>
          <w:b/>
          <w:sz w:val="22"/>
          <w:szCs w:val="22"/>
        </w:rPr>
        <w:t>16</w:t>
      </w:r>
      <w:r w:rsidRPr="00015890">
        <w:rPr>
          <w:sz w:val="22"/>
          <w:szCs w:val="22"/>
        </w:rPr>
        <w:t>(1):e58.</w:t>
      </w:r>
    </w:p>
    <w:p w14:paraId="79E0F550" w14:textId="77777777" w:rsidR="008F3B85" w:rsidRPr="00015890" w:rsidRDefault="008F3B85" w:rsidP="008F3B85">
      <w:pPr>
        <w:pStyle w:val="EndNoteBibliography"/>
        <w:ind w:left="720" w:hanging="720"/>
        <w:rPr>
          <w:sz w:val="22"/>
          <w:szCs w:val="22"/>
        </w:rPr>
      </w:pPr>
      <w:r w:rsidRPr="00015890">
        <w:rPr>
          <w:sz w:val="22"/>
          <w:szCs w:val="22"/>
        </w:rPr>
        <w:t>2.</w:t>
      </w:r>
      <w:r w:rsidRPr="00015890">
        <w:rPr>
          <w:sz w:val="22"/>
          <w:szCs w:val="22"/>
        </w:rPr>
        <w:tab/>
        <w:t xml:space="preserve">Jordans MJD, Aldridge L, Luitel NP, Baingana F, Kohrt BA: </w:t>
      </w:r>
      <w:r w:rsidRPr="00015890">
        <w:rPr>
          <w:b/>
          <w:sz w:val="22"/>
          <w:szCs w:val="22"/>
        </w:rPr>
        <w:t>Evaluation of outcomes for psychosis and epilepsy treatment delivered by primary health care workers in Nepal: a cohort study</w:t>
      </w:r>
      <w:r w:rsidRPr="00015890">
        <w:rPr>
          <w:sz w:val="22"/>
          <w:szCs w:val="22"/>
        </w:rPr>
        <w:t xml:space="preserve">. </w:t>
      </w:r>
      <w:r w:rsidRPr="00015890">
        <w:rPr>
          <w:i/>
          <w:sz w:val="22"/>
          <w:szCs w:val="22"/>
        </w:rPr>
        <w:t xml:space="preserve">International Journal of Mental Health Systems </w:t>
      </w:r>
      <w:r w:rsidRPr="00015890">
        <w:rPr>
          <w:sz w:val="22"/>
          <w:szCs w:val="22"/>
        </w:rPr>
        <w:t xml:space="preserve">2017, </w:t>
      </w:r>
      <w:r w:rsidRPr="00015890">
        <w:rPr>
          <w:b/>
          <w:sz w:val="22"/>
          <w:szCs w:val="22"/>
        </w:rPr>
        <w:t>11</w:t>
      </w:r>
      <w:r w:rsidRPr="00015890">
        <w:rPr>
          <w:sz w:val="22"/>
          <w:szCs w:val="22"/>
        </w:rPr>
        <w:t>(1):70.</w:t>
      </w:r>
    </w:p>
    <w:p w14:paraId="17995040" w14:textId="77777777" w:rsidR="008F3B85" w:rsidRPr="00015890" w:rsidRDefault="008F3B85" w:rsidP="008F3B85">
      <w:pPr>
        <w:pStyle w:val="EndNoteBibliography"/>
        <w:ind w:left="720" w:hanging="720"/>
        <w:rPr>
          <w:sz w:val="22"/>
          <w:szCs w:val="22"/>
        </w:rPr>
      </w:pPr>
      <w:r w:rsidRPr="00015890">
        <w:rPr>
          <w:sz w:val="22"/>
          <w:szCs w:val="22"/>
        </w:rPr>
        <w:t>3.</w:t>
      </w:r>
      <w:r w:rsidRPr="00015890">
        <w:rPr>
          <w:sz w:val="22"/>
          <w:szCs w:val="22"/>
        </w:rPr>
        <w:tab/>
        <w:t xml:space="preserve">Pradhan B, Chappuis F, Baral D, Karki P, Rijal S, Hadengue A, Gache P: </w:t>
      </w:r>
      <w:r w:rsidRPr="00015890">
        <w:rPr>
          <w:b/>
          <w:sz w:val="22"/>
          <w:szCs w:val="22"/>
        </w:rPr>
        <w:t>The alcohol use disorders identification test (AUDIT): validation of a Nepali version for the detection of alcohol use disorders and hazardous drinking in medical settings</w:t>
      </w:r>
      <w:r w:rsidRPr="00015890">
        <w:rPr>
          <w:sz w:val="22"/>
          <w:szCs w:val="22"/>
        </w:rPr>
        <w:t xml:space="preserve">. </w:t>
      </w:r>
      <w:r w:rsidRPr="00015890">
        <w:rPr>
          <w:i/>
          <w:sz w:val="22"/>
          <w:szCs w:val="22"/>
        </w:rPr>
        <w:t xml:space="preserve">Substance Abuse Treatment, Prevention, and Policy </w:t>
      </w:r>
      <w:r w:rsidRPr="00015890">
        <w:rPr>
          <w:sz w:val="22"/>
          <w:szCs w:val="22"/>
        </w:rPr>
        <w:t xml:space="preserve">2012, </w:t>
      </w:r>
      <w:r w:rsidRPr="00015890">
        <w:rPr>
          <w:b/>
          <w:sz w:val="22"/>
          <w:szCs w:val="22"/>
        </w:rPr>
        <w:t>7</w:t>
      </w:r>
      <w:r w:rsidRPr="00015890">
        <w:rPr>
          <w:sz w:val="22"/>
          <w:szCs w:val="22"/>
        </w:rPr>
        <w:t>(1):42.</w:t>
      </w:r>
    </w:p>
    <w:p w14:paraId="2A98ED21" w14:textId="77777777" w:rsidR="008F3B85" w:rsidRPr="00015890" w:rsidRDefault="008F3B85" w:rsidP="008F3B85">
      <w:pPr>
        <w:pStyle w:val="EndNoteBibliography"/>
        <w:ind w:left="720" w:hanging="720"/>
        <w:rPr>
          <w:sz w:val="22"/>
          <w:szCs w:val="22"/>
        </w:rPr>
      </w:pPr>
      <w:r w:rsidRPr="00015890">
        <w:rPr>
          <w:sz w:val="22"/>
          <w:szCs w:val="22"/>
        </w:rPr>
        <w:t>4.</w:t>
      </w:r>
      <w:r w:rsidRPr="00015890">
        <w:rPr>
          <w:sz w:val="22"/>
          <w:szCs w:val="22"/>
        </w:rPr>
        <w:tab/>
        <w:t xml:space="preserve">World Health Organization: </w:t>
      </w:r>
      <w:r w:rsidRPr="00015890">
        <w:rPr>
          <w:b/>
          <w:sz w:val="22"/>
          <w:szCs w:val="22"/>
        </w:rPr>
        <w:t>World Health Organization disabilty assessment schedule: WHODAS II. Phase 2 field trials. Health services research</w:t>
      </w:r>
      <w:r w:rsidRPr="00015890">
        <w:rPr>
          <w:sz w:val="22"/>
          <w:szCs w:val="22"/>
        </w:rPr>
        <w:t>. 2000.</w:t>
      </w:r>
    </w:p>
    <w:p w14:paraId="053D7C8B" w14:textId="77777777" w:rsidR="008F3B85" w:rsidRPr="00015890" w:rsidRDefault="008F3B85" w:rsidP="008F3B85">
      <w:pPr>
        <w:pStyle w:val="EndNoteBibliography"/>
        <w:ind w:left="720" w:hanging="720"/>
        <w:rPr>
          <w:sz w:val="22"/>
          <w:szCs w:val="22"/>
        </w:rPr>
      </w:pPr>
      <w:r w:rsidRPr="00015890">
        <w:rPr>
          <w:sz w:val="22"/>
          <w:szCs w:val="22"/>
        </w:rPr>
        <w:t>5.</w:t>
      </w:r>
      <w:r w:rsidRPr="00015890">
        <w:rPr>
          <w:sz w:val="22"/>
          <w:szCs w:val="22"/>
        </w:rPr>
        <w:tab/>
        <w:t xml:space="preserve">Pattanaphesaj J, Thavorncharoensap M, Ramos-Goñi JM, Tongsiri S, Ingsrisawang L, Teerawattananon Y: </w:t>
      </w:r>
      <w:r w:rsidRPr="00015890">
        <w:rPr>
          <w:b/>
          <w:sz w:val="22"/>
          <w:szCs w:val="22"/>
        </w:rPr>
        <w:t>The EQ-5D-5L Valuation study in Thailand</w:t>
      </w:r>
      <w:r w:rsidRPr="00015890">
        <w:rPr>
          <w:sz w:val="22"/>
          <w:szCs w:val="22"/>
        </w:rPr>
        <w:t xml:space="preserve">. </w:t>
      </w:r>
      <w:r w:rsidRPr="00015890">
        <w:rPr>
          <w:i/>
          <w:sz w:val="22"/>
          <w:szCs w:val="22"/>
        </w:rPr>
        <w:t xml:space="preserve">Expert review of pharmacoeconomics &amp; outcomes research </w:t>
      </w:r>
      <w:r w:rsidRPr="00015890">
        <w:rPr>
          <w:sz w:val="22"/>
          <w:szCs w:val="22"/>
        </w:rPr>
        <w:t xml:space="preserve">2018, </w:t>
      </w:r>
      <w:r w:rsidRPr="00015890">
        <w:rPr>
          <w:b/>
          <w:sz w:val="22"/>
          <w:szCs w:val="22"/>
        </w:rPr>
        <w:t>18</w:t>
      </w:r>
      <w:r w:rsidRPr="00015890">
        <w:rPr>
          <w:sz w:val="22"/>
          <w:szCs w:val="22"/>
        </w:rPr>
        <w:t>(5):551-558.</w:t>
      </w:r>
    </w:p>
    <w:p w14:paraId="099DC96D" w14:textId="77777777" w:rsidR="008F3B85" w:rsidRPr="00015890" w:rsidRDefault="008F3B85" w:rsidP="008F3B85">
      <w:pPr>
        <w:pStyle w:val="EndNoteBibliography"/>
        <w:ind w:left="720" w:hanging="720"/>
        <w:rPr>
          <w:sz w:val="22"/>
          <w:szCs w:val="22"/>
        </w:rPr>
      </w:pPr>
      <w:r w:rsidRPr="00015890">
        <w:rPr>
          <w:sz w:val="22"/>
          <w:szCs w:val="22"/>
        </w:rPr>
        <w:t>6.</w:t>
      </w:r>
      <w:r w:rsidRPr="00015890">
        <w:rPr>
          <w:sz w:val="22"/>
          <w:szCs w:val="22"/>
        </w:rPr>
        <w:tab/>
        <w:t>De Silva MJ, Rathod SD, Hanlon C, Breuer E, Chisholm D, Fekadu A, Jordans M, Kigozi F, Petersen I, Shidhaye R</w:t>
      </w:r>
      <w:r w:rsidRPr="00015890">
        <w:rPr>
          <w:i/>
          <w:sz w:val="22"/>
          <w:szCs w:val="22"/>
        </w:rPr>
        <w:t xml:space="preserve"> et al</w:t>
      </w:r>
      <w:r w:rsidRPr="00015890">
        <w:rPr>
          <w:sz w:val="22"/>
          <w:szCs w:val="22"/>
        </w:rPr>
        <w:t xml:space="preserve">: </w:t>
      </w:r>
      <w:r w:rsidRPr="00015890">
        <w:rPr>
          <w:b/>
          <w:sz w:val="22"/>
          <w:szCs w:val="22"/>
        </w:rPr>
        <w:t>Evaluation of district mental healthcare plans: the PRIME consortium methodology</w:t>
      </w:r>
      <w:r w:rsidRPr="00015890">
        <w:rPr>
          <w:sz w:val="22"/>
          <w:szCs w:val="22"/>
        </w:rPr>
        <w:t xml:space="preserve">. </w:t>
      </w:r>
      <w:r w:rsidRPr="00015890">
        <w:rPr>
          <w:i/>
          <w:sz w:val="22"/>
          <w:szCs w:val="22"/>
        </w:rPr>
        <w:t xml:space="preserve">Br J Psychiatry </w:t>
      </w:r>
      <w:r w:rsidRPr="00015890">
        <w:rPr>
          <w:sz w:val="22"/>
          <w:szCs w:val="22"/>
        </w:rPr>
        <w:t xml:space="preserve">2016, </w:t>
      </w:r>
      <w:r w:rsidRPr="00015890">
        <w:rPr>
          <w:b/>
          <w:sz w:val="22"/>
          <w:szCs w:val="22"/>
        </w:rPr>
        <w:t>208 Suppl 56</w:t>
      </w:r>
      <w:r w:rsidRPr="00015890">
        <w:rPr>
          <w:sz w:val="22"/>
          <w:szCs w:val="22"/>
        </w:rPr>
        <w:t>:s63-70.</w:t>
      </w:r>
    </w:p>
    <w:p w14:paraId="12E868FA" w14:textId="77777777" w:rsidR="008F3B85" w:rsidRPr="00015890" w:rsidRDefault="008F3B85" w:rsidP="008F3B85">
      <w:pPr>
        <w:pStyle w:val="EndNoteBibliography"/>
        <w:ind w:left="720" w:hanging="720"/>
        <w:rPr>
          <w:sz w:val="22"/>
          <w:szCs w:val="22"/>
        </w:rPr>
      </w:pPr>
      <w:r w:rsidRPr="00015890">
        <w:rPr>
          <w:sz w:val="22"/>
          <w:szCs w:val="22"/>
        </w:rPr>
        <w:t>7.</w:t>
      </w:r>
      <w:r w:rsidRPr="00015890">
        <w:rPr>
          <w:sz w:val="22"/>
          <w:szCs w:val="22"/>
        </w:rPr>
        <w:tab/>
        <w:t xml:space="preserve">Luitel NP, Jordans MJD, Kohrt BA, Rathod SD, Komproe IH: </w:t>
      </w:r>
      <w:r w:rsidRPr="00015890">
        <w:rPr>
          <w:b/>
          <w:sz w:val="22"/>
          <w:szCs w:val="22"/>
        </w:rPr>
        <w:t>Treatment gap and barriers for mental health care: A cross-sectional community survey in Nepal</w:t>
      </w:r>
      <w:r w:rsidRPr="00015890">
        <w:rPr>
          <w:sz w:val="22"/>
          <w:szCs w:val="22"/>
        </w:rPr>
        <w:t xml:space="preserve">. </w:t>
      </w:r>
      <w:r w:rsidRPr="00015890">
        <w:rPr>
          <w:i/>
          <w:sz w:val="22"/>
          <w:szCs w:val="22"/>
        </w:rPr>
        <w:t xml:space="preserve">PLOS ONE </w:t>
      </w:r>
      <w:r w:rsidRPr="00015890">
        <w:rPr>
          <w:sz w:val="22"/>
          <w:szCs w:val="22"/>
        </w:rPr>
        <w:t xml:space="preserve">2017, </w:t>
      </w:r>
      <w:r w:rsidRPr="00015890">
        <w:rPr>
          <w:b/>
          <w:sz w:val="22"/>
          <w:szCs w:val="22"/>
        </w:rPr>
        <w:t>12</w:t>
      </w:r>
      <w:r w:rsidRPr="00015890">
        <w:rPr>
          <w:sz w:val="22"/>
          <w:szCs w:val="22"/>
        </w:rPr>
        <w:t>(8):e0183223.</w:t>
      </w:r>
    </w:p>
    <w:p w14:paraId="7D6B4283" w14:textId="77777777" w:rsidR="008F3B85" w:rsidRPr="00015890" w:rsidRDefault="008F3B85" w:rsidP="008F3B85">
      <w:pPr>
        <w:pStyle w:val="EndNoteBibliography"/>
        <w:ind w:left="720" w:hanging="720"/>
        <w:rPr>
          <w:sz w:val="22"/>
          <w:szCs w:val="22"/>
        </w:rPr>
      </w:pPr>
      <w:r w:rsidRPr="00015890">
        <w:rPr>
          <w:sz w:val="22"/>
          <w:szCs w:val="22"/>
        </w:rPr>
        <w:t>8.</w:t>
      </w:r>
      <w:r w:rsidRPr="00015890">
        <w:rPr>
          <w:sz w:val="22"/>
          <w:szCs w:val="22"/>
        </w:rPr>
        <w:tab/>
        <w:t xml:space="preserve">Brohan E, Clement S, Rose D, Sartorius N, Slade M, Thornicroft G: </w:t>
      </w:r>
      <w:r w:rsidRPr="00015890">
        <w:rPr>
          <w:b/>
          <w:sz w:val="22"/>
          <w:szCs w:val="22"/>
        </w:rPr>
        <w:t>Development and psychometric evaluation of the Discrimination and Stigma Scale (DISC)</w:t>
      </w:r>
      <w:r w:rsidRPr="00015890">
        <w:rPr>
          <w:sz w:val="22"/>
          <w:szCs w:val="22"/>
        </w:rPr>
        <w:t xml:space="preserve">. </w:t>
      </w:r>
      <w:r w:rsidRPr="00015890">
        <w:rPr>
          <w:i/>
          <w:sz w:val="22"/>
          <w:szCs w:val="22"/>
        </w:rPr>
        <w:t xml:space="preserve">Psychiatry Research </w:t>
      </w:r>
      <w:r w:rsidRPr="00015890">
        <w:rPr>
          <w:sz w:val="22"/>
          <w:szCs w:val="22"/>
        </w:rPr>
        <w:t xml:space="preserve">2013, </w:t>
      </w:r>
      <w:r w:rsidRPr="00015890">
        <w:rPr>
          <w:b/>
          <w:sz w:val="22"/>
          <w:szCs w:val="22"/>
        </w:rPr>
        <w:t>208</w:t>
      </w:r>
      <w:r w:rsidRPr="00015890">
        <w:rPr>
          <w:sz w:val="22"/>
          <w:szCs w:val="22"/>
        </w:rPr>
        <w:t>(1):33-40.</w:t>
      </w:r>
    </w:p>
    <w:p w14:paraId="35AB832F" w14:textId="77777777" w:rsidR="008F3B85" w:rsidRPr="00015890" w:rsidRDefault="008F3B85" w:rsidP="008F3B85">
      <w:pPr>
        <w:pStyle w:val="EndNoteBibliography"/>
        <w:ind w:left="720" w:hanging="720"/>
        <w:rPr>
          <w:sz w:val="22"/>
          <w:szCs w:val="22"/>
        </w:rPr>
      </w:pPr>
      <w:r w:rsidRPr="00015890">
        <w:rPr>
          <w:sz w:val="22"/>
          <w:szCs w:val="22"/>
        </w:rPr>
        <w:lastRenderedPageBreak/>
        <w:t>9.</w:t>
      </w:r>
      <w:r w:rsidRPr="00015890">
        <w:rPr>
          <w:sz w:val="22"/>
          <w:szCs w:val="22"/>
        </w:rPr>
        <w:tab/>
        <w:t xml:space="preserve">Ritsher JB, Otilingam PG, Grajales M: </w:t>
      </w:r>
      <w:r w:rsidRPr="00015890">
        <w:rPr>
          <w:b/>
          <w:sz w:val="22"/>
          <w:szCs w:val="22"/>
        </w:rPr>
        <w:t>Internalized stigma of mental illness: psychometric properties of a new measure</w:t>
      </w:r>
      <w:r w:rsidRPr="00015890">
        <w:rPr>
          <w:sz w:val="22"/>
          <w:szCs w:val="22"/>
        </w:rPr>
        <w:t xml:space="preserve">. </w:t>
      </w:r>
      <w:r w:rsidRPr="00015890">
        <w:rPr>
          <w:i/>
          <w:sz w:val="22"/>
          <w:szCs w:val="22"/>
        </w:rPr>
        <w:t xml:space="preserve">Psychiatry research </w:t>
      </w:r>
      <w:r w:rsidRPr="00015890">
        <w:rPr>
          <w:sz w:val="22"/>
          <w:szCs w:val="22"/>
        </w:rPr>
        <w:t xml:space="preserve">2003, </w:t>
      </w:r>
      <w:r w:rsidRPr="00015890">
        <w:rPr>
          <w:b/>
          <w:sz w:val="22"/>
          <w:szCs w:val="22"/>
        </w:rPr>
        <w:t>121</w:t>
      </w:r>
      <w:r w:rsidRPr="00015890">
        <w:rPr>
          <w:sz w:val="22"/>
          <w:szCs w:val="22"/>
        </w:rPr>
        <w:t>(1):31-49.</w:t>
      </w:r>
    </w:p>
    <w:p w14:paraId="2B3E0F33" w14:textId="77777777" w:rsidR="008F3B85" w:rsidRPr="00015890" w:rsidRDefault="008F3B85" w:rsidP="008F3B85">
      <w:pPr>
        <w:pStyle w:val="EndNoteBibliography"/>
        <w:ind w:left="720" w:hanging="720"/>
        <w:rPr>
          <w:sz w:val="22"/>
          <w:szCs w:val="22"/>
        </w:rPr>
      </w:pPr>
      <w:r w:rsidRPr="00015890">
        <w:rPr>
          <w:sz w:val="22"/>
          <w:szCs w:val="22"/>
        </w:rPr>
        <w:t>10.</w:t>
      </w:r>
      <w:r w:rsidRPr="00015890">
        <w:rPr>
          <w:sz w:val="22"/>
          <w:szCs w:val="22"/>
        </w:rPr>
        <w:tab/>
        <w:t xml:space="preserve">Hagaman AK, Khadka S, Lohani S, Kohrt B: </w:t>
      </w:r>
      <w:r w:rsidRPr="00015890">
        <w:rPr>
          <w:b/>
          <w:sz w:val="22"/>
          <w:szCs w:val="22"/>
        </w:rPr>
        <w:t>Suicide in Nepal: a modified psychological autopsy investigation from randomly selected police cases between 2013 and 2015</w:t>
      </w:r>
      <w:r w:rsidRPr="00015890">
        <w:rPr>
          <w:sz w:val="22"/>
          <w:szCs w:val="22"/>
        </w:rPr>
        <w:t xml:space="preserve">. </w:t>
      </w:r>
      <w:r w:rsidRPr="00015890">
        <w:rPr>
          <w:i/>
          <w:sz w:val="22"/>
          <w:szCs w:val="22"/>
        </w:rPr>
        <w:t xml:space="preserve">Social Psychiatry and Psychiatric Epidemiology </w:t>
      </w:r>
      <w:r w:rsidRPr="00015890">
        <w:rPr>
          <w:sz w:val="22"/>
          <w:szCs w:val="22"/>
        </w:rPr>
        <w:t xml:space="preserve">2017, </w:t>
      </w:r>
      <w:r w:rsidRPr="00015890">
        <w:rPr>
          <w:b/>
          <w:sz w:val="22"/>
          <w:szCs w:val="22"/>
        </w:rPr>
        <w:t>52</w:t>
      </w:r>
      <w:r w:rsidRPr="00015890">
        <w:rPr>
          <w:sz w:val="22"/>
          <w:szCs w:val="22"/>
        </w:rPr>
        <w:t>(12):1483-1494.</w:t>
      </w:r>
    </w:p>
    <w:p w14:paraId="77ACFCAC" w14:textId="77777777" w:rsidR="008F3B85" w:rsidRPr="00015890" w:rsidRDefault="008F3B85" w:rsidP="008F3B85">
      <w:pPr>
        <w:pStyle w:val="EndNoteBibliography"/>
        <w:ind w:left="720" w:hanging="720"/>
        <w:rPr>
          <w:sz w:val="22"/>
          <w:szCs w:val="22"/>
        </w:rPr>
      </w:pPr>
      <w:r w:rsidRPr="00015890">
        <w:rPr>
          <w:sz w:val="22"/>
          <w:szCs w:val="22"/>
        </w:rPr>
        <w:t>11.</w:t>
      </w:r>
      <w:r w:rsidRPr="00015890">
        <w:rPr>
          <w:sz w:val="22"/>
          <w:szCs w:val="22"/>
        </w:rPr>
        <w:tab/>
        <w:t xml:space="preserve">Kohrt BA, Worthman CM, Ressler KJ, Mercer KB, Upadhaya N, Koirala S, Nepal MK, Sharma VD, Binder EB: </w:t>
      </w:r>
      <w:r w:rsidRPr="00015890">
        <w:rPr>
          <w:b/>
          <w:sz w:val="22"/>
          <w:szCs w:val="22"/>
        </w:rPr>
        <w:t>Cross-cultural gene−environment interactions in depression, post-traumatic stress disorder, and the cortisol awakening response: FKBP5 polymorphisms and childhood trauma in South Asia</w:t>
      </w:r>
      <w:r w:rsidRPr="00015890">
        <w:rPr>
          <w:sz w:val="22"/>
          <w:szCs w:val="22"/>
        </w:rPr>
        <w:t xml:space="preserve">. </w:t>
      </w:r>
      <w:r w:rsidRPr="00015890">
        <w:rPr>
          <w:i/>
          <w:sz w:val="22"/>
          <w:szCs w:val="22"/>
        </w:rPr>
        <w:t xml:space="preserve">International Review of Psychiatry </w:t>
      </w:r>
      <w:r w:rsidRPr="00015890">
        <w:rPr>
          <w:sz w:val="22"/>
          <w:szCs w:val="22"/>
        </w:rPr>
        <w:t xml:space="preserve">2015, </w:t>
      </w:r>
      <w:r w:rsidRPr="00015890">
        <w:rPr>
          <w:b/>
          <w:sz w:val="22"/>
          <w:szCs w:val="22"/>
        </w:rPr>
        <w:t>27</w:t>
      </w:r>
      <w:r w:rsidRPr="00015890">
        <w:rPr>
          <w:sz w:val="22"/>
          <w:szCs w:val="22"/>
        </w:rPr>
        <w:t>(3):180-196.</w:t>
      </w:r>
    </w:p>
    <w:p w14:paraId="02FE00C8" w14:textId="77777777" w:rsidR="008F3B85" w:rsidRPr="00015890" w:rsidRDefault="008F3B85" w:rsidP="008F3B85">
      <w:pPr>
        <w:pStyle w:val="EndNoteBibliography"/>
        <w:ind w:left="720" w:hanging="720"/>
        <w:rPr>
          <w:sz w:val="22"/>
          <w:szCs w:val="22"/>
        </w:rPr>
      </w:pPr>
      <w:r w:rsidRPr="00015890">
        <w:rPr>
          <w:sz w:val="22"/>
          <w:szCs w:val="22"/>
        </w:rPr>
        <w:t>12.</w:t>
      </w:r>
      <w:r w:rsidRPr="00015890">
        <w:rPr>
          <w:sz w:val="22"/>
          <w:szCs w:val="22"/>
        </w:rPr>
        <w:tab/>
        <w:t xml:space="preserve">Teerenstra S, Lu B, Preisser JS, Van Achterberg T, Borm GF: </w:t>
      </w:r>
      <w:r w:rsidRPr="00015890">
        <w:rPr>
          <w:b/>
          <w:sz w:val="22"/>
          <w:szCs w:val="22"/>
        </w:rPr>
        <w:t>Sample size considerations for GEE analyses of three</w:t>
      </w:r>
      <w:r w:rsidRPr="00015890">
        <w:rPr>
          <w:rFonts w:ascii="Cambria Math" w:hAnsi="Cambria Math" w:cs="Cambria Math"/>
          <w:b/>
          <w:sz w:val="22"/>
          <w:szCs w:val="22"/>
        </w:rPr>
        <w:t>‐</w:t>
      </w:r>
      <w:r w:rsidRPr="00015890">
        <w:rPr>
          <w:b/>
          <w:sz w:val="22"/>
          <w:szCs w:val="22"/>
        </w:rPr>
        <w:t>level cluster randomized trials</w:t>
      </w:r>
      <w:r w:rsidRPr="00015890">
        <w:rPr>
          <w:sz w:val="22"/>
          <w:szCs w:val="22"/>
        </w:rPr>
        <w:t xml:space="preserve">. </w:t>
      </w:r>
      <w:r w:rsidRPr="00015890">
        <w:rPr>
          <w:i/>
          <w:sz w:val="22"/>
          <w:szCs w:val="22"/>
        </w:rPr>
        <w:t xml:space="preserve">Biometrics </w:t>
      </w:r>
      <w:r w:rsidRPr="00015890">
        <w:rPr>
          <w:sz w:val="22"/>
          <w:szCs w:val="22"/>
        </w:rPr>
        <w:t xml:space="preserve">2010, </w:t>
      </w:r>
      <w:r w:rsidRPr="00015890">
        <w:rPr>
          <w:b/>
          <w:sz w:val="22"/>
          <w:szCs w:val="22"/>
        </w:rPr>
        <w:t>66</w:t>
      </w:r>
      <w:r w:rsidRPr="00015890">
        <w:rPr>
          <w:sz w:val="22"/>
          <w:szCs w:val="22"/>
        </w:rPr>
        <w:t>(4):1230-1237.</w:t>
      </w:r>
    </w:p>
    <w:p w14:paraId="243E9EC3" w14:textId="1C062C3B" w:rsidR="008F3B85" w:rsidRPr="00015890" w:rsidRDefault="008F3B85" w:rsidP="008F3B85">
      <w:pPr>
        <w:pStyle w:val="EndNoteBibliography"/>
        <w:ind w:left="720" w:hanging="720"/>
        <w:rPr>
          <w:sz w:val="22"/>
          <w:szCs w:val="22"/>
        </w:rPr>
      </w:pPr>
      <w:r w:rsidRPr="00015890">
        <w:rPr>
          <w:sz w:val="22"/>
          <w:szCs w:val="22"/>
        </w:rPr>
        <w:t>13.</w:t>
      </w:r>
      <w:r w:rsidRPr="00015890">
        <w:rPr>
          <w:sz w:val="22"/>
          <w:szCs w:val="22"/>
        </w:rPr>
        <w:tab/>
      </w:r>
      <w:r w:rsidR="0029374A" w:rsidRPr="00015890">
        <w:rPr>
          <w:sz w:val="22"/>
          <w:szCs w:val="22"/>
        </w:rPr>
        <w:t xml:space="preserve">Wang X, Turner EL, Preisser JS, Li F. </w:t>
      </w:r>
      <w:r w:rsidR="0029374A" w:rsidRPr="00015890">
        <w:rPr>
          <w:b/>
          <w:bCs/>
          <w:sz w:val="22"/>
          <w:szCs w:val="22"/>
        </w:rPr>
        <w:t>Power considerations for generalized estimating equations analyses of four-level cluster randomized trials</w:t>
      </w:r>
      <w:r w:rsidR="0029374A" w:rsidRPr="00015890">
        <w:rPr>
          <w:sz w:val="22"/>
          <w:szCs w:val="22"/>
        </w:rPr>
        <w:t xml:space="preserve">. </w:t>
      </w:r>
      <w:r w:rsidR="0029374A" w:rsidRPr="00015890">
        <w:rPr>
          <w:i/>
          <w:iCs/>
          <w:sz w:val="22"/>
          <w:szCs w:val="22"/>
        </w:rPr>
        <w:t>Biom J</w:t>
      </w:r>
      <w:r w:rsidR="0029374A" w:rsidRPr="00015890">
        <w:rPr>
          <w:sz w:val="22"/>
          <w:szCs w:val="22"/>
        </w:rPr>
        <w:t>. 2022 Apr;64(4):663-680. doi: 10.1002/bimj.202100081.</w:t>
      </w:r>
    </w:p>
    <w:p w14:paraId="72B73C99" w14:textId="77777777" w:rsidR="008F3B85" w:rsidRPr="00015890" w:rsidRDefault="008F3B85" w:rsidP="008F3B85">
      <w:pPr>
        <w:pStyle w:val="EndNoteBibliography"/>
        <w:ind w:left="720" w:hanging="720"/>
        <w:rPr>
          <w:sz w:val="22"/>
          <w:szCs w:val="22"/>
        </w:rPr>
      </w:pPr>
      <w:r w:rsidRPr="00015890">
        <w:rPr>
          <w:sz w:val="22"/>
          <w:szCs w:val="22"/>
        </w:rPr>
        <w:t>14.</w:t>
      </w:r>
      <w:r w:rsidRPr="00015890">
        <w:rPr>
          <w:sz w:val="22"/>
          <w:szCs w:val="22"/>
        </w:rPr>
        <w:tab/>
        <w:t xml:space="preserve">Zou GY, Donner A: </w:t>
      </w:r>
      <w:r w:rsidRPr="00015890">
        <w:rPr>
          <w:b/>
          <w:sz w:val="22"/>
          <w:szCs w:val="22"/>
        </w:rPr>
        <w:t>Extension of the modified Poisson regression model to prospective studies with correlated binary data</w:t>
      </w:r>
      <w:r w:rsidRPr="00015890">
        <w:rPr>
          <w:sz w:val="22"/>
          <w:szCs w:val="22"/>
        </w:rPr>
        <w:t xml:space="preserve">. </w:t>
      </w:r>
      <w:r w:rsidRPr="00015890">
        <w:rPr>
          <w:i/>
          <w:sz w:val="22"/>
          <w:szCs w:val="22"/>
        </w:rPr>
        <w:t xml:space="preserve">Stat Methods Med Res </w:t>
      </w:r>
      <w:r w:rsidRPr="00015890">
        <w:rPr>
          <w:sz w:val="22"/>
          <w:szCs w:val="22"/>
        </w:rPr>
        <w:t xml:space="preserve">2013, </w:t>
      </w:r>
      <w:r w:rsidRPr="00015890">
        <w:rPr>
          <w:b/>
          <w:sz w:val="22"/>
          <w:szCs w:val="22"/>
        </w:rPr>
        <w:t>22</w:t>
      </w:r>
      <w:r w:rsidRPr="00015890">
        <w:rPr>
          <w:sz w:val="22"/>
          <w:szCs w:val="22"/>
        </w:rPr>
        <w:t>(6):661-670.</w:t>
      </w:r>
    </w:p>
    <w:p w14:paraId="69B58402" w14:textId="77777777" w:rsidR="008F3B85" w:rsidRPr="00015890" w:rsidRDefault="008F3B85" w:rsidP="008F3B85">
      <w:pPr>
        <w:pStyle w:val="EndNoteBibliography"/>
        <w:ind w:left="720" w:hanging="720"/>
        <w:rPr>
          <w:sz w:val="22"/>
          <w:szCs w:val="22"/>
        </w:rPr>
      </w:pPr>
      <w:r w:rsidRPr="00015890">
        <w:rPr>
          <w:sz w:val="22"/>
          <w:szCs w:val="22"/>
        </w:rPr>
        <w:t>15.</w:t>
      </w:r>
      <w:r w:rsidRPr="00015890">
        <w:rPr>
          <w:sz w:val="22"/>
          <w:szCs w:val="22"/>
        </w:rPr>
        <w:tab/>
        <w:t xml:space="preserve">Campbell MK, Piaggio G, Elbourne DR, Altman DG: </w:t>
      </w:r>
      <w:r w:rsidRPr="00015890">
        <w:rPr>
          <w:b/>
          <w:sz w:val="22"/>
          <w:szCs w:val="22"/>
        </w:rPr>
        <w:t>Consort 2010 statement: extension to cluster randomised trials</w:t>
      </w:r>
      <w:r w:rsidRPr="00015890">
        <w:rPr>
          <w:sz w:val="22"/>
          <w:szCs w:val="22"/>
        </w:rPr>
        <w:t xml:space="preserve">. </w:t>
      </w:r>
      <w:r w:rsidRPr="00015890">
        <w:rPr>
          <w:i/>
          <w:sz w:val="22"/>
          <w:szCs w:val="22"/>
        </w:rPr>
        <w:t xml:space="preserve">BMJ: British Medical Journal </w:t>
      </w:r>
      <w:r w:rsidRPr="00015890">
        <w:rPr>
          <w:sz w:val="22"/>
          <w:szCs w:val="22"/>
        </w:rPr>
        <w:t xml:space="preserve">2012, </w:t>
      </w:r>
      <w:r w:rsidRPr="00015890">
        <w:rPr>
          <w:b/>
          <w:sz w:val="22"/>
          <w:szCs w:val="22"/>
        </w:rPr>
        <w:t>345</w:t>
      </w:r>
      <w:r w:rsidRPr="00015890">
        <w:rPr>
          <w:sz w:val="22"/>
          <w:szCs w:val="22"/>
        </w:rPr>
        <w:t>.</w:t>
      </w:r>
    </w:p>
    <w:p w14:paraId="031934A3" w14:textId="77777777" w:rsidR="008F3B85" w:rsidRPr="00015890" w:rsidRDefault="008F3B85" w:rsidP="008F3B85">
      <w:pPr>
        <w:pStyle w:val="EndNoteBibliography"/>
        <w:ind w:left="720" w:hanging="720"/>
        <w:rPr>
          <w:sz w:val="22"/>
          <w:szCs w:val="22"/>
        </w:rPr>
      </w:pPr>
      <w:r w:rsidRPr="00015890">
        <w:rPr>
          <w:sz w:val="22"/>
          <w:szCs w:val="22"/>
        </w:rPr>
        <w:t>16.</w:t>
      </w:r>
      <w:r w:rsidRPr="00015890">
        <w:rPr>
          <w:sz w:val="22"/>
          <w:szCs w:val="22"/>
        </w:rPr>
        <w:tab/>
        <w:t>Kohrt BA, Jordans MJD, Turner EL, Rai S, Gurung D, Dhakal M, Bhardwaj A, Lamichhane J, Singla DR, Lund C</w:t>
      </w:r>
      <w:r w:rsidRPr="00015890">
        <w:rPr>
          <w:i/>
          <w:sz w:val="22"/>
          <w:szCs w:val="22"/>
        </w:rPr>
        <w:t xml:space="preserve"> et al</w:t>
      </w:r>
      <w:r w:rsidRPr="00015890">
        <w:rPr>
          <w:sz w:val="22"/>
          <w:szCs w:val="22"/>
        </w:rPr>
        <w:t xml:space="preserve">: </w:t>
      </w:r>
      <w:r w:rsidRPr="00015890">
        <w:rPr>
          <w:b/>
          <w:sz w:val="22"/>
          <w:szCs w:val="22"/>
        </w:rPr>
        <w:t>Collaboration with people with lived experience of mental illness to reduce stigma and improve primary care services in Nepal: a pilot cluster randomized clinical trial</w:t>
      </w:r>
      <w:r w:rsidRPr="00015890">
        <w:rPr>
          <w:sz w:val="22"/>
          <w:szCs w:val="22"/>
        </w:rPr>
        <w:t xml:space="preserve">. </w:t>
      </w:r>
      <w:r w:rsidRPr="00015890">
        <w:rPr>
          <w:i/>
          <w:sz w:val="22"/>
          <w:szCs w:val="22"/>
        </w:rPr>
        <w:t xml:space="preserve">JAMA Network Open </w:t>
      </w:r>
      <w:r w:rsidRPr="00015890">
        <w:rPr>
          <w:sz w:val="22"/>
          <w:szCs w:val="22"/>
        </w:rPr>
        <w:t xml:space="preserve">2021, </w:t>
      </w:r>
      <w:r w:rsidRPr="00015890">
        <w:rPr>
          <w:b/>
          <w:sz w:val="22"/>
          <w:szCs w:val="22"/>
        </w:rPr>
        <w:t>4</w:t>
      </w:r>
      <w:r w:rsidRPr="00015890">
        <w:rPr>
          <w:sz w:val="22"/>
          <w:szCs w:val="22"/>
        </w:rPr>
        <w:t>(11):e2131475.</w:t>
      </w:r>
    </w:p>
    <w:p w14:paraId="7A6B3435" w14:textId="77777777" w:rsidR="008F3B85" w:rsidRPr="00015890" w:rsidRDefault="008F3B85" w:rsidP="008F3B85">
      <w:pPr>
        <w:pStyle w:val="EndNoteBibliography"/>
        <w:ind w:left="720" w:hanging="720"/>
        <w:rPr>
          <w:sz w:val="22"/>
          <w:szCs w:val="22"/>
        </w:rPr>
      </w:pPr>
      <w:r w:rsidRPr="00015890">
        <w:rPr>
          <w:sz w:val="22"/>
          <w:szCs w:val="22"/>
        </w:rPr>
        <w:t>17.</w:t>
      </w:r>
      <w:r w:rsidRPr="00015890">
        <w:rPr>
          <w:sz w:val="22"/>
          <w:szCs w:val="22"/>
        </w:rPr>
        <w:tab/>
        <w:t xml:space="preserve">Fiero MH, Hsu CH, Bell ML: </w:t>
      </w:r>
      <w:r w:rsidRPr="00015890">
        <w:rPr>
          <w:b/>
          <w:sz w:val="22"/>
          <w:szCs w:val="22"/>
        </w:rPr>
        <w:t>A pattern-mixture model approach for handling missing continuous outcome data in longitudinal cluster randomized trials</w:t>
      </w:r>
      <w:r w:rsidRPr="00015890">
        <w:rPr>
          <w:sz w:val="22"/>
          <w:szCs w:val="22"/>
        </w:rPr>
        <w:t xml:space="preserve">. </w:t>
      </w:r>
      <w:r w:rsidRPr="00015890">
        <w:rPr>
          <w:i/>
          <w:sz w:val="22"/>
          <w:szCs w:val="22"/>
        </w:rPr>
        <w:t xml:space="preserve">Stat Med </w:t>
      </w:r>
      <w:r w:rsidRPr="00015890">
        <w:rPr>
          <w:sz w:val="22"/>
          <w:szCs w:val="22"/>
        </w:rPr>
        <w:t xml:space="preserve">2017, </w:t>
      </w:r>
      <w:r w:rsidRPr="00015890">
        <w:rPr>
          <w:b/>
          <w:sz w:val="22"/>
          <w:szCs w:val="22"/>
        </w:rPr>
        <w:t>36</w:t>
      </w:r>
      <w:r w:rsidRPr="00015890">
        <w:rPr>
          <w:sz w:val="22"/>
          <w:szCs w:val="22"/>
        </w:rPr>
        <w:t>(26):4094-4105.</w:t>
      </w:r>
    </w:p>
    <w:p w14:paraId="6A492287" w14:textId="77777777" w:rsidR="008F3B85" w:rsidRPr="00015890" w:rsidRDefault="008F3B85" w:rsidP="008F3B85">
      <w:pPr>
        <w:pStyle w:val="EndNoteBibliography"/>
        <w:ind w:left="720" w:hanging="720"/>
        <w:rPr>
          <w:sz w:val="22"/>
          <w:szCs w:val="22"/>
        </w:rPr>
      </w:pPr>
      <w:r w:rsidRPr="00015890">
        <w:rPr>
          <w:sz w:val="22"/>
          <w:szCs w:val="22"/>
        </w:rPr>
        <w:t>18.</w:t>
      </w:r>
      <w:r w:rsidRPr="00015890">
        <w:rPr>
          <w:sz w:val="22"/>
          <w:szCs w:val="22"/>
        </w:rPr>
        <w:tab/>
        <w:t xml:space="preserve">Kohrt BA, Schafer A, Willhoite A, van't Hof E, Pedersen GA, Watts S, Ottman K, Carswell K, van Ommeren M: </w:t>
      </w:r>
      <w:r w:rsidRPr="00015890">
        <w:rPr>
          <w:b/>
          <w:sz w:val="22"/>
          <w:szCs w:val="22"/>
        </w:rPr>
        <w:t>Ensuring Quality in Psychological Support (WHO EQUIP): developing a competent global workforce</w:t>
      </w:r>
      <w:r w:rsidRPr="00015890">
        <w:rPr>
          <w:sz w:val="22"/>
          <w:szCs w:val="22"/>
        </w:rPr>
        <w:t xml:space="preserve">. </w:t>
      </w:r>
      <w:r w:rsidRPr="00015890">
        <w:rPr>
          <w:i/>
          <w:sz w:val="22"/>
          <w:szCs w:val="22"/>
        </w:rPr>
        <w:t xml:space="preserve">World Psychiatry </w:t>
      </w:r>
      <w:r w:rsidRPr="00015890">
        <w:rPr>
          <w:sz w:val="22"/>
          <w:szCs w:val="22"/>
        </w:rPr>
        <w:t xml:space="preserve">2020, </w:t>
      </w:r>
      <w:r w:rsidRPr="00015890">
        <w:rPr>
          <w:b/>
          <w:sz w:val="22"/>
          <w:szCs w:val="22"/>
        </w:rPr>
        <w:t>19</w:t>
      </w:r>
      <w:r w:rsidRPr="00015890">
        <w:rPr>
          <w:sz w:val="22"/>
          <w:szCs w:val="22"/>
        </w:rPr>
        <w:t>(1):115-116.</w:t>
      </w:r>
    </w:p>
    <w:p w14:paraId="41720502" w14:textId="34BF3635" w:rsidR="008F3B85" w:rsidRDefault="008F3B85">
      <w:r w:rsidRPr="00015890">
        <w:rPr>
          <w:sz w:val="22"/>
          <w:szCs w:val="22"/>
        </w:rPr>
        <w:fldChar w:fldCharType="end"/>
      </w:r>
    </w:p>
    <w:sectPr w:rsidR="008F3B85" w:rsidSect="00F202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F0D06"/>
    <w:multiLevelType w:val="hybridMultilevel"/>
    <w:tmpl w:val="C3F04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8830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sychiat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0v2pxro500rte5pd0pvztksdwapad2rtaa&quot;&gt;Kohrt_Endnote8_Full-Converted&lt;record-ids&gt;&lt;item&gt;18434&lt;/item&gt;&lt;item&gt;19548&lt;/item&gt;&lt;item&gt;19953&lt;/item&gt;&lt;item&gt;20820&lt;/item&gt;&lt;item&gt;21869&lt;/item&gt;&lt;item&gt;21905&lt;/item&gt;&lt;item&gt;21951&lt;/item&gt;&lt;item&gt;22039&lt;/item&gt;&lt;item&gt;22106&lt;/item&gt;&lt;item&gt;22615&lt;/item&gt;&lt;item&gt;22619&lt;/item&gt;&lt;item&gt;23271&lt;/item&gt;&lt;item&gt;23275&lt;/item&gt;&lt;item&gt;24074&lt;/item&gt;&lt;item&gt;24486&lt;/item&gt;&lt;item&gt;24976&lt;/item&gt;&lt;item&gt;25074&lt;/item&gt;&lt;item&gt;25077&lt;/item&gt;&lt;/record-ids&gt;&lt;/item&gt;&lt;/Libraries&gt;"/>
    <w:docVar w:name="Total_Editing_Time" w:val="17"/>
  </w:docVars>
  <w:rsids>
    <w:rsidRoot w:val="005F1907"/>
    <w:rsid w:val="00015890"/>
    <w:rsid w:val="00031642"/>
    <w:rsid w:val="000331BE"/>
    <w:rsid w:val="000531B5"/>
    <w:rsid w:val="000926D7"/>
    <w:rsid w:val="000F7B74"/>
    <w:rsid w:val="00114042"/>
    <w:rsid w:val="00127B1F"/>
    <w:rsid w:val="00160284"/>
    <w:rsid w:val="00160348"/>
    <w:rsid w:val="00172549"/>
    <w:rsid w:val="001F66B7"/>
    <w:rsid w:val="002640B3"/>
    <w:rsid w:val="00292CEC"/>
    <w:rsid w:val="0029374A"/>
    <w:rsid w:val="00296C42"/>
    <w:rsid w:val="002F3534"/>
    <w:rsid w:val="0033041A"/>
    <w:rsid w:val="00346C71"/>
    <w:rsid w:val="00366047"/>
    <w:rsid w:val="003C00DF"/>
    <w:rsid w:val="003F4A4B"/>
    <w:rsid w:val="0042482F"/>
    <w:rsid w:val="004A2C59"/>
    <w:rsid w:val="00505B2B"/>
    <w:rsid w:val="00523D72"/>
    <w:rsid w:val="00526182"/>
    <w:rsid w:val="00566403"/>
    <w:rsid w:val="005844F9"/>
    <w:rsid w:val="005A3B3D"/>
    <w:rsid w:val="005B5A19"/>
    <w:rsid w:val="005D195A"/>
    <w:rsid w:val="005E085D"/>
    <w:rsid w:val="005E3C2C"/>
    <w:rsid w:val="005F1907"/>
    <w:rsid w:val="00633742"/>
    <w:rsid w:val="00641647"/>
    <w:rsid w:val="00661F69"/>
    <w:rsid w:val="006949B2"/>
    <w:rsid w:val="006A3064"/>
    <w:rsid w:val="006A653B"/>
    <w:rsid w:val="006D2868"/>
    <w:rsid w:val="006D736B"/>
    <w:rsid w:val="0070071C"/>
    <w:rsid w:val="00705E70"/>
    <w:rsid w:val="00727A96"/>
    <w:rsid w:val="0074181A"/>
    <w:rsid w:val="00756AB9"/>
    <w:rsid w:val="00793FD6"/>
    <w:rsid w:val="007A13A2"/>
    <w:rsid w:val="007A5958"/>
    <w:rsid w:val="007B0361"/>
    <w:rsid w:val="007D1204"/>
    <w:rsid w:val="008175E1"/>
    <w:rsid w:val="008212B8"/>
    <w:rsid w:val="00836265"/>
    <w:rsid w:val="008B601D"/>
    <w:rsid w:val="008F016D"/>
    <w:rsid w:val="008F148F"/>
    <w:rsid w:val="008F3B85"/>
    <w:rsid w:val="008F6B4D"/>
    <w:rsid w:val="009461DE"/>
    <w:rsid w:val="009B0D85"/>
    <w:rsid w:val="009B2CDE"/>
    <w:rsid w:val="009C45FF"/>
    <w:rsid w:val="009F77D6"/>
    <w:rsid w:val="00A361FC"/>
    <w:rsid w:val="00A91043"/>
    <w:rsid w:val="00A96FC8"/>
    <w:rsid w:val="00AA3FF9"/>
    <w:rsid w:val="00AC7AD0"/>
    <w:rsid w:val="00AE3BC8"/>
    <w:rsid w:val="00AF6E11"/>
    <w:rsid w:val="00B25BE4"/>
    <w:rsid w:val="00B3055B"/>
    <w:rsid w:val="00B56E37"/>
    <w:rsid w:val="00BB31BB"/>
    <w:rsid w:val="00BB35C1"/>
    <w:rsid w:val="00BD1EA3"/>
    <w:rsid w:val="00BD7C46"/>
    <w:rsid w:val="00BE3431"/>
    <w:rsid w:val="00C01696"/>
    <w:rsid w:val="00C2230E"/>
    <w:rsid w:val="00C234BF"/>
    <w:rsid w:val="00C27617"/>
    <w:rsid w:val="00C35D66"/>
    <w:rsid w:val="00C619C2"/>
    <w:rsid w:val="00C64D9B"/>
    <w:rsid w:val="00C665ED"/>
    <w:rsid w:val="00D67075"/>
    <w:rsid w:val="00DC50E4"/>
    <w:rsid w:val="00DE47FE"/>
    <w:rsid w:val="00DE68B5"/>
    <w:rsid w:val="00E16070"/>
    <w:rsid w:val="00E17CAB"/>
    <w:rsid w:val="00ED11B5"/>
    <w:rsid w:val="00F20271"/>
    <w:rsid w:val="00F662AA"/>
    <w:rsid w:val="00F6715C"/>
    <w:rsid w:val="00F968E6"/>
    <w:rsid w:val="00FA4594"/>
    <w:rsid w:val="00FB30E0"/>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ED83"/>
  <w15:docId w15:val="{4DEA4676-24FD-494D-8B60-EDF2281F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190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F19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907"/>
    <w:rPr>
      <w:rFonts w:asciiTheme="majorHAnsi" w:eastAsiaTheme="majorEastAsia" w:hAnsiTheme="majorHAnsi" w:cstheme="majorBidi"/>
      <w:color w:val="2F5496" w:themeColor="accent1" w:themeShade="BF"/>
      <w:sz w:val="32"/>
      <w:szCs w:val="32"/>
      <w:lang w:eastAsia="en-GB"/>
    </w:rPr>
  </w:style>
  <w:style w:type="paragraph" w:styleId="Title">
    <w:name w:val="Title"/>
    <w:basedOn w:val="Normal"/>
    <w:next w:val="Normal"/>
    <w:link w:val="TitleChar"/>
    <w:uiPriority w:val="10"/>
    <w:qFormat/>
    <w:rsid w:val="005F190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907"/>
    <w:rPr>
      <w:rFonts w:asciiTheme="majorHAnsi" w:eastAsiaTheme="majorEastAsia" w:hAnsiTheme="majorHAnsi" w:cstheme="majorBidi"/>
      <w:spacing w:val="-10"/>
      <w:kern w:val="28"/>
      <w:sz w:val="56"/>
      <w:szCs w:val="56"/>
      <w:lang w:eastAsia="en-GB"/>
    </w:rPr>
  </w:style>
  <w:style w:type="table" w:styleId="TableGrid">
    <w:name w:val="Table Grid"/>
    <w:basedOn w:val="TableNormal"/>
    <w:uiPriority w:val="39"/>
    <w:rsid w:val="00756AB9"/>
    <w:pPr>
      <w:spacing w:after="0" w:line="240" w:lineRule="auto"/>
    </w:pPr>
    <w:rPr>
      <w:rFonts w:ascii="Times New Roman" w:eastAsia="Times New Roman" w:hAnsi="Times New Roman"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6AB9"/>
    <w:pPr>
      <w:ind w:left="720"/>
      <w:contextualSpacing/>
    </w:pPr>
  </w:style>
  <w:style w:type="paragraph" w:customStyle="1" w:styleId="EndNoteBibliographyTitle">
    <w:name w:val="EndNote Bibliography Title"/>
    <w:basedOn w:val="Normal"/>
    <w:link w:val="EndNoteBibliographyTitleChar"/>
    <w:rsid w:val="008F3B85"/>
    <w:pPr>
      <w:jc w:val="center"/>
    </w:pPr>
    <w:rPr>
      <w:rFonts w:ascii="Arial" w:hAnsi="Arial" w:cs="Arial"/>
      <w:noProof/>
      <w:lang w:val="en-GB"/>
    </w:rPr>
  </w:style>
  <w:style w:type="character" w:customStyle="1" w:styleId="EndNoteBibliographyTitleChar">
    <w:name w:val="EndNote Bibliography Title Char"/>
    <w:basedOn w:val="DefaultParagraphFont"/>
    <w:link w:val="EndNoteBibliographyTitle"/>
    <w:rsid w:val="008F3B85"/>
    <w:rPr>
      <w:rFonts w:ascii="Arial" w:eastAsia="Times New Roman" w:hAnsi="Arial" w:cs="Arial"/>
      <w:noProof/>
      <w:sz w:val="24"/>
      <w:szCs w:val="24"/>
      <w:lang w:val="en-GB" w:eastAsia="en-GB"/>
    </w:rPr>
  </w:style>
  <w:style w:type="paragraph" w:customStyle="1" w:styleId="EndNoteBibliography">
    <w:name w:val="EndNote Bibliography"/>
    <w:basedOn w:val="Normal"/>
    <w:link w:val="EndNoteBibliographyChar"/>
    <w:rsid w:val="008F3B85"/>
    <w:rPr>
      <w:rFonts w:ascii="Arial" w:hAnsi="Arial" w:cs="Arial"/>
      <w:noProof/>
      <w:lang w:val="en-GB"/>
    </w:rPr>
  </w:style>
  <w:style w:type="character" w:customStyle="1" w:styleId="EndNoteBibliographyChar">
    <w:name w:val="EndNote Bibliography Char"/>
    <w:basedOn w:val="DefaultParagraphFont"/>
    <w:link w:val="EndNoteBibliography"/>
    <w:rsid w:val="008F3B85"/>
    <w:rPr>
      <w:rFonts w:ascii="Arial" w:eastAsia="Times New Roman" w:hAnsi="Arial" w:cs="Arial"/>
      <w:noProof/>
      <w:sz w:val="24"/>
      <w:szCs w:val="24"/>
      <w:lang w:val="en-GB" w:eastAsia="en-GB"/>
    </w:rPr>
  </w:style>
  <w:style w:type="paragraph" w:styleId="BalloonText">
    <w:name w:val="Balloon Text"/>
    <w:basedOn w:val="Normal"/>
    <w:link w:val="BalloonTextChar"/>
    <w:uiPriority w:val="99"/>
    <w:semiHidden/>
    <w:unhideWhenUsed/>
    <w:rsid w:val="008F016D"/>
    <w:rPr>
      <w:rFonts w:ascii="Tahoma" w:hAnsi="Tahoma" w:cs="Tahoma"/>
      <w:sz w:val="16"/>
      <w:szCs w:val="16"/>
    </w:rPr>
  </w:style>
  <w:style w:type="character" w:customStyle="1" w:styleId="BalloonTextChar">
    <w:name w:val="Balloon Text Char"/>
    <w:basedOn w:val="DefaultParagraphFont"/>
    <w:link w:val="BalloonText"/>
    <w:uiPriority w:val="99"/>
    <w:semiHidden/>
    <w:rsid w:val="008F016D"/>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FB30E0"/>
    <w:rPr>
      <w:sz w:val="16"/>
      <w:szCs w:val="16"/>
    </w:rPr>
  </w:style>
  <w:style w:type="paragraph" w:styleId="CommentText">
    <w:name w:val="annotation text"/>
    <w:basedOn w:val="Normal"/>
    <w:link w:val="CommentTextChar"/>
    <w:uiPriority w:val="99"/>
    <w:unhideWhenUsed/>
    <w:rsid w:val="00FB30E0"/>
    <w:rPr>
      <w:sz w:val="20"/>
      <w:szCs w:val="20"/>
    </w:rPr>
  </w:style>
  <w:style w:type="character" w:customStyle="1" w:styleId="CommentTextChar">
    <w:name w:val="Comment Text Char"/>
    <w:basedOn w:val="DefaultParagraphFont"/>
    <w:link w:val="CommentText"/>
    <w:uiPriority w:val="99"/>
    <w:rsid w:val="00FB30E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B30E0"/>
    <w:rPr>
      <w:b/>
      <w:bCs/>
    </w:rPr>
  </w:style>
  <w:style w:type="character" w:customStyle="1" w:styleId="CommentSubjectChar">
    <w:name w:val="Comment Subject Char"/>
    <w:basedOn w:val="CommentTextChar"/>
    <w:link w:val="CommentSubject"/>
    <w:uiPriority w:val="99"/>
    <w:semiHidden/>
    <w:rsid w:val="00FB30E0"/>
    <w:rPr>
      <w:rFonts w:ascii="Times New Roman" w:eastAsia="Times New Roman" w:hAnsi="Times New Roman" w:cs="Times New Roman"/>
      <w:b/>
      <w:bCs/>
      <w:sz w:val="20"/>
      <w:szCs w:val="20"/>
      <w:lang w:eastAsia="en-GB"/>
    </w:rPr>
  </w:style>
  <w:style w:type="paragraph" w:styleId="Revision">
    <w:name w:val="Revision"/>
    <w:hidden/>
    <w:uiPriority w:val="99"/>
    <w:semiHidden/>
    <w:rsid w:val="00727A96"/>
    <w:pPr>
      <w:spacing w:after="0"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5D195A"/>
    <w:rPr>
      <w:color w:val="808080"/>
    </w:rPr>
  </w:style>
  <w:style w:type="paragraph" w:styleId="NormalWeb">
    <w:name w:val="Normal (Web)"/>
    <w:basedOn w:val="Normal"/>
    <w:uiPriority w:val="99"/>
    <w:semiHidden/>
    <w:unhideWhenUsed/>
    <w:rsid w:val="00C234BF"/>
    <w:pPr>
      <w:spacing w:before="100" w:beforeAutospacing="1" w:after="100" w:afterAutospacing="1"/>
    </w:pPr>
    <w:rPr>
      <w:lang w:eastAsia="en-US"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45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22BA-8090-43CD-AE73-FB70E8485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8741</Words>
  <Characters>49829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Kohrt</dc:creator>
  <cp:keywords/>
  <dc:description/>
  <cp:lastModifiedBy>Brandon Kohrt</cp:lastModifiedBy>
  <cp:revision>3</cp:revision>
  <dcterms:created xsi:type="dcterms:W3CDTF">2022-05-19T16:38:00Z</dcterms:created>
  <dcterms:modified xsi:type="dcterms:W3CDTF">2022-05-19T16:39:00Z</dcterms:modified>
</cp:coreProperties>
</file>