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B1941A" w14:textId="07A53CAA" w:rsidR="004379C1" w:rsidRDefault="00F36CD9" w:rsidP="00531912">
      <w:pPr>
        <w:pStyle w:val="Heading1"/>
        <w:rPr>
          <w:lang w:val="en-US"/>
        </w:rPr>
      </w:pPr>
      <w:r>
        <w:rPr>
          <w:lang w:val="en-US"/>
        </w:rPr>
        <w:t>Additional file 1</w:t>
      </w:r>
      <w:bookmarkStart w:id="0" w:name="_GoBack"/>
      <w:bookmarkEnd w:id="0"/>
    </w:p>
    <w:p w14:paraId="718B5A25" w14:textId="036385D4" w:rsidR="00025579" w:rsidRDefault="00025579" w:rsidP="00025579">
      <w:pPr>
        <w:rPr>
          <w:rFonts w:ascii="Calibri" w:hAnsi="Calibri"/>
          <w:sz w:val="22"/>
          <w:szCs w:val="22"/>
        </w:rPr>
      </w:pPr>
      <w:r w:rsidRPr="00DE6164">
        <w:rPr>
          <w:rFonts w:ascii="Calibri" w:hAnsi="Calibri"/>
          <w:b/>
          <w:sz w:val="22"/>
          <w:szCs w:val="22"/>
        </w:rPr>
        <w:t>Table of Contents</w:t>
      </w:r>
      <w:r w:rsidRPr="00DE6164">
        <w:rPr>
          <w:rFonts w:ascii="Calibri" w:hAnsi="Calibri"/>
          <w:b/>
          <w:sz w:val="22"/>
          <w:szCs w:val="22"/>
        </w:rPr>
        <w:tab/>
      </w:r>
      <w:r w:rsidRPr="00DE6164">
        <w:rPr>
          <w:rFonts w:ascii="Calibri" w:hAnsi="Calibri"/>
          <w:sz w:val="22"/>
          <w:szCs w:val="22"/>
        </w:rPr>
        <w:tab/>
      </w:r>
      <w:r w:rsidRPr="00DE6164">
        <w:rPr>
          <w:rFonts w:ascii="Calibri" w:hAnsi="Calibri"/>
          <w:sz w:val="22"/>
          <w:szCs w:val="22"/>
        </w:rPr>
        <w:tab/>
      </w:r>
      <w:r w:rsidRPr="00DE6164">
        <w:rPr>
          <w:rFonts w:ascii="Calibri" w:hAnsi="Calibri"/>
          <w:sz w:val="22"/>
          <w:szCs w:val="22"/>
        </w:rPr>
        <w:tab/>
      </w:r>
      <w:r w:rsidRPr="00DE6164">
        <w:rPr>
          <w:rFonts w:ascii="Calibri" w:hAnsi="Calibri"/>
          <w:sz w:val="22"/>
          <w:szCs w:val="22"/>
        </w:rPr>
        <w:tab/>
      </w:r>
      <w:r w:rsidRPr="00DE6164">
        <w:rPr>
          <w:rFonts w:ascii="Calibri" w:hAnsi="Calibri"/>
          <w:sz w:val="22"/>
          <w:szCs w:val="22"/>
        </w:rPr>
        <w:tab/>
      </w:r>
      <w:r w:rsidRPr="00DE6164">
        <w:rPr>
          <w:rFonts w:ascii="Calibri" w:hAnsi="Calibri"/>
          <w:sz w:val="22"/>
          <w:szCs w:val="22"/>
        </w:rPr>
        <w:tab/>
      </w:r>
      <w:r>
        <w:rPr>
          <w:rFonts w:ascii="Calibri" w:hAnsi="Calibri"/>
          <w:sz w:val="22"/>
          <w:szCs w:val="22"/>
        </w:rPr>
        <w:tab/>
      </w:r>
      <w:r>
        <w:rPr>
          <w:rFonts w:ascii="Calibri" w:hAnsi="Calibri"/>
          <w:sz w:val="22"/>
          <w:szCs w:val="22"/>
        </w:rPr>
        <w:tab/>
      </w:r>
      <w:r w:rsidRPr="00DE6164">
        <w:rPr>
          <w:rFonts w:ascii="Calibri" w:hAnsi="Calibri"/>
          <w:sz w:val="22"/>
          <w:szCs w:val="22"/>
        </w:rPr>
        <w:tab/>
      </w:r>
      <w:r w:rsidR="002B6EA9">
        <w:rPr>
          <w:rFonts w:ascii="Calibri" w:hAnsi="Calibri"/>
          <w:sz w:val="22"/>
          <w:szCs w:val="22"/>
        </w:rPr>
        <w:t xml:space="preserve">        </w:t>
      </w:r>
      <w:r w:rsidRPr="00DE6164">
        <w:rPr>
          <w:rFonts w:ascii="Calibri" w:hAnsi="Calibri"/>
          <w:sz w:val="22"/>
          <w:szCs w:val="22"/>
        </w:rPr>
        <w:t>Page</w:t>
      </w:r>
    </w:p>
    <w:p w14:paraId="0A0E4032" w14:textId="77777777" w:rsidR="00025579" w:rsidRPr="00DE6164" w:rsidRDefault="00025579" w:rsidP="003852CD">
      <w:pPr>
        <w:tabs>
          <w:tab w:val="left" w:pos="8647"/>
        </w:tabs>
        <w:ind w:right="-7"/>
        <w:rPr>
          <w:rFonts w:ascii="Calibri" w:hAnsi="Calibri"/>
          <w:sz w:val="22"/>
          <w:szCs w:val="22"/>
        </w:rPr>
      </w:pPr>
    </w:p>
    <w:p w14:paraId="5FC18738" w14:textId="4B558532" w:rsidR="00025579" w:rsidRDefault="00025579" w:rsidP="003852CD">
      <w:pPr>
        <w:pStyle w:val="ListParagraph"/>
        <w:numPr>
          <w:ilvl w:val="0"/>
          <w:numId w:val="9"/>
        </w:numPr>
        <w:tabs>
          <w:tab w:val="left" w:pos="8931"/>
        </w:tabs>
        <w:ind w:left="709" w:right="-149"/>
        <w:rPr>
          <w:rFonts w:ascii="Calibri" w:hAnsi="Calibri"/>
          <w:sz w:val="22"/>
          <w:szCs w:val="22"/>
        </w:rPr>
      </w:pPr>
      <w:r>
        <w:rPr>
          <w:rFonts w:ascii="Calibri" w:hAnsi="Calibri"/>
          <w:b/>
          <w:sz w:val="22"/>
          <w:szCs w:val="22"/>
        </w:rPr>
        <w:t xml:space="preserve">eFigure 1. </w:t>
      </w:r>
      <w:r>
        <w:rPr>
          <w:rFonts w:ascii="Calibri" w:hAnsi="Calibri"/>
          <w:sz w:val="22"/>
          <w:szCs w:val="22"/>
        </w:rPr>
        <w:t>Flow diagram</w:t>
      </w:r>
      <w:r w:rsidR="003852CD">
        <w:rPr>
          <w:rFonts w:ascii="Calibri" w:hAnsi="Calibri"/>
          <w:sz w:val="22"/>
          <w:szCs w:val="22"/>
        </w:rPr>
        <w:tab/>
        <w:t xml:space="preserve">        2</w:t>
      </w:r>
    </w:p>
    <w:p w14:paraId="1E6D4D02" w14:textId="77777777" w:rsidR="00025579" w:rsidRPr="00025579" w:rsidRDefault="00025579" w:rsidP="00025579">
      <w:pPr>
        <w:rPr>
          <w:rFonts w:ascii="Calibri" w:hAnsi="Calibri"/>
          <w:sz w:val="22"/>
          <w:szCs w:val="22"/>
        </w:rPr>
      </w:pPr>
    </w:p>
    <w:p w14:paraId="622FFB26" w14:textId="79EBA7A3" w:rsidR="00025579" w:rsidRPr="00DE6164" w:rsidRDefault="00025579" w:rsidP="003852CD">
      <w:pPr>
        <w:pStyle w:val="ListParagraph"/>
        <w:numPr>
          <w:ilvl w:val="0"/>
          <w:numId w:val="9"/>
        </w:numPr>
        <w:ind w:right="134"/>
        <w:rPr>
          <w:rFonts w:ascii="Calibri" w:hAnsi="Calibri"/>
          <w:sz w:val="22"/>
          <w:szCs w:val="22"/>
        </w:rPr>
      </w:pPr>
      <w:r w:rsidRPr="005D75CD">
        <w:rPr>
          <w:rFonts w:ascii="Calibri" w:hAnsi="Calibri"/>
          <w:b/>
          <w:sz w:val="22"/>
          <w:szCs w:val="22"/>
        </w:rPr>
        <w:t>eMethods 1.</w:t>
      </w:r>
      <w:r>
        <w:rPr>
          <w:rFonts w:ascii="Calibri" w:hAnsi="Calibri"/>
          <w:sz w:val="22"/>
          <w:szCs w:val="22"/>
        </w:rPr>
        <w:t xml:space="preserve"> </w:t>
      </w:r>
      <w:r w:rsidRPr="00DE6164">
        <w:rPr>
          <w:rFonts w:ascii="Calibri" w:hAnsi="Calibri"/>
          <w:sz w:val="22"/>
          <w:szCs w:val="22"/>
        </w:rPr>
        <w:t>Search strategies</w:t>
      </w:r>
      <w:r>
        <w:rPr>
          <w:rFonts w:ascii="Calibri" w:hAnsi="Calibri"/>
          <w:sz w:val="22"/>
          <w:szCs w:val="22"/>
        </w:rPr>
        <w:tab/>
      </w:r>
      <w:r>
        <w:rPr>
          <w:rFonts w:ascii="Calibri" w:hAnsi="Calibri"/>
          <w:sz w:val="22"/>
          <w:szCs w:val="22"/>
        </w:rPr>
        <w:tab/>
      </w:r>
      <w:r>
        <w:rPr>
          <w:rFonts w:ascii="Calibri" w:hAnsi="Calibri"/>
          <w:sz w:val="22"/>
          <w:szCs w:val="22"/>
        </w:rPr>
        <w:tab/>
      </w:r>
      <w:r w:rsidR="003852CD">
        <w:rPr>
          <w:rFonts w:ascii="Calibri" w:hAnsi="Calibri"/>
          <w:sz w:val="22"/>
          <w:szCs w:val="22"/>
        </w:rPr>
        <w:tab/>
      </w:r>
      <w:r w:rsidR="003852CD">
        <w:rPr>
          <w:rFonts w:ascii="Calibri" w:hAnsi="Calibri"/>
          <w:sz w:val="22"/>
          <w:szCs w:val="22"/>
        </w:rPr>
        <w:tab/>
      </w:r>
      <w:r w:rsidR="003852CD">
        <w:rPr>
          <w:rFonts w:ascii="Calibri" w:hAnsi="Calibri"/>
          <w:sz w:val="22"/>
          <w:szCs w:val="22"/>
        </w:rPr>
        <w:tab/>
      </w:r>
      <w:r w:rsidR="003852CD">
        <w:rPr>
          <w:rFonts w:ascii="Calibri" w:hAnsi="Calibri"/>
          <w:sz w:val="22"/>
          <w:szCs w:val="22"/>
        </w:rPr>
        <w:tab/>
      </w:r>
      <w:r w:rsidR="003852CD">
        <w:rPr>
          <w:rFonts w:ascii="Calibri" w:hAnsi="Calibri"/>
          <w:sz w:val="22"/>
          <w:szCs w:val="22"/>
        </w:rPr>
        <w:tab/>
        <w:t xml:space="preserve">              3</w:t>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p>
    <w:p w14:paraId="65C2CE33" w14:textId="77777777" w:rsidR="00025579" w:rsidRPr="00025579" w:rsidRDefault="00025579" w:rsidP="00025579">
      <w:pPr>
        <w:pStyle w:val="ListParagraph"/>
        <w:numPr>
          <w:ilvl w:val="1"/>
          <w:numId w:val="10"/>
        </w:numPr>
        <w:rPr>
          <w:rFonts w:ascii="Calibri" w:hAnsi="Calibri"/>
          <w:sz w:val="22"/>
          <w:szCs w:val="22"/>
          <w:lang w:val="en-US"/>
        </w:rPr>
      </w:pPr>
      <w:r w:rsidRPr="00025579">
        <w:rPr>
          <w:rFonts w:ascii="Calibri" w:hAnsi="Calibri"/>
          <w:sz w:val="22"/>
          <w:szCs w:val="22"/>
          <w:lang w:val="en-US"/>
        </w:rPr>
        <w:t xml:space="preserve">Search strategy in </w:t>
      </w:r>
      <w:r>
        <w:rPr>
          <w:rFonts w:ascii="Calibri" w:hAnsi="Calibri"/>
          <w:sz w:val="22"/>
          <w:szCs w:val="22"/>
          <w:lang w:val="en-US"/>
        </w:rPr>
        <w:t>Scopus</w:t>
      </w:r>
      <w:r w:rsidRPr="00025579">
        <w:rPr>
          <w:rFonts w:ascii="Calibri" w:hAnsi="Calibri"/>
          <w:sz w:val="22"/>
          <w:szCs w:val="22"/>
          <w:lang w:val="en-US"/>
        </w:rPr>
        <w:tab/>
      </w:r>
      <w:r w:rsidRPr="00025579">
        <w:rPr>
          <w:rFonts w:ascii="Calibri" w:hAnsi="Calibri"/>
          <w:sz w:val="22"/>
          <w:szCs w:val="22"/>
          <w:lang w:val="en-US"/>
        </w:rPr>
        <w:tab/>
      </w:r>
      <w:r w:rsidRPr="00025579">
        <w:rPr>
          <w:rFonts w:ascii="Calibri" w:hAnsi="Calibri"/>
          <w:sz w:val="22"/>
          <w:szCs w:val="22"/>
          <w:lang w:val="en-US"/>
        </w:rPr>
        <w:tab/>
      </w:r>
      <w:r w:rsidRPr="00025579">
        <w:rPr>
          <w:rFonts w:ascii="Calibri" w:hAnsi="Calibri"/>
          <w:sz w:val="22"/>
          <w:szCs w:val="22"/>
          <w:lang w:val="en-US"/>
        </w:rPr>
        <w:tab/>
      </w:r>
      <w:r w:rsidRPr="00025579">
        <w:rPr>
          <w:rFonts w:ascii="Calibri" w:hAnsi="Calibri"/>
          <w:sz w:val="22"/>
          <w:szCs w:val="22"/>
          <w:lang w:val="en-US"/>
        </w:rPr>
        <w:tab/>
      </w:r>
      <w:r w:rsidRPr="00025579">
        <w:rPr>
          <w:rFonts w:ascii="Calibri" w:hAnsi="Calibri"/>
          <w:sz w:val="22"/>
          <w:szCs w:val="22"/>
          <w:lang w:val="en-US"/>
        </w:rPr>
        <w:tab/>
      </w:r>
      <w:r>
        <w:rPr>
          <w:rFonts w:ascii="Calibri" w:hAnsi="Calibri"/>
          <w:sz w:val="22"/>
          <w:szCs w:val="22"/>
          <w:lang w:val="en-US"/>
        </w:rPr>
        <w:tab/>
      </w:r>
    </w:p>
    <w:p w14:paraId="7D6D5BDB" w14:textId="77777777" w:rsidR="00025579" w:rsidRPr="00025579" w:rsidRDefault="00025579" w:rsidP="00025579">
      <w:pPr>
        <w:pStyle w:val="ListParagraph"/>
        <w:numPr>
          <w:ilvl w:val="1"/>
          <w:numId w:val="10"/>
        </w:numPr>
        <w:rPr>
          <w:rFonts w:ascii="Calibri" w:hAnsi="Calibri"/>
          <w:sz w:val="22"/>
          <w:szCs w:val="22"/>
          <w:lang w:val="en-US"/>
        </w:rPr>
      </w:pPr>
      <w:r w:rsidRPr="00025579">
        <w:rPr>
          <w:rFonts w:ascii="Calibri" w:hAnsi="Calibri"/>
          <w:sz w:val="22"/>
          <w:szCs w:val="22"/>
          <w:lang w:val="en-US"/>
        </w:rPr>
        <w:t>Search strategy in Ovid</w:t>
      </w:r>
      <w:r>
        <w:rPr>
          <w:rFonts w:ascii="Calibri" w:hAnsi="Calibri"/>
          <w:sz w:val="22"/>
          <w:szCs w:val="22"/>
          <w:lang w:val="en-US"/>
        </w:rPr>
        <w:t xml:space="preserve"> MEDLINE</w:t>
      </w:r>
      <w:r w:rsidRPr="00025579">
        <w:rPr>
          <w:rFonts w:ascii="Calibri" w:hAnsi="Calibri"/>
          <w:sz w:val="22"/>
          <w:szCs w:val="22"/>
          <w:lang w:val="en-US"/>
        </w:rPr>
        <w:tab/>
      </w:r>
      <w:r w:rsidRPr="00025579">
        <w:rPr>
          <w:rFonts w:ascii="Calibri" w:hAnsi="Calibri"/>
          <w:sz w:val="22"/>
          <w:szCs w:val="22"/>
          <w:lang w:val="en-US"/>
        </w:rPr>
        <w:tab/>
      </w:r>
      <w:r w:rsidRPr="00025579">
        <w:rPr>
          <w:rFonts w:ascii="Calibri" w:hAnsi="Calibri"/>
          <w:sz w:val="22"/>
          <w:szCs w:val="22"/>
          <w:lang w:val="en-US"/>
        </w:rPr>
        <w:tab/>
      </w:r>
      <w:r w:rsidRPr="00025579">
        <w:rPr>
          <w:rFonts w:ascii="Calibri" w:hAnsi="Calibri"/>
          <w:sz w:val="22"/>
          <w:szCs w:val="22"/>
          <w:lang w:val="en-US"/>
        </w:rPr>
        <w:tab/>
      </w:r>
      <w:r w:rsidRPr="00025579">
        <w:rPr>
          <w:rFonts w:ascii="Calibri" w:hAnsi="Calibri"/>
          <w:sz w:val="22"/>
          <w:szCs w:val="22"/>
          <w:lang w:val="en-US"/>
        </w:rPr>
        <w:tab/>
      </w:r>
      <w:r w:rsidRPr="00025579">
        <w:rPr>
          <w:rFonts w:ascii="Calibri" w:hAnsi="Calibri"/>
          <w:sz w:val="22"/>
          <w:szCs w:val="22"/>
          <w:lang w:val="en-US"/>
        </w:rPr>
        <w:tab/>
      </w:r>
    </w:p>
    <w:p w14:paraId="6769DEE3" w14:textId="77777777" w:rsidR="00025579" w:rsidRPr="00025579" w:rsidRDefault="00025579" w:rsidP="00025579">
      <w:pPr>
        <w:pStyle w:val="ListParagraph"/>
        <w:ind w:left="1440"/>
        <w:rPr>
          <w:rFonts w:ascii="Calibri" w:hAnsi="Calibri"/>
          <w:sz w:val="22"/>
          <w:szCs w:val="22"/>
          <w:lang w:val="en-US"/>
        </w:rPr>
      </w:pPr>
    </w:p>
    <w:p w14:paraId="49F6DB27" w14:textId="04F8482C" w:rsidR="00025579" w:rsidRPr="002B6EA9" w:rsidRDefault="00025579" w:rsidP="002B6EA9">
      <w:pPr>
        <w:pStyle w:val="ListParagraph"/>
        <w:numPr>
          <w:ilvl w:val="0"/>
          <w:numId w:val="10"/>
        </w:numPr>
        <w:ind w:right="134"/>
        <w:rPr>
          <w:rFonts w:ascii="Calibri" w:hAnsi="Calibri"/>
          <w:sz w:val="22"/>
          <w:szCs w:val="22"/>
          <w:lang w:val="en-US"/>
        </w:rPr>
      </w:pPr>
      <w:r w:rsidRPr="00025579">
        <w:rPr>
          <w:rFonts w:ascii="Calibri" w:hAnsi="Calibri"/>
          <w:b/>
          <w:sz w:val="22"/>
          <w:szCs w:val="22"/>
          <w:lang w:val="en-US"/>
        </w:rPr>
        <w:t>eMethods 2.</w:t>
      </w:r>
      <w:r w:rsidRPr="00025579">
        <w:rPr>
          <w:rFonts w:ascii="Calibri" w:hAnsi="Calibri"/>
          <w:sz w:val="22"/>
          <w:szCs w:val="22"/>
          <w:lang w:val="en-US"/>
        </w:rPr>
        <w:t xml:space="preserve"> </w:t>
      </w:r>
      <w:r>
        <w:rPr>
          <w:rFonts w:ascii="Calibri" w:hAnsi="Calibri"/>
          <w:sz w:val="22"/>
          <w:szCs w:val="22"/>
          <w:lang w:val="en-US"/>
        </w:rPr>
        <w:t>Risk of Bias Tool for RCTs of complex interventions</w:t>
      </w:r>
      <w:r w:rsidRPr="00025579">
        <w:rPr>
          <w:rFonts w:ascii="Calibri" w:hAnsi="Calibri"/>
          <w:sz w:val="22"/>
          <w:szCs w:val="22"/>
          <w:lang w:val="en-US"/>
        </w:rPr>
        <w:tab/>
      </w:r>
      <w:r w:rsidRPr="00025579">
        <w:rPr>
          <w:rFonts w:ascii="Calibri" w:hAnsi="Calibri"/>
          <w:sz w:val="22"/>
          <w:szCs w:val="22"/>
          <w:lang w:val="en-US"/>
        </w:rPr>
        <w:tab/>
      </w:r>
      <w:r w:rsidRPr="00025579">
        <w:rPr>
          <w:rFonts w:ascii="Calibri" w:hAnsi="Calibri"/>
          <w:sz w:val="22"/>
          <w:szCs w:val="22"/>
          <w:lang w:val="en-US"/>
        </w:rPr>
        <w:tab/>
      </w:r>
      <w:r w:rsidR="003852CD">
        <w:rPr>
          <w:rFonts w:ascii="Calibri" w:hAnsi="Calibri"/>
          <w:sz w:val="22"/>
          <w:szCs w:val="22"/>
          <w:lang w:val="en-US"/>
        </w:rPr>
        <w:tab/>
        <w:t xml:space="preserve">              6</w:t>
      </w:r>
      <w:r w:rsidRPr="00025579">
        <w:rPr>
          <w:rFonts w:ascii="Calibri" w:hAnsi="Calibri"/>
          <w:sz w:val="22"/>
          <w:szCs w:val="22"/>
          <w:lang w:val="en-US"/>
        </w:rPr>
        <w:tab/>
      </w:r>
      <w:r w:rsidRPr="004B3D37">
        <w:rPr>
          <w:rFonts w:ascii="Calibri" w:hAnsi="Calibri"/>
          <w:sz w:val="22"/>
          <w:szCs w:val="22"/>
          <w:lang w:val="en-US"/>
        </w:rPr>
        <w:tab/>
      </w:r>
    </w:p>
    <w:p w14:paraId="1E42437C" w14:textId="43FBEB5A" w:rsidR="00025579" w:rsidRDefault="00025579" w:rsidP="003852CD">
      <w:pPr>
        <w:pStyle w:val="ListParagraph"/>
        <w:numPr>
          <w:ilvl w:val="0"/>
          <w:numId w:val="10"/>
        </w:numPr>
        <w:ind w:right="134"/>
        <w:rPr>
          <w:rFonts w:ascii="Calibri" w:hAnsi="Calibri"/>
          <w:sz w:val="22"/>
          <w:szCs w:val="22"/>
          <w:lang w:val="en-US"/>
        </w:rPr>
      </w:pPr>
      <w:r w:rsidRPr="00025579">
        <w:rPr>
          <w:rFonts w:ascii="Calibri" w:hAnsi="Calibri"/>
          <w:b/>
          <w:sz w:val="22"/>
          <w:szCs w:val="22"/>
          <w:lang w:val="en-US"/>
        </w:rPr>
        <w:t xml:space="preserve">eMethods </w:t>
      </w:r>
      <w:r w:rsidR="00492DD7">
        <w:rPr>
          <w:rFonts w:ascii="Calibri" w:hAnsi="Calibri"/>
          <w:b/>
          <w:sz w:val="22"/>
          <w:szCs w:val="22"/>
          <w:lang w:val="en-US"/>
        </w:rPr>
        <w:t>3</w:t>
      </w:r>
      <w:r w:rsidRPr="00025579">
        <w:rPr>
          <w:rFonts w:ascii="Calibri" w:hAnsi="Calibri"/>
          <w:b/>
          <w:sz w:val="22"/>
          <w:szCs w:val="22"/>
          <w:lang w:val="en-US"/>
        </w:rPr>
        <w:t>.</w:t>
      </w:r>
      <w:r w:rsidRPr="00025579">
        <w:rPr>
          <w:rFonts w:ascii="Calibri" w:hAnsi="Calibri"/>
          <w:sz w:val="22"/>
          <w:szCs w:val="22"/>
          <w:lang w:val="en-US"/>
        </w:rPr>
        <w:t xml:space="preserve"> </w:t>
      </w:r>
      <w:r>
        <w:rPr>
          <w:rFonts w:ascii="Calibri" w:hAnsi="Calibri"/>
          <w:sz w:val="22"/>
          <w:szCs w:val="22"/>
          <w:lang w:val="en-US"/>
        </w:rPr>
        <w:t>Refined version of intervention taxonomy for de-implementation interventions</w:t>
      </w:r>
      <w:r w:rsidR="003852CD">
        <w:rPr>
          <w:rFonts w:ascii="Calibri" w:hAnsi="Calibri"/>
          <w:sz w:val="22"/>
          <w:szCs w:val="22"/>
          <w:lang w:val="en-US"/>
        </w:rPr>
        <w:t xml:space="preserve">     11</w:t>
      </w:r>
    </w:p>
    <w:p w14:paraId="6F23A298" w14:textId="77777777" w:rsidR="00025579" w:rsidRPr="00025579" w:rsidRDefault="00025579" w:rsidP="00025579">
      <w:pPr>
        <w:pStyle w:val="ListParagraph"/>
        <w:rPr>
          <w:rFonts w:ascii="Calibri" w:hAnsi="Calibri"/>
          <w:sz w:val="22"/>
          <w:szCs w:val="22"/>
          <w:lang w:val="en-US"/>
        </w:rPr>
      </w:pPr>
    </w:p>
    <w:p w14:paraId="4521840D" w14:textId="310E0D6A" w:rsidR="00025579" w:rsidRDefault="00025579" w:rsidP="00025579">
      <w:pPr>
        <w:pStyle w:val="ListParagraph"/>
        <w:numPr>
          <w:ilvl w:val="0"/>
          <w:numId w:val="10"/>
        </w:numPr>
        <w:rPr>
          <w:rFonts w:ascii="Calibri" w:hAnsi="Calibri"/>
          <w:sz w:val="22"/>
          <w:szCs w:val="22"/>
          <w:lang w:val="en-US"/>
        </w:rPr>
      </w:pPr>
      <w:r>
        <w:rPr>
          <w:rFonts w:ascii="Calibri" w:hAnsi="Calibri"/>
          <w:b/>
          <w:sz w:val="22"/>
          <w:szCs w:val="22"/>
          <w:lang w:val="en-US"/>
        </w:rPr>
        <w:t xml:space="preserve">eMethods </w:t>
      </w:r>
      <w:r w:rsidR="00492DD7">
        <w:rPr>
          <w:rFonts w:ascii="Calibri" w:hAnsi="Calibri"/>
          <w:b/>
          <w:sz w:val="22"/>
          <w:szCs w:val="22"/>
          <w:lang w:val="en-US"/>
        </w:rPr>
        <w:t>4</w:t>
      </w:r>
      <w:r>
        <w:rPr>
          <w:rFonts w:ascii="Calibri" w:hAnsi="Calibri"/>
          <w:b/>
          <w:sz w:val="22"/>
          <w:szCs w:val="22"/>
          <w:lang w:val="en-US"/>
        </w:rPr>
        <w:t xml:space="preserve">. </w:t>
      </w:r>
      <w:r>
        <w:rPr>
          <w:rFonts w:ascii="Calibri" w:hAnsi="Calibri"/>
          <w:sz w:val="22"/>
          <w:szCs w:val="22"/>
          <w:lang w:val="en-US"/>
        </w:rPr>
        <w:t>Rationale for refined intervention taxonomy</w:t>
      </w:r>
      <w:r w:rsidR="003852CD">
        <w:rPr>
          <w:rFonts w:ascii="Calibri" w:hAnsi="Calibri"/>
          <w:sz w:val="22"/>
          <w:szCs w:val="22"/>
          <w:lang w:val="en-US"/>
        </w:rPr>
        <w:tab/>
      </w:r>
      <w:r w:rsidR="003852CD">
        <w:rPr>
          <w:rFonts w:ascii="Calibri" w:hAnsi="Calibri"/>
          <w:sz w:val="22"/>
          <w:szCs w:val="22"/>
          <w:lang w:val="en-US"/>
        </w:rPr>
        <w:tab/>
      </w:r>
      <w:r w:rsidR="003852CD">
        <w:rPr>
          <w:rFonts w:ascii="Calibri" w:hAnsi="Calibri"/>
          <w:sz w:val="22"/>
          <w:szCs w:val="22"/>
          <w:lang w:val="en-US"/>
        </w:rPr>
        <w:tab/>
      </w:r>
      <w:r w:rsidR="003852CD">
        <w:rPr>
          <w:rFonts w:ascii="Calibri" w:hAnsi="Calibri"/>
          <w:sz w:val="22"/>
          <w:szCs w:val="22"/>
          <w:lang w:val="en-US"/>
        </w:rPr>
        <w:tab/>
        <w:t xml:space="preserve">            13</w:t>
      </w:r>
    </w:p>
    <w:p w14:paraId="31D3B0AE" w14:textId="77777777" w:rsidR="00025579" w:rsidRPr="00025579" w:rsidRDefault="00025579" w:rsidP="00025579">
      <w:pPr>
        <w:pStyle w:val="ListParagraph"/>
        <w:rPr>
          <w:rFonts w:ascii="Calibri" w:hAnsi="Calibri"/>
          <w:sz w:val="22"/>
          <w:szCs w:val="22"/>
          <w:lang w:val="en-US"/>
        </w:rPr>
      </w:pPr>
    </w:p>
    <w:p w14:paraId="212DC167" w14:textId="4A763E28" w:rsidR="00025579" w:rsidRDefault="00025579" w:rsidP="00025579">
      <w:pPr>
        <w:pStyle w:val="ListParagraph"/>
        <w:numPr>
          <w:ilvl w:val="0"/>
          <w:numId w:val="10"/>
        </w:numPr>
        <w:rPr>
          <w:rFonts w:ascii="Calibri" w:hAnsi="Calibri"/>
          <w:sz w:val="22"/>
          <w:szCs w:val="22"/>
          <w:lang w:val="en-US"/>
        </w:rPr>
      </w:pPr>
      <w:r>
        <w:rPr>
          <w:rFonts w:ascii="Calibri" w:hAnsi="Calibri"/>
          <w:b/>
          <w:sz w:val="22"/>
          <w:szCs w:val="22"/>
          <w:lang w:val="en-US"/>
        </w:rPr>
        <w:t xml:space="preserve">eMethods </w:t>
      </w:r>
      <w:r w:rsidR="00492DD7">
        <w:rPr>
          <w:rFonts w:ascii="Calibri" w:hAnsi="Calibri"/>
          <w:b/>
          <w:sz w:val="22"/>
          <w:szCs w:val="22"/>
          <w:lang w:val="en-US"/>
        </w:rPr>
        <w:t>5</w:t>
      </w:r>
      <w:r>
        <w:rPr>
          <w:rFonts w:ascii="Calibri" w:hAnsi="Calibri"/>
          <w:b/>
          <w:sz w:val="22"/>
          <w:szCs w:val="22"/>
          <w:lang w:val="en-US"/>
        </w:rPr>
        <w:t xml:space="preserve">. </w:t>
      </w:r>
      <w:r>
        <w:rPr>
          <w:rFonts w:ascii="Calibri" w:hAnsi="Calibri"/>
          <w:sz w:val="22"/>
          <w:szCs w:val="22"/>
          <w:lang w:val="en-US"/>
        </w:rPr>
        <w:t>Rationale for outcome hierarchy of effectiveness outcomes in de-implementation</w:t>
      </w:r>
      <w:r w:rsidR="003852CD">
        <w:rPr>
          <w:rFonts w:ascii="Calibri" w:hAnsi="Calibri"/>
          <w:sz w:val="22"/>
          <w:szCs w:val="22"/>
          <w:lang w:val="en-US"/>
        </w:rPr>
        <w:t xml:space="preserve"> 15</w:t>
      </w:r>
    </w:p>
    <w:p w14:paraId="00585BC0" w14:textId="77777777" w:rsidR="001413D1" w:rsidRPr="001413D1" w:rsidRDefault="001413D1" w:rsidP="001413D1">
      <w:pPr>
        <w:pStyle w:val="ListParagraph"/>
        <w:rPr>
          <w:rFonts w:ascii="Calibri" w:hAnsi="Calibri"/>
          <w:sz w:val="22"/>
          <w:szCs w:val="22"/>
          <w:lang w:val="en-US"/>
        </w:rPr>
      </w:pPr>
    </w:p>
    <w:p w14:paraId="271F8C5C" w14:textId="31BAED52" w:rsidR="001413D1" w:rsidRPr="00025579" w:rsidRDefault="001413D1" w:rsidP="003852CD">
      <w:pPr>
        <w:pStyle w:val="ListParagraph"/>
        <w:numPr>
          <w:ilvl w:val="0"/>
          <w:numId w:val="10"/>
        </w:numPr>
        <w:ind w:right="134"/>
        <w:rPr>
          <w:rFonts w:ascii="Calibri" w:hAnsi="Calibri"/>
          <w:sz w:val="22"/>
          <w:szCs w:val="22"/>
          <w:lang w:val="en-US"/>
        </w:rPr>
      </w:pPr>
      <w:r>
        <w:rPr>
          <w:rFonts w:ascii="Calibri" w:hAnsi="Calibri"/>
          <w:b/>
          <w:sz w:val="22"/>
          <w:szCs w:val="22"/>
          <w:lang w:val="en-US"/>
        </w:rPr>
        <w:t>e</w:t>
      </w:r>
      <w:r w:rsidR="008F0556">
        <w:rPr>
          <w:rFonts w:ascii="Calibri" w:hAnsi="Calibri"/>
          <w:b/>
          <w:sz w:val="22"/>
          <w:szCs w:val="22"/>
          <w:lang w:val="en-US"/>
        </w:rPr>
        <w:t>M</w:t>
      </w:r>
      <w:r>
        <w:rPr>
          <w:rFonts w:ascii="Calibri" w:hAnsi="Calibri"/>
          <w:b/>
          <w:sz w:val="22"/>
          <w:szCs w:val="22"/>
          <w:lang w:val="en-US"/>
        </w:rPr>
        <w:t xml:space="preserve">ethods </w:t>
      </w:r>
      <w:r w:rsidR="00492DD7">
        <w:rPr>
          <w:rFonts w:ascii="Calibri" w:hAnsi="Calibri"/>
          <w:b/>
          <w:sz w:val="22"/>
          <w:szCs w:val="22"/>
          <w:lang w:val="en-US"/>
        </w:rPr>
        <w:t>6</w:t>
      </w:r>
      <w:r>
        <w:rPr>
          <w:rFonts w:ascii="Calibri" w:hAnsi="Calibri"/>
          <w:b/>
          <w:sz w:val="22"/>
          <w:szCs w:val="22"/>
          <w:lang w:val="en-US"/>
        </w:rPr>
        <w:t xml:space="preserve">. </w:t>
      </w:r>
      <w:r>
        <w:rPr>
          <w:rFonts w:ascii="Calibri" w:hAnsi="Calibri"/>
          <w:sz w:val="22"/>
          <w:szCs w:val="22"/>
          <w:lang w:val="en-US"/>
        </w:rPr>
        <w:t>Identified scoping and systematic reviews of de-implementation</w:t>
      </w:r>
      <w:r w:rsidR="003852CD">
        <w:rPr>
          <w:rFonts w:ascii="Calibri" w:hAnsi="Calibri"/>
          <w:sz w:val="22"/>
          <w:szCs w:val="22"/>
          <w:lang w:val="en-US"/>
        </w:rPr>
        <w:tab/>
      </w:r>
      <w:r w:rsidR="003852CD">
        <w:rPr>
          <w:rFonts w:ascii="Calibri" w:hAnsi="Calibri"/>
          <w:sz w:val="22"/>
          <w:szCs w:val="22"/>
          <w:lang w:val="en-US"/>
        </w:rPr>
        <w:tab/>
        <w:t xml:space="preserve">            16</w:t>
      </w:r>
    </w:p>
    <w:p w14:paraId="73615D1D" w14:textId="77777777" w:rsidR="00025579" w:rsidRPr="00025579" w:rsidRDefault="00025579" w:rsidP="00025579">
      <w:pPr>
        <w:pStyle w:val="ListParagraph"/>
        <w:rPr>
          <w:rFonts w:ascii="Calibri" w:hAnsi="Calibri"/>
          <w:sz w:val="22"/>
          <w:szCs w:val="22"/>
          <w:lang w:val="en-US"/>
        </w:rPr>
      </w:pPr>
    </w:p>
    <w:p w14:paraId="455A7505" w14:textId="672EABDF" w:rsidR="00492DD7" w:rsidRPr="00492DD7" w:rsidRDefault="00492DD7" w:rsidP="00025579">
      <w:pPr>
        <w:pStyle w:val="ListParagraph"/>
        <w:numPr>
          <w:ilvl w:val="0"/>
          <w:numId w:val="10"/>
        </w:numPr>
        <w:rPr>
          <w:rFonts w:ascii="Calibri" w:hAnsi="Calibri"/>
          <w:sz w:val="22"/>
          <w:szCs w:val="22"/>
          <w:lang w:val="en-US"/>
        </w:rPr>
      </w:pPr>
      <w:r w:rsidRPr="00025579">
        <w:rPr>
          <w:rFonts w:ascii="Calibri" w:hAnsi="Calibri"/>
          <w:b/>
          <w:sz w:val="22"/>
          <w:szCs w:val="22"/>
          <w:lang w:val="en-US"/>
        </w:rPr>
        <w:t xml:space="preserve">eFigure </w:t>
      </w:r>
      <w:r>
        <w:rPr>
          <w:rFonts w:ascii="Calibri" w:hAnsi="Calibri"/>
          <w:b/>
          <w:sz w:val="22"/>
          <w:szCs w:val="22"/>
          <w:lang w:val="en-US"/>
        </w:rPr>
        <w:t>2</w:t>
      </w:r>
      <w:r w:rsidRPr="00025579">
        <w:rPr>
          <w:rFonts w:ascii="Calibri" w:hAnsi="Calibri"/>
          <w:b/>
          <w:sz w:val="22"/>
          <w:szCs w:val="22"/>
          <w:lang w:val="en-US"/>
        </w:rPr>
        <w:t xml:space="preserve">. </w:t>
      </w:r>
      <w:r>
        <w:rPr>
          <w:rFonts w:ascii="Calibri" w:hAnsi="Calibri"/>
          <w:sz w:val="22"/>
          <w:szCs w:val="22"/>
          <w:lang w:val="en-US"/>
        </w:rPr>
        <w:t>Published studies per medical content area</w:t>
      </w:r>
      <w:r w:rsidRPr="00025579">
        <w:rPr>
          <w:rFonts w:ascii="Calibri" w:hAnsi="Calibri"/>
          <w:sz w:val="22"/>
          <w:szCs w:val="22"/>
          <w:lang w:val="en-US"/>
        </w:rPr>
        <w:tab/>
      </w:r>
      <w:r>
        <w:rPr>
          <w:rFonts w:ascii="Calibri" w:hAnsi="Calibri"/>
          <w:sz w:val="22"/>
          <w:szCs w:val="22"/>
          <w:lang w:val="en-US"/>
        </w:rPr>
        <w:tab/>
      </w:r>
      <w:r>
        <w:rPr>
          <w:rFonts w:ascii="Calibri" w:hAnsi="Calibri"/>
          <w:sz w:val="22"/>
          <w:szCs w:val="22"/>
          <w:lang w:val="en-US"/>
        </w:rPr>
        <w:tab/>
      </w:r>
      <w:r>
        <w:rPr>
          <w:rFonts w:ascii="Calibri" w:hAnsi="Calibri"/>
          <w:sz w:val="22"/>
          <w:szCs w:val="22"/>
          <w:lang w:val="en-US"/>
        </w:rPr>
        <w:tab/>
      </w:r>
      <w:r>
        <w:rPr>
          <w:rFonts w:ascii="Calibri" w:hAnsi="Calibri"/>
          <w:sz w:val="22"/>
          <w:szCs w:val="22"/>
          <w:lang w:val="en-US"/>
        </w:rPr>
        <w:tab/>
        <w:t xml:space="preserve">            18</w:t>
      </w:r>
    </w:p>
    <w:p w14:paraId="3A480D3E" w14:textId="77777777" w:rsidR="00492DD7" w:rsidRPr="00492DD7" w:rsidRDefault="00492DD7" w:rsidP="00492DD7">
      <w:pPr>
        <w:pStyle w:val="ListParagraph"/>
        <w:rPr>
          <w:rFonts w:ascii="Calibri" w:hAnsi="Calibri"/>
          <w:b/>
          <w:sz w:val="22"/>
          <w:szCs w:val="22"/>
          <w:lang w:val="en-US"/>
        </w:rPr>
      </w:pPr>
    </w:p>
    <w:p w14:paraId="793E136C" w14:textId="69390E5C" w:rsidR="00025579" w:rsidRPr="00025579" w:rsidRDefault="00025579" w:rsidP="00025579">
      <w:pPr>
        <w:pStyle w:val="ListParagraph"/>
        <w:numPr>
          <w:ilvl w:val="0"/>
          <w:numId w:val="10"/>
        </w:numPr>
        <w:rPr>
          <w:rFonts w:ascii="Calibri" w:hAnsi="Calibri"/>
          <w:sz w:val="22"/>
          <w:szCs w:val="22"/>
          <w:lang w:val="en-US"/>
        </w:rPr>
      </w:pPr>
      <w:r w:rsidRPr="00025579">
        <w:rPr>
          <w:rFonts w:ascii="Calibri" w:hAnsi="Calibri"/>
          <w:b/>
          <w:sz w:val="22"/>
          <w:szCs w:val="22"/>
          <w:lang w:val="en-US"/>
        </w:rPr>
        <w:t xml:space="preserve">eFigure </w:t>
      </w:r>
      <w:r w:rsidR="00492DD7">
        <w:rPr>
          <w:rFonts w:ascii="Calibri" w:hAnsi="Calibri"/>
          <w:b/>
          <w:sz w:val="22"/>
          <w:szCs w:val="22"/>
          <w:lang w:val="en-US"/>
        </w:rPr>
        <w:t>3</w:t>
      </w:r>
      <w:r w:rsidRPr="00025579">
        <w:rPr>
          <w:rFonts w:ascii="Calibri" w:hAnsi="Calibri"/>
          <w:sz w:val="22"/>
          <w:szCs w:val="22"/>
          <w:lang w:val="en-US"/>
        </w:rPr>
        <w:t xml:space="preserve">. </w:t>
      </w:r>
      <w:r>
        <w:rPr>
          <w:rFonts w:ascii="Calibri" w:hAnsi="Calibri"/>
          <w:sz w:val="22"/>
          <w:szCs w:val="22"/>
          <w:lang w:val="en-US"/>
        </w:rPr>
        <w:t>Risk of bias per question</w:t>
      </w:r>
      <w:r w:rsidRPr="00025579">
        <w:rPr>
          <w:rFonts w:ascii="Calibri" w:hAnsi="Calibri"/>
          <w:sz w:val="22"/>
          <w:szCs w:val="22"/>
          <w:lang w:val="en-US"/>
        </w:rPr>
        <w:tab/>
      </w:r>
      <w:r w:rsidRPr="00025579">
        <w:rPr>
          <w:rFonts w:ascii="Calibri" w:hAnsi="Calibri"/>
          <w:sz w:val="22"/>
          <w:szCs w:val="22"/>
          <w:lang w:val="en-US"/>
        </w:rPr>
        <w:tab/>
      </w:r>
      <w:r w:rsidRPr="00025579">
        <w:rPr>
          <w:rFonts w:ascii="Calibri" w:hAnsi="Calibri"/>
          <w:sz w:val="22"/>
          <w:szCs w:val="22"/>
          <w:lang w:val="en-US"/>
        </w:rPr>
        <w:tab/>
      </w:r>
      <w:r w:rsidR="003852CD">
        <w:rPr>
          <w:rFonts w:ascii="Calibri" w:hAnsi="Calibri"/>
          <w:sz w:val="22"/>
          <w:szCs w:val="22"/>
          <w:lang w:val="en-US"/>
        </w:rPr>
        <w:tab/>
      </w:r>
      <w:r w:rsidR="003852CD">
        <w:rPr>
          <w:rFonts w:ascii="Calibri" w:hAnsi="Calibri"/>
          <w:sz w:val="22"/>
          <w:szCs w:val="22"/>
          <w:lang w:val="en-US"/>
        </w:rPr>
        <w:tab/>
      </w:r>
      <w:r w:rsidR="003852CD">
        <w:rPr>
          <w:rFonts w:ascii="Calibri" w:hAnsi="Calibri"/>
          <w:sz w:val="22"/>
          <w:szCs w:val="22"/>
          <w:lang w:val="en-US"/>
        </w:rPr>
        <w:tab/>
      </w:r>
      <w:r w:rsidR="003852CD">
        <w:rPr>
          <w:rFonts w:ascii="Calibri" w:hAnsi="Calibri"/>
          <w:sz w:val="22"/>
          <w:szCs w:val="22"/>
          <w:lang w:val="en-US"/>
        </w:rPr>
        <w:tab/>
        <w:t xml:space="preserve">            1</w:t>
      </w:r>
      <w:r w:rsidR="00492DD7">
        <w:rPr>
          <w:rFonts w:ascii="Calibri" w:hAnsi="Calibri"/>
          <w:sz w:val="22"/>
          <w:szCs w:val="22"/>
          <w:lang w:val="en-US"/>
        </w:rPr>
        <w:t>9</w:t>
      </w:r>
    </w:p>
    <w:p w14:paraId="5D7C1A08" w14:textId="77777777" w:rsidR="00025579" w:rsidRPr="00025579" w:rsidRDefault="00025579" w:rsidP="00025579">
      <w:pPr>
        <w:ind w:left="720"/>
        <w:rPr>
          <w:rFonts w:ascii="Calibri" w:hAnsi="Calibri"/>
          <w:b/>
          <w:sz w:val="22"/>
          <w:szCs w:val="22"/>
          <w:lang w:val="en-US"/>
        </w:rPr>
      </w:pPr>
    </w:p>
    <w:p w14:paraId="30341139" w14:textId="1BE659AA" w:rsidR="00025579" w:rsidRPr="00492DD7" w:rsidRDefault="00025579" w:rsidP="00492DD7">
      <w:pPr>
        <w:pStyle w:val="ListParagraph"/>
        <w:numPr>
          <w:ilvl w:val="0"/>
          <w:numId w:val="10"/>
        </w:numPr>
        <w:ind w:right="-7"/>
        <w:rPr>
          <w:rFonts w:ascii="Calibri" w:hAnsi="Calibri"/>
          <w:sz w:val="22"/>
          <w:szCs w:val="22"/>
          <w:lang w:val="en-US"/>
        </w:rPr>
      </w:pPr>
      <w:r w:rsidRPr="00025579">
        <w:rPr>
          <w:rFonts w:ascii="Calibri" w:hAnsi="Calibri"/>
          <w:b/>
          <w:sz w:val="22"/>
          <w:szCs w:val="22"/>
          <w:lang w:val="en-US"/>
        </w:rPr>
        <w:t xml:space="preserve">eFigure </w:t>
      </w:r>
      <w:r w:rsidR="00492DD7">
        <w:rPr>
          <w:rFonts w:ascii="Calibri" w:hAnsi="Calibri"/>
          <w:b/>
          <w:sz w:val="22"/>
          <w:szCs w:val="22"/>
          <w:lang w:val="en-US"/>
        </w:rPr>
        <w:t>4</w:t>
      </w:r>
      <w:r w:rsidRPr="00025579">
        <w:rPr>
          <w:rFonts w:ascii="Calibri" w:hAnsi="Calibri"/>
          <w:b/>
          <w:sz w:val="22"/>
          <w:szCs w:val="22"/>
          <w:lang w:val="en-US"/>
        </w:rPr>
        <w:t>.</w:t>
      </w:r>
      <w:r w:rsidRPr="00025579">
        <w:rPr>
          <w:rFonts w:ascii="Calibri" w:hAnsi="Calibri"/>
          <w:sz w:val="22"/>
          <w:szCs w:val="22"/>
          <w:lang w:val="en-US"/>
        </w:rPr>
        <w:t xml:space="preserve"> </w:t>
      </w:r>
      <w:r>
        <w:rPr>
          <w:rFonts w:ascii="Calibri" w:hAnsi="Calibri"/>
          <w:sz w:val="22"/>
          <w:szCs w:val="22"/>
          <w:lang w:val="en-US"/>
        </w:rPr>
        <w:t>Risk of bias inside intervention categories</w:t>
      </w:r>
      <w:r w:rsidRPr="00025579">
        <w:rPr>
          <w:rFonts w:ascii="Calibri" w:hAnsi="Calibri"/>
          <w:sz w:val="22"/>
          <w:szCs w:val="22"/>
          <w:lang w:val="en-US"/>
        </w:rPr>
        <w:tab/>
      </w:r>
      <w:r w:rsidRPr="00025579">
        <w:rPr>
          <w:rFonts w:ascii="Calibri" w:hAnsi="Calibri"/>
          <w:sz w:val="22"/>
          <w:szCs w:val="22"/>
          <w:lang w:val="en-US"/>
        </w:rPr>
        <w:tab/>
      </w:r>
      <w:r w:rsidRPr="00025579">
        <w:rPr>
          <w:rFonts w:ascii="Calibri" w:hAnsi="Calibri"/>
          <w:sz w:val="22"/>
          <w:szCs w:val="22"/>
          <w:lang w:val="en-US"/>
        </w:rPr>
        <w:tab/>
      </w:r>
      <w:r w:rsidRPr="00025579">
        <w:rPr>
          <w:rFonts w:ascii="Calibri" w:hAnsi="Calibri"/>
          <w:sz w:val="22"/>
          <w:szCs w:val="22"/>
          <w:lang w:val="en-US"/>
        </w:rPr>
        <w:tab/>
      </w:r>
      <w:r w:rsidRPr="00025579">
        <w:rPr>
          <w:rFonts w:ascii="Calibri" w:hAnsi="Calibri"/>
          <w:sz w:val="22"/>
          <w:szCs w:val="22"/>
          <w:lang w:val="en-US"/>
        </w:rPr>
        <w:tab/>
      </w:r>
      <w:r w:rsidR="003852CD">
        <w:rPr>
          <w:rFonts w:ascii="Calibri" w:hAnsi="Calibri"/>
          <w:sz w:val="22"/>
          <w:szCs w:val="22"/>
          <w:lang w:val="en-US"/>
        </w:rPr>
        <w:t xml:space="preserve">            </w:t>
      </w:r>
      <w:r w:rsidR="00492DD7">
        <w:rPr>
          <w:rFonts w:ascii="Calibri" w:hAnsi="Calibri"/>
          <w:sz w:val="22"/>
          <w:szCs w:val="22"/>
          <w:lang w:val="en-US"/>
        </w:rPr>
        <w:t>20</w:t>
      </w:r>
    </w:p>
    <w:p w14:paraId="58858DCC" w14:textId="77777777" w:rsidR="00025579" w:rsidRPr="00025579" w:rsidRDefault="00025579" w:rsidP="00025579">
      <w:pPr>
        <w:pStyle w:val="ListParagraph"/>
        <w:rPr>
          <w:rFonts w:ascii="Calibri" w:hAnsi="Calibri"/>
          <w:sz w:val="22"/>
          <w:szCs w:val="22"/>
          <w:lang w:val="en-US"/>
        </w:rPr>
      </w:pPr>
    </w:p>
    <w:p w14:paraId="169DC000" w14:textId="01DF5F70" w:rsidR="00025579" w:rsidRDefault="00492DD7" w:rsidP="00025579">
      <w:pPr>
        <w:pStyle w:val="ListParagraph"/>
        <w:numPr>
          <w:ilvl w:val="0"/>
          <w:numId w:val="10"/>
        </w:numPr>
        <w:rPr>
          <w:rFonts w:ascii="Calibri" w:hAnsi="Calibri"/>
          <w:sz w:val="22"/>
          <w:szCs w:val="22"/>
          <w:lang w:val="en-US"/>
        </w:rPr>
      </w:pPr>
      <w:bookmarkStart w:id="1" w:name="OLE_LINK1"/>
      <w:r>
        <w:rPr>
          <w:rFonts w:ascii="Calibri" w:hAnsi="Calibri"/>
          <w:b/>
          <w:sz w:val="22"/>
          <w:szCs w:val="22"/>
          <w:lang w:val="en-US"/>
        </w:rPr>
        <w:t xml:space="preserve">eFigure 5. </w:t>
      </w:r>
      <w:r>
        <w:rPr>
          <w:rFonts w:ascii="Calibri" w:hAnsi="Calibri"/>
          <w:sz w:val="22"/>
          <w:szCs w:val="22"/>
          <w:lang w:val="en-US"/>
        </w:rPr>
        <w:t>Intervention components in studies with one component</w:t>
      </w:r>
      <w:r w:rsidR="003852CD">
        <w:rPr>
          <w:rFonts w:ascii="Calibri" w:hAnsi="Calibri"/>
          <w:sz w:val="22"/>
          <w:szCs w:val="22"/>
          <w:lang w:val="en-US"/>
        </w:rPr>
        <w:tab/>
      </w:r>
      <w:r>
        <w:rPr>
          <w:rFonts w:ascii="Calibri" w:hAnsi="Calibri"/>
          <w:sz w:val="22"/>
          <w:szCs w:val="22"/>
          <w:lang w:val="en-US"/>
        </w:rPr>
        <w:tab/>
      </w:r>
      <w:r>
        <w:rPr>
          <w:rFonts w:ascii="Calibri" w:hAnsi="Calibri"/>
          <w:sz w:val="22"/>
          <w:szCs w:val="22"/>
          <w:lang w:val="en-US"/>
        </w:rPr>
        <w:tab/>
        <w:t xml:space="preserve">            21</w:t>
      </w:r>
    </w:p>
    <w:bookmarkEnd w:id="1"/>
    <w:p w14:paraId="484D0344" w14:textId="77777777" w:rsidR="000C0EC1" w:rsidRPr="00492DD7" w:rsidRDefault="000C0EC1" w:rsidP="00492DD7">
      <w:pPr>
        <w:rPr>
          <w:rFonts w:ascii="Calibri" w:hAnsi="Calibri"/>
          <w:sz w:val="22"/>
          <w:szCs w:val="22"/>
          <w:lang w:val="en-US"/>
        </w:rPr>
      </w:pPr>
    </w:p>
    <w:p w14:paraId="6D048C29" w14:textId="4638E454" w:rsidR="00874C53" w:rsidRPr="00025579" w:rsidRDefault="000C0EC1" w:rsidP="00025579">
      <w:pPr>
        <w:pStyle w:val="ListParagraph"/>
        <w:numPr>
          <w:ilvl w:val="0"/>
          <w:numId w:val="10"/>
        </w:numPr>
        <w:rPr>
          <w:rFonts w:ascii="Calibri" w:hAnsi="Calibri"/>
          <w:sz w:val="22"/>
          <w:szCs w:val="22"/>
          <w:lang w:val="en-US"/>
        </w:rPr>
      </w:pPr>
      <w:r w:rsidRPr="00025579">
        <w:rPr>
          <w:rFonts w:ascii="Calibri" w:hAnsi="Calibri"/>
          <w:b/>
          <w:sz w:val="22"/>
          <w:szCs w:val="22"/>
          <w:lang w:val="en-US"/>
        </w:rPr>
        <w:t>eTable 1.</w:t>
      </w:r>
      <w:r w:rsidRPr="00025579">
        <w:rPr>
          <w:rFonts w:ascii="Calibri" w:hAnsi="Calibri"/>
          <w:sz w:val="22"/>
          <w:szCs w:val="22"/>
          <w:lang w:val="en-US"/>
        </w:rPr>
        <w:t xml:space="preserve"> </w:t>
      </w:r>
      <w:r>
        <w:rPr>
          <w:rFonts w:ascii="Calibri" w:hAnsi="Calibri"/>
          <w:sz w:val="22"/>
          <w:szCs w:val="22"/>
          <w:lang w:val="en-US"/>
        </w:rPr>
        <w:t>Quality outcomes until 2010 and after</w:t>
      </w:r>
      <w:r w:rsidRPr="00025579">
        <w:rPr>
          <w:rFonts w:ascii="Calibri" w:hAnsi="Calibri"/>
          <w:sz w:val="22"/>
          <w:szCs w:val="22"/>
          <w:lang w:val="en-US"/>
        </w:rPr>
        <w:tab/>
      </w:r>
      <w:r w:rsidRPr="00025579">
        <w:rPr>
          <w:rFonts w:ascii="Calibri" w:hAnsi="Calibri"/>
          <w:sz w:val="22"/>
          <w:szCs w:val="22"/>
          <w:lang w:val="en-US"/>
        </w:rPr>
        <w:tab/>
      </w:r>
      <w:r w:rsidR="003852CD">
        <w:rPr>
          <w:rFonts w:ascii="Calibri" w:hAnsi="Calibri"/>
          <w:sz w:val="22"/>
          <w:szCs w:val="22"/>
          <w:lang w:val="en-US"/>
        </w:rPr>
        <w:tab/>
      </w:r>
      <w:r w:rsidR="003852CD">
        <w:rPr>
          <w:rFonts w:ascii="Calibri" w:hAnsi="Calibri"/>
          <w:sz w:val="22"/>
          <w:szCs w:val="22"/>
          <w:lang w:val="en-US"/>
        </w:rPr>
        <w:tab/>
        <w:t xml:space="preserve">         </w:t>
      </w:r>
      <w:r>
        <w:rPr>
          <w:rFonts w:ascii="Calibri" w:hAnsi="Calibri"/>
          <w:sz w:val="22"/>
          <w:szCs w:val="22"/>
          <w:lang w:val="en-US"/>
        </w:rPr>
        <w:t xml:space="preserve">                             </w:t>
      </w:r>
      <w:r w:rsidR="003852CD">
        <w:rPr>
          <w:rFonts w:ascii="Calibri" w:hAnsi="Calibri"/>
          <w:sz w:val="22"/>
          <w:szCs w:val="22"/>
          <w:lang w:val="en-US"/>
        </w:rPr>
        <w:t xml:space="preserve">   2</w:t>
      </w:r>
      <w:r w:rsidR="0061751D">
        <w:rPr>
          <w:rFonts w:ascii="Calibri" w:hAnsi="Calibri"/>
          <w:sz w:val="22"/>
          <w:szCs w:val="22"/>
          <w:lang w:val="en-US"/>
        </w:rPr>
        <w:t>2</w:t>
      </w:r>
    </w:p>
    <w:p w14:paraId="3CDB8143" w14:textId="77777777" w:rsidR="00025579" w:rsidRPr="00025579" w:rsidRDefault="00025579" w:rsidP="00025579">
      <w:pPr>
        <w:rPr>
          <w:rFonts w:ascii="Calibri" w:hAnsi="Calibri"/>
          <w:sz w:val="22"/>
          <w:szCs w:val="22"/>
          <w:lang w:val="en-US"/>
        </w:rPr>
      </w:pPr>
    </w:p>
    <w:p w14:paraId="6F05658B" w14:textId="421271CA" w:rsidR="00025579" w:rsidRPr="000C0EC1" w:rsidRDefault="00025579" w:rsidP="00025579">
      <w:pPr>
        <w:pStyle w:val="ListParagraph"/>
        <w:numPr>
          <w:ilvl w:val="0"/>
          <w:numId w:val="10"/>
        </w:numPr>
        <w:rPr>
          <w:rFonts w:ascii="Calibri" w:hAnsi="Calibri"/>
          <w:sz w:val="22"/>
          <w:szCs w:val="22"/>
          <w:lang w:val="en-US"/>
        </w:rPr>
      </w:pPr>
      <w:r w:rsidRPr="00025579">
        <w:rPr>
          <w:rFonts w:ascii="Calibri" w:hAnsi="Calibri"/>
          <w:b/>
          <w:sz w:val="22"/>
          <w:szCs w:val="22"/>
          <w:lang w:val="en-US"/>
        </w:rPr>
        <w:t>eTable 2.</w:t>
      </w:r>
      <w:r w:rsidRPr="00025579">
        <w:rPr>
          <w:rFonts w:ascii="Calibri" w:hAnsi="Calibri"/>
          <w:sz w:val="22"/>
          <w:szCs w:val="22"/>
          <w:lang w:val="en-US"/>
        </w:rPr>
        <w:t xml:space="preserve"> </w:t>
      </w:r>
      <w:r w:rsidR="00D318CD">
        <w:rPr>
          <w:rFonts w:ascii="Calibri" w:hAnsi="Calibri"/>
          <w:sz w:val="22"/>
          <w:szCs w:val="22"/>
          <w:lang w:val="en-US"/>
        </w:rPr>
        <w:t>Theoretical background</w:t>
      </w:r>
      <w:r>
        <w:rPr>
          <w:rFonts w:ascii="Calibri" w:hAnsi="Calibri"/>
          <w:sz w:val="22"/>
          <w:szCs w:val="22"/>
          <w:lang w:val="en-US"/>
        </w:rPr>
        <w:t xml:space="preserve"> used in designing the interventions</w:t>
      </w:r>
      <w:r w:rsidRPr="00025579">
        <w:rPr>
          <w:rFonts w:ascii="Calibri" w:hAnsi="Calibri"/>
          <w:sz w:val="22"/>
          <w:szCs w:val="22"/>
          <w:lang w:val="en-US"/>
        </w:rPr>
        <w:tab/>
      </w:r>
      <w:r w:rsidRPr="00025579">
        <w:rPr>
          <w:rFonts w:ascii="Calibri" w:hAnsi="Calibri"/>
          <w:sz w:val="22"/>
          <w:szCs w:val="22"/>
          <w:lang w:val="en-US"/>
        </w:rPr>
        <w:tab/>
      </w:r>
      <w:r w:rsidRPr="00025579">
        <w:rPr>
          <w:rFonts w:ascii="Calibri" w:hAnsi="Calibri"/>
          <w:sz w:val="22"/>
          <w:szCs w:val="22"/>
          <w:lang w:val="en-US"/>
        </w:rPr>
        <w:tab/>
      </w:r>
      <w:r w:rsidR="003852CD">
        <w:rPr>
          <w:rFonts w:ascii="Calibri" w:hAnsi="Calibri"/>
          <w:sz w:val="22"/>
          <w:szCs w:val="22"/>
          <w:lang w:val="en-US"/>
        </w:rPr>
        <w:t xml:space="preserve">            2</w:t>
      </w:r>
      <w:r w:rsidR="0061751D">
        <w:rPr>
          <w:rFonts w:ascii="Calibri" w:hAnsi="Calibri"/>
          <w:sz w:val="22"/>
          <w:szCs w:val="22"/>
          <w:lang w:val="en-US"/>
        </w:rPr>
        <w:t>3</w:t>
      </w:r>
      <w:r w:rsidRPr="00025579">
        <w:rPr>
          <w:rFonts w:ascii="Calibri" w:hAnsi="Calibri"/>
          <w:sz w:val="22"/>
          <w:szCs w:val="22"/>
          <w:lang w:val="en-US"/>
        </w:rPr>
        <w:tab/>
      </w:r>
    </w:p>
    <w:p w14:paraId="3D15724B" w14:textId="0E7044EC" w:rsidR="00025579" w:rsidRDefault="00025579" w:rsidP="00025579">
      <w:pPr>
        <w:pStyle w:val="ListParagraph"/>
        <w:numPr>
          <w:ilvl w:val="0"/>
          <w:numId w:val="10"/>
        </w:numPr>
        <w:rPr>
          <w:rFonts w:ascii="Calibri" w:hAnsi="Calibri"/>
          <w:sz w:val="22"/>
          <w:szCs w:val="22"/>
          <w:lang w:val="en-US"/>
        </w:rPr>
      </w:pPr>
      <w:r w:rsidRPr="00025579">
        <w:rPr>
          <w:b/>
          <w:sz w:val="22"/>
          <w:szCs w:val="22"/>
          <w:lang w:val="en-US"/>
        </w:rPr>
        <w:t>eTable 3.</w:t>
      </w:r>
      <w:r w:rsidRPr="00025579">
        <w:rPr>
          <w:sz w:val="22"/>
          <w:szCs w:val="22"/>
          <w:lang w:val="en-US"/>
        </w:rPr>
        <w:t xml:space="preserve"> </w:t>
      </w:r>
      <w:r>
        <w:rPr>
          <w:sz w:val="22"/>
          <w:szCs w:val="22"/>
          <w:lang w:val="en-US"/>
        </w:rPr>
        <w:t>Citations for included studies</w:t>
      </w:r>
      <w:r w:rsidRPr="00025579">
        <w:rPr>
          <w:sz w:val="22"/>
          <w:szCs w:val="22"/>
          <w:lang w:val="en-US"/>
        </w:rPr>
        <w:tab/>
      </w:r>
      <w:r w:rsidRPr="00025579">
        <w:rPr>
          <w:rFonts w:ascii="Calibri" w:hAnsi="Calibri"/>
          <w:sz w:val="22"/>
          <w:szCs w:val="22"/>
          <w:lang w:val="en-US"/>
        </w:rPr>
        <w:tab/>
      </w:r>
      <w:r w:rsidR="003852CD">
        <w:rPr>
          <w:rFonts w:ascii="Calibri" w:hAnsi="Calibri"/>
          <w:sz w:val="22"/>
          <w:szCs w:val="22"/>
          <w:lang w:val="en-US"/>
        </w:rPr>
        <w:tab/>
      </w:r>
      <w:r w:rsidR="003852CD">
        <w:rPr>
          <w:rFonts w:ascii="Calibri" w:hAnsi="Calibri"/>
          <w:sz w:val="22"/>
          <w:szCs w:val="22"/>
          <w:lang w:val="en-US"/>
        </w:rPr>
        <w:tab/>
      </w:r>
      <w:r w:rsidR="003852CD">
        <w:rPr>
          <w:rFonts w:ascii="Calibri" w:hAnsi="Calibri"/>
          <w:sz w:val="22"/>
          <w:szCs w:val="22"/>
          <w:lang w:val="en-US"/>
        </w:rPr>
        <w:tab/>
      </w:r>
      <w:r w:rsidR="003852CD">
        <w:rPr>
          <w:rFonts w:ascii="Calibri" w:hAnsi="Calibri"/>
          <w:sz w:val="22"/>
          <w:szCs w:val="22"/>
          <w:lang w:val="en-US"/>
        </w:rPr>
        <w:tab/>
      </w:r>
      <w:r w:rsidR="003852CD">
        <w:rPr>
          <w:rFonts w:ascii="Calibri" w:hAnsi="Calibri"/>
          <w:sz w:val="22"/>
          <w:szCs w:val="22"/>
          <w:lang w:val="en-US"/>
        </w:rPr>
        <w:tab/>
        <w:t xml:space="preserve">            2</w:t>
      </w:r>
      <w:r w:rsidR="00562FD9">
        <w:rPr>
          <w:rFonts w:ascii="Calibri" w:hAnsi="Calibri"/>
          <w:sz w:val="22"/>
          <w:szCs w:val="22"/>
          <w:lang w:val="en-US"/>
        </w:rPr>
        <w:t>8</w:t>
      </w:r>
    </w:p>
    <w:p w14:paraId="7ACE7731" w14:textId="77777777" w:rsidR="00FB731D" w:rsidRPr="00FB731D" w:rsidRDefault="00FB731D" w:rsidP="00FB731D">
      <w:pPr>
        <w:pStyle w:val="ListParagraph"/>
        <w:rPr>
          <w:rFonts w:ascii="Calibri" w:hAnsi="Calibri"/>
          <w:sz w:val="22"/>
          <w:szCs w:val="22"/>
          <w:lang w:val="en-US"/>
        </w:rPr>
      </w:pPr>
    </w:p>
    <w:p w14:paraId="5DBF8BBC" w14:textId="77777777" w:rsidR="00FB731D" w:rsidRDefault="00FB731D" w:rsidP="00FB731D">
      <w:pPr>
        <w:rPr>
          <w:rFonts w:ascii="Calibri" w:hAnsi="Calibri"/>
          <w:sz w:val="22"/>
          <w:szCs w:val="22"/>
          <w:lang w:val="en-US"/>
        </w:rPr>
      </w:pPr>
    </w:p>
    <w:p w14:paraId="18608BBB" w14:textId="77777777" w:rsidR="00FB731D" w:rsidRDefault="00FB731D" w:rsidP="00FB731D">
      <w:pPr>
        <w:rPr>
          <w:rFonts w:ascii="Calibri" w:hAnsi="Calibri"/>
          <w:sz w:val="22"/>
          <w:szCs w:val="22"/>
          <w:lang w:val="en-US"/>
        </w:rPr>
      </w:pPr>
    </w:p>
    <w:p w14:paraId="4ADD5601" w14:textId="77777777" w:rsidR="00FB731D" w:rsidRDefault="00FB731D" w:rsidP="00FB731D">
      <w:pPr>
        <w:rPr>
          <w:rFonts w:ascii="Calibri" w:hAnsi="Calibri"/>
          <w:sz w:val="22"/>
          <w:szCs w:val="22"/>
          <w:lang w:val="en-US"/>
        </w:rPr>
      </w:pPr>
    </w:p>
    <w:p w14:paraId="283952BC" w14:textId="77777777" w:rsidR="00FB731D" w:rsidRDefault="00FB731D" w:rsidP="00FB731D">
      <w:pPr>
        <w:rPr>
          <w:rFonts w:ascii="Calibri" w:hAnsi="Calibri"/>
          <w:sz w:val="22"/>
          <w:szCs w:val="22"/>
          <w:lang w:val="en-US"/>
        </w:rPr>
      </w:pPr>
    </w:p>
    <w:p w14:paraId="3A27BF21" w14:textId="77777777" w:rsidR="00FB731D" w:rsidRDefault="00FB731D" w:rsidP="00FB731D">
      <w:pPr>
        <w:rPr>
          <w:rFonts w:ascii="Calibri" w:hAnsi="Calibri"/>
          <w:sz w:val="22"/>
          <w:szCs w:val="22"/>
          <w:lang w:val="en-US"/>
        </w:rPr>
      </w:pPr>
    </w:p>
    <w:p w14:paraId="21DC1DBF" w14:textId="77777777" w:rsidR="00FB731D" w:rsidRDefault="00FB731D" w:rsidP="00FB731D">
      <w:pPr>
        <w:rPr>
          <w:rFonts w:ascii="Calibri" w:hAnsi="Calibri"/>
          <w:sz w:val="22"/>
          <w:szCs w:val="22"/>
          <w:lang w:val="en-US"/>
        </w:rPr>
      </w:pPr>
    </w:p>
    <w:p w14:paraId="146DEA2D" w14:textId="77777777" w:rsidR="00FB731D" w:rsidRDefault="00FB731D" w:rsidP="00FB731D">
      <w:pPr>
        <w:rPr>
          <w:rFonts w:ascii="Calibri" w:hAnsi="Calibri"/>
          <w:sz w:val="22"/>
          <w:szCs w:val="22"/>
          <w:lang w:val="en-US"/>
        </w:rPr>
      </w:pPr>
    </w:p>
    <w:p w14:paraId="57BD8641" w14:textId="77777777" w:rsidR="00FB731D" w:rsidRDefault="00FB731D" w:rsidP="00FB731D">
      <w:pPr>
        <w:rPr>
          <w:rFonts w:ascii="Calibri" w:hAnsi="Calibri"/>
          <w:sz w:val="22"/>
          <w:szCs w:val="22"/>
          <w:lang w:val="en-US"/>
        </w:rPr>
      </w:pPr>
    </w:p>
    <w:p w14:paraId="1CD45783" w14:textId="77777777" w:rsidR="00FB731D" w:rsidRDefault="00FB731D" w:rsidP="00FB731D">
      <w:pPr>
        <w:rPr>
          <w:rFonts w:ascii="Calibri" w:hAnsi="Calibri"/>
          <w:sz w:val="22"/>
          <w:szCs w:val="22"/>
          <w:lang w:val="en-US"/>
        </w:rPr>
      </w:pPr>
    </w:p>
    <w:p w14:paraId="192E05A6" w14:textId="77777777" w:rsidR="00FB731D" w:rsidRDefault="00FB731D" w:rsidP="00FB731D">
      <w:pPr>
        <w:rPr>
          <w:rFonts w:ascii="Calibri" w:hAnsi="Calibri"/>
          <w:sz w:val="22"/>
          <w:szCs w:val="22"/>
          <w:lang w:val="en-US"/>
        </w:rPr>
      </w:pPr>
    </w:p>
    <w:p w14:paraId="159B689B" w14:textId="77777777" w:rsidR="00FB731D" w:rsidRDefault="00FB731D" w:rsidP="00FB731D">
      <w:pPr>
        <w:rPr>
          <w:rFonts w:ascii="Calibri" w:hAnsi="Calibri"/>
          <w:sz w:val="22"/>
          <w:szCs w:val="22"/>
          <w:lang w:val="en-US"/>
        </w:rPr>
      </w:pPr>
    </w:p>
    <w:p w14:paraId="25FD24C0" w14:textId="77777777" w:rsidR="000C0EC1" w:rsidRDefault="000C0EC1" w:rsidP="004B3D37">
      <w:pPr>
        <w:rPr>
          <w:rFonts w:ascii="Calibri" w:hAnsi="Calibri"/>
          <w:b/>
          <w:sz w:val="28"/>
          <w:szCs w:val="28"/>
          <w:lang w:val="en-US"/>
        </w:rPr>
      </w:pPr>
    </w:p>
    <w:p w14:paraId="5D6E63D6" w14:textId="77777777" w:rsidR="00650344" w:rsidRDefault="00650344" w:rsidP="004B3D37">
      <w:pPr>
        <w:rPr>
          <w:rFonts w:ascii="Calibri" w:hAnsi="Calibri"/>
          <w:b/>
          <w:sz w:val="28"/>
          <w:szCs w:val="28"/>
          <w:lang w:val="en-US"/>
        </w:rPr>
      </w:pPr>
    </w:p>
    <w:p w14:paraId="25292129" w14:textId="77777777" w:rsidR="001C39A5" w:rsidRDefault="001C39A5" w:rsidP="004B3D37">
      <w:pPr>
        <w:rPr>
          <w:rFonts w:ascii="Calibri" w:hAnsi="Calibri"/>
          <w:b/>
          <w:sz w:val="28"/>
          <w:szCs w:val="28"/>
          <w:lang w:val="en-US"/>
        </w:rPr>
      </w:pPr>
    </w:p>
    <w:p w14:paraId="6999AD6D" w14:textId="77777777" w:rsidR="001C39A5" w:rsidRDefault="001C39A5" w:rsidP="004B3D37">
      <w:pPr>
        <w:rPr>
          <w:rFonts w:ascii="Calibri" w:hAnsi="Calibri"/>
          <w:b/>
          <w:sz w:val="28"/>
          <w:szCs w:val="28"/>
          <w:lang w:val="en-US"/>
        </w:rPr>
      </w:pPr>
    </w:p>
    <w:p w14:paraId="42860B9B" w14:textId="35E9E8ED" w:rsidR="004B3D37" w:rsidRPr="002E4DCF" w:rsidRDefault="004B3D37" w:rsidP="004B3D37">
      <w:pPr>
        <w:rPr>
          <w:rFonts w:ascii="Calibri" w:hAnsi="Calibri"/>
          <w:sz w:val="28"/>
          <w:szCs w:val="28"/>
          <w:lang w:val="en-US"/>
        </w:rPr>
      </w:pPr>
      <w:r w:rsidRPr="004B3D37">
        <w:rPr>
          <w:rFonts w:ascii="Calibri" w:hAnsi="Calibri"/>
          <w:b/>
          <w:sz w:val="28"/>
          <w:szCs w:val="28"/>
          <w:lang w:val="en-US"/>
        </w:rPr>
        <w:lastRenderedPageBreak/>
        <w:t xml:space="preserve">eFigure1. </w:t>
      </w:r>
      <w:r w:rsidRPr="002E4DCF">
        <w:rPr>
          <w:rFonts w:ascii="Calibri" w:hAnsi="Calibri"/>
          <w:sz w:val="28"/>
          <w:szCs w:val="28"/>
          <w:lang w:val="en-US"/>
        </w:rPr>
        <w:t>Flow diagram</w:t>
      </w:r>
    </w:p>
    <w:p w14:paraId="0608B7BD" w14:textId="301F7987" w:rsidR="00FB731D" w:rsidRPr="004B3D37" w:rsidRDefault="00FB731D" w:rsidP="00FB731D">
      <w:pPr>
        <w:rPr>
          <w:rFonts w:ascii="Calibri" w:hAnsi="Calibri"/>
          <w:b/>
          <w:sz w:val="22"/>
          <w:szCs w:val="22"/>
          <w:lang w:val="en-US"/>
        </w:rPr>
      </w:pPr>
    </w:p>
    <w:p w14:paraId="177D6E55" w14:textId="77777777" w:rsidR="00025579" w:rsidRPr="00025579" w:rsidRDefault="00025579" w:rsidP="00025579">
      <w:pPr>
        <w:rPr>
          <w:lang w:val="en-US"/>
        </w:rPr>
      </w:pPr>
    </w:p>
    <w:p w14:paraId="41FE6DD9" w14:textId="77777777" w:rsidR="0088423B" w:rsidRPr="0088423B" w:rsidRDefault="0088423B" w:rsidP="0088423B">
      <w:pPr>
        <w:rPr>
          <w:b/>
          <w:sz w:val="12"/>
          <w:szCs w:val="12"/>
          <w:lang w:val="en-US"/>
        </w:rPr>
      </w:pPr>
    </w:p>
    <w:p w14:paraId="58C8F5CC" w14:textId="77777777" w:rsidR="0088423B" w:rsidRPr="0088423B" w:rsidRDefault="0088423B" w:rsidP="0088423B">
      <w:pPr>
        <w:rPr>
          <w:lang w:val="en-US"/>
        </w:rPr>
      </w:pPr>
    </w:p>
    <w:p w14:paraId="308A7664" w14:textId="77777777" w:rsidR="0088423B" w:rsidRPr="0088423B" w:rsidRDefault="0088423B" w:rsidP="0088423B">
      <w:pPr>
        <w:rPr>
          <w:lang w:val="en-US"/>
        </w:rPr>
      </w:pPr>
      <w:r>
        <w:rPr>
          <w:noProof/>
          <w:lang w:val="en-US"/>
        </w:rPr>
        <mc:AlternateContent>
          <mc:Choice Requires="wps">
            <w:drawing>
              <wp:anchor distT="0" distB="0" distL="114300" distR="114300" simplePos="0" relativeHeight="251672576" behindDoc="0" locked="0" layoutInCell="1" allowOverlap="1" wp14:anchorId="773A5C5E" wp14:editId="14F67E4F">
                <wp:simplePos x="0" y="0"/>
                <wp:positionH relativeFrom="column">
                  <wp:posOffset>566928</wp:posOffset>
                </wp:positionH>
                <wp:positionV relativeFrom="paragraph">
                  <wp:posOffset>74245</wp:posOffset>
                </wp:positionV>
                <wp:extent cx="4345229" cy="262966"/>
                <wp:effectExtent l="0" t="0" r="17780" b="22860"/>
                <wp:wrapNone/>
                <wp:docPr id="29" name="Flowchart: Alternate Process 29"/>
                <wp:cNvGraphicFramePr/>
                <a:graphic xmlns:a="http://schemas.openxmlformats.org/drawingml/2006/main">
                  <a:graphicData uri="http://schemas.microsoft.com/office/word/2010/wordprocessingShape">
                    <wps:wsp>
                      <wps:cNvSpPr/>
                      <wps:spPr>
                        <a:xfrm>
                          <a:off x="0" y="0"/>
                          <a:ext cx="4345229" cy="262966"/>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6F821E2F" w14:textId="77777777" w:rsidR="00D8066A" w:rsidRPr="0088423B" w:rsidRDefault="00D8066A" w:rsidP="0088423B">
                            <w:pPr>
                              <w:jc w:val="center"/>
                              <w:rPr>
                                <w:rFonts w:ascii="Arial" w:hAnsi="Arial" w:cs="Arial"/>
                                <w:b/>
                                <w:color w:val="000000" w:themeColor="text1"/>
                                <w:sz w:val="18"/>
                                <w:szCs w:val="18"/>
                                <w:lang w:val="en-US"/>
                              </w:rPr>
                            </w:pPr>
                            <w:r w:rsidRPr="0088423B">
                              <w:rPr>
                                <w:rFonts w:ascii="Arial" w:hAnsi="Arial" w:cs="Arial"/>
                                <w:b/>
                                <w:color w:val="000000" w:themeColor="text1"/>
                                <w:sz w:val="18"/>
                                <w:szCs w:val="18"/>
                                <w:lang w:val="en-US"/>
                              </w:rPr>
                              <w:t>Identification of studies via databases and registers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773A5C5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9" o:spid="_x0000_s1026" type="#_x0000_t176" style="position:absolute;margin-left:44.65pt;margin-top:5.85pt;width:342.15pt;height:20.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" fillcolor="#ffc000 [3207]" strokecolor="#7f5f00 [1607]" strokeweight="1pt">
                <v:textbox>
                  <w:txbxContent>
                    <w:p w14:paraId="6F821E2F" w14:textId="77777777" w:rsidR="00D8066A" w:rsidRPr="0088423B" w:rsidRDefault="00D8066A" w:rsidP="0088423B">
                      <w:pPr>
                        <w:jc w:val="center"/>
                        <w:rPr>
                          <w:rFonts w:ascii="Arial" w:hAnsi="Arial" w:cs="Arial"/>
                          <w:b/>
                          <w:color w:val="000000" w:themeColor="text1"/>
                          <w:sz w:val="18"/>
                          <w:szCs w:val="18"/>
                          <w:lang w:val="en-US"/>
                        </w:rPr>
                      </w:pPr>
                      <w:r w:rsidRPr="0088423B">
                        <w:rPr>
                          <w:rFonts w:ascii="Arial" w:hAnsi="Arial" w:cs="Arial"/>
                          <w:b/>
                          <w:color w:val="000000" w:themeColor="text1"/>
                          <w:sz w:val="18"/>
                          <w:szCs w:val="18"/>
                          <w:lang w:val="en-US"/>
                        </w:rPr>
                        <w:t>Identification of studies via databases and registers</w:t>
                      </w:r>
                    </w:p>
                  </w:txbxContent>
                </v:textbox>
              </v:shape>
            </w:pict>
          </mc:Fallback>
        </mc:AlternateContent>
      </w:r>
    </w:p>
    <w:p w14:paraId="4AECA7A7" w14:textId="77777777" w:rsidR="0088423B" w:rsidRPr="0088423B" w:rsidRDefault="0088423B" w:rsidP="0088423B">
      <w:pPr>
        <w:rPr>
          <w:lang w:val="en-US"/>
        </w:rPr>
      </w:pPr>
    </w:p>
    <w:p w14:paraId="73E89CE3" w14:textId="77777777" w:rsidR="0088423B" w:rsidRPr="0088423B" w:rsidRDefault="0088423B" w:rsidP="0088423B">
      <w:pPr>
        <w:rPr>
          <w:lang w:val="en-US"/>
        </w:rPr>
      </w:pPr>
      <w:r>
        <w:rPr>
          <w:noProof/>
          <w:lang w:val="en-US"/>
        </w:rPr>
        <mc:AlternateContent>
          <mc:Choice Requires="wps">
            <w:drawing>
              <wp:anchor distT="0" distB="0" distL="114300" distR="114300" simplePos="0" relativeHeight="251660288" behindDoc="0" locked="0" layoutInCell="1" allowOverlap="1" wp14:anchorId="4F584F6D" wp14:editId="09EBE151">
                <wp:simplePos x="0" y="0"/>
                <wp:positionH relativeFrom="column">
                  <wp:posOffset>3039466</wp:posOffset>
                </wp:positionH>
                <wp:positionV relativeFrom="paragraph">
                  <wp:posOffset>77064</wp:posOffset>
                </wp:positionV>
                <wp:extent cx="1887220" cy="1242999"/>
                <wp:effectExtent l="0" t="0" r="17780" b="14605"/>
                <wp:wrapNone/>
                <wp:docPr id="2" name="Rectangle 2"/>
                <wp:cNvGraphicFramePr/>
                <a:graphic xmlns:a="http://schemas.openxmlformats.org/drawingml/2006/main">
                  <a:graphicData uri="http://schemas.microsoft.com/office/word/2010/wordprocessingShape">
                    <wps:wsp>
                      <wps:cNvSpPr/>
                      <wps:spPr>
                        <a:xfrm>
                          <a:off x="0" y="0"/>
                          <a:ext cx="1887220" cy="124299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ED1507" w14:textId="77777777" w:rsidR="00D8066A" w:rsidRPr="0088423B" w:rsidRDefault="00D8066A" w:rsidP="0088423B">
                            <w:pPr>
                              <w:rPr>
                                <w:rFonts w:ascii="Arial" w:hAnsi="Arial" w:cs="Arial"/>
                                <w:color w:val="000000" w:themeColor="text1"/>
                                <w:sz w:val="18"/>
                                <w:szCs w:val="20"/>
                                <w:lang w:val="en-US"/>
                              </w:rPr>
                            </w:pPr>
                            <w:r w:rsidRPr="0088423B">
                              <w:rPr>
                                <w:rFonts w:ascii="Arial" w:hAnsi="Arial" w:cs="Arial"/>
                                <w:color w:val="000000" w:themeColor="text1"/>
                                <w:sz w:val="18"/>
                                <w:szCs w:val="20"/>
                                <w:lang w:val="en-US"/>
                              </w:rPr>
                              <w:t xml:space="preserve">Records removed </w:t>
                            </w:r>
                            <w:r w:rsidRPr="0088423B">
                              <w:rPr>
                                <w:rFonts w:ascii="Arial" w:hAnsi="Arial" w:cs="Arial"/>
                                <w:i/>
                                <w:iCs/>
                                <w:color w:val="000000" w:themeColor="text1"/>
                                <w:sz w:val="18"/>
                                <w:szCs w:val="20"/>
                                <w:lang w:val="en-US"/>
                              </w:rPr>
                              <w:t>before screening</w:t>
                            </w:r>
                            <w:r w:rsidRPr="0088423B">
                              <w:rPr>
                                <w:rFonts w:ascii="Arial" w:hAnsi="Arial" w:cs="Arial"/>
                                <w:color w:val="000000" w:themeColor="text1"/>
                                <w:sz w:val="18"/>
                                <w:szCs w:val="20"/>
                                <w:lang w:val="en-US"/>
                              </w:rPr>
                              <w:t>:</w:t>
                            </w:r>
                          </w:p>
                          <w:p w14:paraId="534CAD72" w14:textId="787F9156" w:rsidR="00D8066A" w:rsidRPr="0088423B" w:rsidRDefault="00D8066A" w:rsidP="0088423B">
                            <w:pPr>
                              <w:ind w:left="284"/>
                              <w:rPr>
                                <w:rFonts w:ascii="Arial" w:hAnsi="Arial" w:cs="Arial"/>
                                <w:color w:val="000000" w:themeColor="text1"/>
                                <w:sz w:val="18"/>
                                <w:szCs w:val="20"/>
                                <w:lang w:val="en-US"/>
                              </w:rPr>
                            </w:pPr>
                            <w:r w:rsidRPr="0088423B">
                              <w:rPr>
                                <w:rFonts w:ascii="Arial" w:hAnsi="Arial" w:cs="Arial"/>
                                <w:color w:val="000000" w:themeColor="text1"/>
                                <w:sz w:val="18"/>
                                <w:szCs w:val="20"/>
                                <w:lang w:val="en-US"/>
                              </w:rPr>
                              <w:t>Duplicate records removed  (n = 208</w:t>
                            </w:r>
                            <w:r>
                              <w:rPr>
                                <w:rFonts w:ascii="Arial" w:hAnsi="Arial" w:cs="Arial"/>
                                <w:color w:val="000000" w:themeColor="text1"/>
                                <w:sz w:val="18"/>
                                <w:szCs w:val="20"/>
                                <w:lang w:val="en-US"/>
                              </w:rPr>
                              <w:t>2</w:t>
                            </w:r>
                            <w:r w:rsidRPr="0088423B">
                              <w:rPr>
                                <w:rFonts w:ascii="Arial" w:hAnsi="Arial" w:cs="Arial"/>
                                <w:color w:val="000000" w:themeColor="text1"/>
                                <w:sz w:val="18"/>
                                <w:szCs w:val="20"/>
                                <w:lang w:val="en-US"/>
                              </w:rPr>
                              <w:t>)</w:t>
                            </w:r>
                          </w:p>
                          <w:p w14:paraId="3FA6CA94" w14:textId="77777777" w:rsidR="00D8066A" w:rsidRPr="0088423B" w:rsidRDefault="00D8066A" w:rsidP="0088423B">
                            <w:pPr>
                              <w:ind w:left="284"/>
                              <w:rPr>
                                <w:rFonts w:ascii="Arial" w:hAnsi="Arial" w:cs="Arial"/>
                                <w:color w:val="000000" w:themeColor="text1"/>
                                <w:sz w:val="18"/>
                                <w:szCs w:val="2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4F584F6D" id="Rectangle 2" o:spid="_x0000_s1027" style="position:absolute;margin-left:239.35pt;margin-top:6.05pt;width:148.6pt;height:9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" filled="f" strokecolor="black [3213]" strokeweight="1pt">
                <v:textbox>
                  <w:txbxContent>
                    <w:p w14:paraId="65ED1507" w14:textId="77777777" w:rsidR="00D8066A" w:rsidRPr="0088423B" w:rsidRDefault="00D8066A" w:rsidP="0088423B">
                      <w:pPr>
                        <w:rPr>
                          <w:rFonts w:ascii="Arial" w:hAnsi="Arial" w:cs="Arial"/>
                          <w:color w:val="000000" w:themeColor="text1"/>
                          <w:sz w:val="18"/>
                          <w:szCs w:val="20"/>
                          <w:lang w:val="en-US"/>
                        </w:rPr>
                      </w:pPr>
                      <w:r w:rsidRPr="0088423B">
                        <w:rPr>
                          <w:rFonts w:ascii="Arial" w:hAnsi="Arial" w:cs="Arial"/>
                          <w:color w:val="000000" w:themeColor="text1"/>
                          <w:sz w:val="18"/>
                          <w:szCs w:val="20"/>
                          <w:lang w:val="en-US"/>
                        </w:rPr>
                        <w:t xml:space="preserve">Records removed </w:t>
                      </w:r>
                      <w:r w:rsidRPr="0088423B">
                        <w:rPr>
                          <w:rFonts w:ascii="Arial" w:hAnsi="Arial" w:cs="Arial"/>
                          <w:i/>
                          <w:iCs/>
                          <w:color w:val="000000" w:themeColor="text1"/>
                          <w:sz w:val="18"/>
                          <w:szCs w:val="20"/>
                          <w:lang w:val="en-US"/>
                        </w:rPr>
                        <w:t>before screening</w:t>
                      </w:r>
                      <w:r w:rsidRPr="0088423B">
                        <w:rPr>
                          <w:rFonts w:ascii="Arial" w:hAnsi="Arial" w:cs="Arial"/>
                          <w:color w:val="000000" w:themeColor="text1"/>
                          <w:sz w:val="18"/>
                          <w:szCs w:val="20"/>
                          <w:lang w:val="en-US"/>
                        </w:rPr>
                        <w:t>:</w:t>
                      </w:r>
                    </w:p>
                    <w:p w14:paraId="534CAD72" w14:textId="787F9156" w:rsidR="00D8066A" w:rsidRPr="0088423B" w:rsidRDefault="00D8066A" w:rsidP="0088423B">
                      <w:pPr>
                        <w:ind w:left="284"/>
                        <w:rPr>
                          <w:rFonts w:ascii="Arial" w:hAnsi="Arial" w:cs="Arial"/>
                          <w:color w:val="000000" w:themeColor="text1"/>
                          <w:sz w:val="18"/>
                          <w:szCs w:val="20"/>
                          <w:lang w:val="en-US"/>
                        </w:rPr>
                      </w:pPr>
                      <w:r w:rsidRPr="0088423B">
                        <w:rPr>
                          <w:rFonts w:ascii="Arial" w:hAnsi="Arial" w:cs="Arial"/>
                          <w:color w:val="000000" w:themeColor="text1"/>
                          <w:sz w:val="18"/>
                          <w:szCs w:val="20"/>
                          <w:lang w:val="en-US"/>
                        </w:rPr>
                        <w:t>Duplicate records removed  (n = 208</w:t>
                      </w:r>
                      <w:r>
                        <w:rPr>
                          <w:rFonts w:ascii="Arial" w:hAnsi="Arial" w:cs="Arial"/>
                          <w:color w:val="000000" w:themeColor="text1"/>
                          <w:sz w:val="18"/>
                          <w:szCs w:val="20"/>
                          <w:lang w:val="en-US"/>
                        </w:rPr>
                        <w:t>2</w:t>
                      </w:r>
                      <w:r w:rsidRPr="0088423B">
                        <w:rPr>
                          <w:rFonts w:ascii="Arial" w:hAnsi="Arial" w:cs="Arial"/>
                          <w:color w:val="000000" w:themeColor="text1"/>
                          <w:sz w:val="18"/>
                          <w:szCs w:val="20"/>
                          <w:lang w:val="en-US"/>
                        </w:rPr>
                        <w:t>)</w:t>
                      </w:r>
                    </w:p>
                    <w:p w14:paraId="3FA6CA94" w14:textId="77777777" w:rsidR="00D8066A" w:rsidRPr="0088423B" w:rsidRDefault="00D8066A" w:rsidP="0088423B">
                      <w:pPr>
                        <w:ind w:left="284"/>
                        <w:rPr>
                          <w:rFonts w:ascii="Arial" w:hAnsi="Arial" w:cs="Arial"/>
                          <w:color w:val="000000" w:themeColor="text1"/>
                          <w:sz w:val="18"/>
                          <w:szCs w:val="20"/>
                          <w:lang w:val="en-US"/>
                        </w:rPr>
                      </w:pPr>
                    </w:p>
                  </w:txbxContent>
                </v:textbox>
              </v:rect>
            </w:pict>
          </mc:Fallback>
        </mc:AlternateContent>
      </w:r>
      <w:r>
        <w:rPr>
          <w:noProof/>
          <w:lang w:val="en-US"/>
        </w:rPr>
        <mc:AlternateContent>
          <mc:Choice Requires="wps">
            <w:drawing>
              <wp:anchor distT="0" distB="0" distL="114300" distR="114300" simplePos="0" relativeHeight="251659264" behindDoc="0" locked="0" layoutInCell="1" allowOverlap="1" wp14:anchorId="392F964D" wp14:editId="71A5D273">
                <wp:simplePos x="0" y="0"/>
                <wp:positionH relativeFrom="column">
                  <wp:posOffset>559613</wp:posOffset>
                </wp:positionH>
                <wp:positionV relativeFrom="paragraph">
                  <wp:posOffset>77064</wp:posOffset>
                </wp:positionV>
                <wp:extent cx="1887220" cy="1243584"/>
                <wp:effectExtent l="0" t="0" r="17780" b="13970"/>
                <wp:wrapNone/>
                <wp:docPr id="3" name="Rectangle 3"/>
                <wp:cNvGraphicFramePr/>
                <a:graphic xmlns:a="http://schemas.openxmlformats.org/drawingml/2006/main">
                  <a:graphicData uri="http://schemas.microsoft.com/office/word/2010/wordprocessingShape">
                    <wps:wsp>
                      <wps:cNvSpPr/>
                      <wps:spPr>
                        <a:xfrm>
                          <a:off x="0" y="0"/>
                          <a:ext cx="1887220" cy="12435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A59784" w14:textId="77777777" w:rsidR="00D8066A" w:rsidRPr="0088423B" w:rsidRDefault="00D8066A" w:rsidP="0088423B">
                            <w:pPr>
                              <w:rPr>
                                <w:rFonts w:ascii="Arial" w:hAnsi="Arial" w:cs="Arial"/>
                                <w:color w:val="000000" w:themeColor="text1"/>
                                <w:sz w:val="18"/>
                                <w:szCs w:val="20"/>
                                <w:lang w:val="en-US"/>
                              </w:rPr>
                            </w:pPr>
                            <w:r w:rsidRPr="0088423B">
                              <w:rPr>
                                <w:rFonts w:ascii="Arial" w:hAnsi="Arial" w:cs="Arial"/>
                                <w:color w:val="000000" w:themeColor="text1"/>
                                <w:sz w:val="18"/>
                                <w:szCs w:val="20"/>
                                <w:lang w:val="en-US"/>
                              </w:rPr>
                              <w:t>Records identified from*:</w:t>
                            </w:r>
                          </w:p>
                          <w:p w14:paraId="60B2A327" w14:textId="77777777" w:rsidR="00D8066A" w:rsidRPr="0088423B" w:rsidRDefault="00D8066A" w:rsidP="0088423B">
                            <w:pPr>
                              <w:ind w:left="284"/>
                              <w:rPr>
                                <w:rFonts w:ascii="Arial" w:hAnsi="Arial" w:cs="Arial"/>
                                <w:color w:val="000000" w:themeColor="text1"/>
                                <w:sz w:val="18"/>
                                <w:szCs w:val="20"/>
                                <w:lang w:val="en-US"/>
                              </w:rPr>
                            </w:pPr>
                            <w:r w:rsidRPr="0088423B">
                              <w:rPr>
                                <w:rFonts w:ascii="Arial" w:hAnsi="Arial" w:cs="Arial"/>
                                <w:color w:val="000000" w:themeColor="text1"/>
                                <w:sz w:val="18"/>
                                <w:szCs w:val="20"/>
                                <w:lang w:val="en-US"/>
                              </w:rPr>
                              <w:t>Databases (n = 12815)</w:t>
                            </w:r>
                          </w:p>
                          <w:p w14:paraId="402A0747" w14:textId="77777777" w:rsidR="00D8066A" w:rsidRDefault="00D8066A" w:rsidP="0088423B">
                            <w:pPr>
                              <w:ind w:left="284" w:firstLine="436"/>
                              <w:rPr>
                                <w:rFonts w:ascii="Arial" w:hAnsi="Arial" w:cs="Arial"/>
                                <w:color w:val="000000" w:themeColor="text1"/>
                                <w:sz w:val="18"/>
                                <w:szCs w:val="20"/>
                              </w:rPr>
                            </w:pPr>
                            <w:r>
                              <w:rPr>
                                <w:rFonts w:ascii="Arial" w:hAnsi="Arial" w:cs="Arial"/>
                                <w:color w:val="000000" w:themeColor="text1"/>
                                <w:sz w:val="18"/>
                                <w:szCs w:val="20"/>
                              </w:rPr>
                              <w:t>Scopus (n = 7489)</w:t>
                            </w:r>
                          </w:p>
                          <w:p w14:paraId="27660F27" w14:textId="77777777" w:rsidR="00D8066A" w:rsidRDefault="00D8066A" w:rsidP="0088423B">
                            <w:pPr>
                              <w:ind w:left="284" w:firstLine="436"/>
                              <w:rPr>
                                <w:rFonts w:ascii="Arial" w:hAnsi="Arial" w:cs="Arial"/>
                                <w:color w:val="000000" w:themeColor="text1"/>
                                <w:sz w:val="18"/>
                                <w:szCs w:val="20"/>
                              </w:rPr>
                            </w:pPr>
                            <w:r>
                              <w:rPr>
                                <w:rFonts w:ascii="Arial" w:hAnsi="Arial" w:cs="Arial"/>
                                <w:color w:val="000000" w:themeColor="text1"/>
                                <w:sz w:val="18"/>
                                <w:szCs w:val="20"/>
                              </w:rPr>
                              <w:t>Medline (n = 5326)</w:t>
                            </w:r>
                          </w:p>
                          <w:p w14:paraId="11601546" w14:textId="77777777" w:rsidR="00D8066A" w:rsidRPr="00560609" w:rsidRDefault="00D8066A" w:rsidP="0088423B">
                            <w:pPr>
                              <w:ind w:left="284"/>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392F964D" id="Rectangle 3" o:spid="_x0000_s1028" style="position:absolute;margin-left:44.05pt;margin-top:6.05pt;width:148.6pt;height:9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" filled="f" strokecolor="black [3213]" strokeweight="1pt">
                <v:textbox>
                  <w:txbxContent>
                    <w:p w14:paraId="79A59784" w14:textId="77777777" w:rsidR="00D8066A" w:rsidRPr="0088423B" w:rsidRDefault="00D8066A" w:rsidP="0088423B">
                      <w:pPr>
                        <w:rPr>
                          <w:rFonts w:ascii="Arial" w:hAnsi="Arial" w:cs="Arial"/>
                          <w:color w:val="000000" w:themeColor="text1"/>
                          <w:sz w:val="18"/>
                          <w:szCs w:val="20"/>
                          <w:lang w:val="en-US"/>
                        </w:rPr>
                      </w:pPr>
                      <w:r w:rsidRPr="0088423B">
                        <w:rPr>
                          <w:rFonts w:ascii="Arial" w:hAnsi="Arial" w:cs="Arial"/>
                          <w:color w:val="000000" w:themeColor="text1"/>
                          <w:sz w:val="18"/>
                          <w:szCs w:val="20"/>
                          <w:lang w:val="en-US"/>
                        </w:rPr>
                        <w:t>Records identified from*:</w:t>
                      </w:r>
                    </w:p>
                    <w:p w14:paraId="60B2A327" w14:textId="77777777" w:rsidR="00D8066A" w:rsidRPr="0088423B" w:rsidRDefault="00D8066A" w:rsidP="0088423B">
                      <w:pPr>
                        <w:ind w:left="284"/>
                        <w:rPr>
                          <w:rFonts w:ascii="Arial" w:hAnsi="Arial" w:cs="Arial"/>
                          <w:color w:val="000000" w:themeColor="text1"/>
                          <w:sz w:val="18"/>
                          <w:szCs w:val="20"/>
                          <w:lang w:val="en-US"/>
                        </w:rPr>
                      </w:pPr>
                      <w:r w:rsidRPr="0088423B">
                        <w:rPr>
                          <w:rFonts w:ascii="Arial" w:hAnsi="Arial" w:cs="Arial"/>
                          <w:color w:val="000000" w:themeColor="text1"/>
                          <w:sz w:val="18"/>
                          <w:szCs w:val="20"/>
                          <w:lang w:val="en-US"/>
                        </w:rPr>
                        <w:t>Databases (n = 12815)</w:t>
                      </w:r>
                    </w:p>
                    <w:p w14:paraId="402A0747" w14:textId="77777777" w:rsidR="00D8066A" w:rsidRDefault="00D8066A" w:rsidP="0088423B">
                      <w:pPr>
                        <w:ind w:left="284" w:firstLine="436"/>
                        <w:rPr>
                          <w:rFonts w:ascii="Arial" w:hAnsi="Arial" w:cs="Arial"/>
                          <w:color w:val="000000" w:themeColor="text1"/>
                          <w:sz w:val="18"/>
                          <w:szCs w:val="20"/>
                        </w:rPr>
                      </w:pPr>
                      <w:r>
                        <w:rPr>
                          <w:rFonts w:ascii="Arial" w:hAnsi="Arial" w:cs="Arial"/>
                          <w:color w:val="000000" w:themeColor="text1"/>
                          <w:sz w:val="18"/>
                          <w:szCs w:val="20"/>
                        </w:rPr>
                        <w:t>Scopus (n = 7489)</w:t>
                      </w:r>
                    </w:p>
                    <w:p w14:paraId="27660F27" w14:textId="77777777" w:rsidR="00D8066A" w:rsidRDefault="00D8066A" w:rsidP="0088423B">
                      <w:pPr>
                        <w:ind w:left="284" w:firstLine="436"/>
                        <w:rPr>
                          <w:rFonts w:ascii="Arial" w:hAnsi="Arial" w:cs="Arial"/>
                          <w:color w:val="000000" w:themeColor="text1"/>
                          <w:sz w:val="18"/>
                          <w:szCs w:val="20"/>
                        </w:rPr>
                      </w:pPr>
                      <w:r>
                        <w:rPr>
                          <w:rFonts w:ascii="Arial" w:hAnsi="Arial" w:cs="Arial"/>
                          <w:color w:val="000000" w:themeColor="text1"/>
                          <w:sz w:val="18"/>
                          <w:szCs w:val="20"/>
                        </w:rPr>
                        <w:t>Medline (n = 5326)</w:t>
                      </w:r>
                    </w:p>
                    <w:p w14:paraId="11601546" w14:textId="77777777" w:rsidR="00D8066A" w:rsidRPr="00560609" w:rsidRDefault="00D8066A" w:rsidP="0088423B">
                      <w:pPr>
                        <w:ind w:left="284"/>
                        <w:rPr>
                          <w:rFonts w:ascii="Arial" w:hAnsi="Arial" w:cs="Arial"/>
                          <w:color w:val="000000" w:themeColor="text1"/>
                          <w:sz w:val="18"/>
                          <w:szCs w:val="20"/>
                        </w:rPr>
                      </w:pPr>
                    </w:p>
                  </w:txbxContent>
                </v:textbox>
              </v:rect>
            </w:pict>
          </mc:Fallback>
        </mc:AlternateContent>
      </w:r>
    </w:p>
    <w:p w14:paraId="3DD7ADE5" w14:textId="77777777" w:rsidR="0088423B" w:rsidRPr="0088423B" w:rsidRDefault="0088423B" w:rsidP="0088423B">
      <w:pPr>
        <w:rPr>
          <w:lang w:val="en-US"/>
        </w:rPr>
      </w:pPr>
    </w:p>
    <w:p w14:paraId="163706BB" w14:textId="77777777" w:rsidR="0088423B" w:rsidRPr="0088423B" w:rsidRDefault="0088423B" w:rsidP="0088423B">
      <w:pPr>
        <w:rPr>
          <w:lang w:val="en-US"/>
        </w:rPr>
      </w:pPr>
      <w:r>
        <w:rPr>
          <w:noProof/>
          <w:lang w:val="en-US"/>
        </w:rPr>
        <mc:AlternateContent>
          <mc:Choice Requires="wps">
            <w:drawing>
              <wp:anchor distT="0" distB="0" distL="114300" distR="114300" simplePos="0" relativeHeight="251673600" behindDoc="0" locked="0" layoutInCell="1" allowOverlap="1" wp14:anchorId="018774C0" wp14:editId="44969DAD">
                <wp:simplePos x="0" y="0"/>
                <wp:positionH relativeFrom="column">
                  <wp:posOffset>-403543</wp:posOffset>
                </wp:positionH>
                <wp:positionV relativeFrom="paragraph">
                  <wp:posOffset>222567</wp:posOffset>
                </wp:positionV>
                <wp:extent cx="1276985" cy="262890"/>
                <wp:effectExtent l="0" t="7302" r="11112" b="11113"/>
                <wp:wrapNone/>
                <wp:docPr id="31" name="Flowchart: Alternate Process 31"/>
                <wp:cNvGraphicFramePr/>
                <a:graphic xmlns:a="http://schemas.openxmlformats.org/drawingml/2006/main">
                  <a:graphicData uri="http://schemas.microsoft.com/office/word/2010/wordprocessingShape">
                    <wps:wsp>
                      <wps:cNvSpPr/>
                      <wps:spPr>
                        <a:xfrm rot="16200000">
                          <a:off x="0" y="0"/>
                          <a:ext cx="127698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265F3868" w14:textId="77777777" w:rsidR="00D8066A" w:rsidRPr="001502CF" w:rsidRDefault="00D8066A" w:rsidP="0088423B">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18774C0" id="Flowchart: Alternate Process 31" o:spid="_x0000_s1029" type="#_x0000_t176" style="position:absolute;margin-left:-31.8pt;margin-top:17.5pt;width:100.55pt;height:20.7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" fillcolor="#9cc2e5 [1944]" strokecolor="black [3213]" strokeweight="1pt">
                <v:textbox>
                  <w:txbxContent>
                    <w:p w14:paraId="265F3868" w14:textId="77777777" w:rsidR="00D8066A" w:rsidRPr="001502CF" w:rsidRDefault="00D8066A" w:rsidP="0088423B">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v:textbox>
              </v:shape>
            </w:pict>
          </mc:Fallback>
        </mc:AlternateContent>
      </w:r>
    </w:p>
    <w:p w14:paraId="5809F3EC" w14:textId="77777777" w:rsidR="0088423B" w:rsidRPr="0088423B" w:rsidRDefault="0088423B" w:rsidP="0088423B">
      <w:pPr>
        <w:rPr>
          <w:lang w:val="en-US"/>
        </w:rPr>
      </w:pPr>
    </w:p>
    <w:p w14:paraId="10DF8339" w14:textId="77777777" w:rsidR="0088423B" w:rsidRPr="0088423B" w:rsidRDefault="0088423B" w:rsidP="0088423B">
      <w:pPr>
        <w:rPr>
          <w:lang w:val="en-US"/>
        </w:rPr>
      </w:pPr>
      <w:r>
        <w:rPr>
          <w:noProof/>
          <w:lang w:val="en-US"/>
        </w:rPr>
        <mc:AlternateContent>
          <mc:Choice Requires="wps">
            <w:drawing>
              <wp:anchor distT="0" distB="0" distL="114300" distR="114300" simplePos="0" relativeHeight="251668480" behindDoc="0" locked="0" layoutInCell="1" allowOverlap="1" wp14:anchorId="612BCAF7" wp14:editId="68165838">
                <wp:simplePos x="0" y="0"/>
                <wp:positionH relativeFrom="column">
                  <wp:posOffset>2454250</wp:posOffset>
                </wp:positionH>
                <wp:positionV relativeFrom="paragraph">
                  <wp:posOffset>9550</wp:posOffset>
                </wp:positionV>
                <wp:extent cx="563270" cy="0"/>
                <wp:effectExtent l="0" t="76200" r="27305" b="95250"/>
                <wp:wrapNone/>
                <wp:docPr id="14" name="Straight Arrow Connector 14"/>
                <wp:cNvGraphicFramePr/>
                <a:graphic xmlns:a="http://schemas.openxmlformats.org/drawingml/2006/main">
                  <a:graphicData uri="http://schemas.microsoft.com/office/word/2010/wordprocessingShape">
                    <wps:wsp>
                      <wps:cNvCnPr/>
                      <wps:spPr>
                        <a:xfrm>
                          <a:off x="0" y="0"/>
                          <a:ext cx="56327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49651F2F" id="_x0000_t32" coordsize="21600,21600" o:spt="32" o:oned="t" path="m,l21600,21600e" filled="f">
                <v:path arrowok="t" fillok="f" o:connecttype="none"/>
                <o:lock v:ext="edit" shapetype="t"/>
              </v:shapetype>
              <v:shape id="Straight Arrow Connector 14" o:spid="_x0000_s1026" type="#_x0000_t32" style="position:absolute;margin-left:193.25pt;margin-top:.75pt;width:44.3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" strokecolor="black [3213]" strokeweight=".5pt">
                <v:stroke endarrow="block" joinstyle="miter"/>
              </v:shape>
            </w:pict>
          </mc:Fallback>
        </mc:AlternateContent>
      </w:r>
    </w:p>
    <w:p w14:paraId="69B9D70E" w14:textId="77777777" w:rsidR="0088423B" w:rsidRPr="0088423B" w:rsidRDefault="0088423B" w:rsidP="0088423B">
      <w:pPr>
        <w:rPr>
          <w:lang w:val="en-US"/>
        </w:rPr>
      </w:pPr>
    </w:p>
    <w:p w14:paraId="197C1A84" w14:textId="77777777" w:rsidR="0088423B" w:rsidRPr="0088423B" w:rsidRDefault="0088423B" w:rsidP="0088423B">
      <w:pPr>
        <w:rPr>
          <w:lang w:val="en-US"/>
        </w:rPr>
      </w:pPr>
    </w:p>
    <w:p w14:paraId="4911F90B" w14:textId="77777777" w:rsidR="0088423B" w:rsidRPr="0088423B" w:rsidRDefault="0088423B" w:rsidP="0088423B">
      <w:pPr>
        <w:rPr>
          <w:lang w:val="en-US"/>
        </w:rPr>
      </w:pPr>
      <w:r>
        <w:rPr>
          <w:noProof/>
          <w:lang w:val="en-US"/>
        </w:rPr>
        <mc:AlternateContent>
          <mc:Choice Requires="wps">
            <w:drawing>
              <wp:anchor distT="0" distB="0" distL="114300" distR="114300" simplePos="0" relativeHeight="251676672" behindDoc="0" locked="0" layoutInCell="1" allowOverlap="1" wp14:anchorId="3C434B2A" wp14:editId="7CA75688">
                <wp:simplePos x="0" y="0"/>
                <wp:positionH relativeFrom="column">
                  <wp:posOffset>1400175</wp:posOffset>
                </wp:positionH>
                <wp:positionV relativeFrom="paragraph">
                  <wp:posOffset>128905</wp:posOffset>
                </wp:positionV>
                <wp:extent cx="0" cy="281305"/>
                <wp:effectExtent l="76200" t="0" r="57150" b="61595"/>
                <wp:wrapNone/>
                <wp:docPr id="27" name="Straight Arrow Connector 27"/>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3B70B23" id="Straight Arrow Connector 27" o:spid="_x0000_s1026" type="#_x0000_t32" style="position:absolute;margin-left:110.25pt;margin-top:10.15pt;width:0;height:22.1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" strokecolor="black [3213]" strokeweight=".5pt">
                <v:stroke endarrow="block" joinstyle="miter"/>
              </v:shape>
            </w:pict>
          </mc:Fallback>
        </mc:AlternateContent>
      </w:r>
    </w:p>
    <w:p w14:paraId="518BF296" w14:textId="77777777" w:rsidR="0088423B" w:rsidRPr="0088423B" w:rsidRDefault="0088423B" w:rsidP="0088423B">
      <w:pPr>
        <w:rPr>
          <w:lang w:val="en-US"/>
        </w:rPr>
      </w:pPr>
    </w:p>
    <w:p w14:paraId="00E64B4C" w14:textId="77777777" w:rsidR="0088423B" w:rsidRPr="0088423B" w:rsidRDefault="0088423B" w:rsidP="0088423B">
      <w:pPr>
        <w:rPr>
          <w:lang w:val="en-US"/>
        </w:rPr>
      </w:pPr>
      <w:r>
        <w:rPr>
          <w:noProof/>
          <w:lang w:val="en-US"/>
        </w:rPr>
        <mc:AlternateContent>
          <mc:Choice Requires="wps">
            <w:drawing>
              <wp:anchor distT="0" distB="0" distL="114300" distR="114300" simplePos="0" relativeHeight="251669504" behindDoc="0" locked="0" layoutInCell="1" allowOverlap="1" wp14:anchorId="3AAF9C2A" wp14:editId="7E06BB5D">
                <wp:simplePos x="0" y="0"/>
                <wp:positionH relativeFrom="column">
                  <wp:posOffset>2453640</wp:posOffset>
                </wp:positionH>
                <wp:positionV relativeFrom="paragraph">
                  <wp:posOffset>328295</wp:posOffset>
                </wp:positionV>
                <wp:extent cx="563245" cy="0"/>
                <wp:effectExtent l="0" t="76200" r="27305" b="95250"/>
                <wp:wrapNone/>
                <wp:docPr id="15" name="Straight Arrow Connector 15"/>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B166C04" id="Straight Arrow Connector 15" o:spid="_x0000_s1026" type="#_x0000_t32" style="position:absolute;margin-left:193.2pt;margin-top:25.85pt;width:44.3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" strokecolor="black [3213]" strokeweight=".5pt">
                <v:stroke endarrow="block" joinstyle="miter"/>
              </v:shape>
            </w:pict>
          </mc:Fallback>
        </mc:AlternateContent>
      </w:r>
      <w:r>
        <w:rPr>
          <w:noProof/>
          <w:lang w:val="en-US"/>
        </w:rPr>
        <mc:AlternateContent>
          <mc:Choice Requires="wps">
            <w:drawing>
              <wp:anchor distT="0" distB="0" distL="114300" distR="114300" simplePos="0" relativeHeight="251661312" behindDoc="0" locked="0" layoutInCell="1" allowOverlap="1" wp14:anchorId="634EE342" wp14:editId="64713A35">
                <wp:simplePos x="0" y="0"/>
                <wp:positionH relativeFrom="column">
                  <wp:posOffset>559435</wp:posOffset>
                </wp:positionH>
                <wp:positionV relativeFrom="paragraph">
                  <wp:posOffset>74930</wp:posOffset>
                </wp:positionV>
                <wp:extent cx="1887220" cy="526415"/>
                <wp:effectExtent l="0" t="0" r="17780" b="26035"/>
                <wp:wrapNone/>
                <wp:docPr id="4" name="Rectangle 4"/>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05A7D7" w14:textId="77777777" w:rsidR="00D8066A" w:rsidRDefault="00D8066A" w:rsidP="0088423B">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screened</w:t>
                            </w:r>
                          </w:p>
                          <w:p w14:paraId="5404CD81" w14:textId="30A55079" w:rsidR="00D8066A" w:rsidRPr="00560609" w:rsidRDefault="00D8066A" w:rsidP="0088423B">
                            <w:pPr>
                              <w:rPr>
                                <w:rFonts w:ascii="Arial" w:hAnsi="Arial" w:cs="Arial"/>
                                <w:color w:val="000000" w:themeColor="text1"/>
                                <w:sz w:val="18"/>
                                <w:szCs w:val="20"/>
                              </w:rPr>
                            </w:pPr>
                            <w:r>
                              <w:rPr>
                                <w:rFonts w:ascii="Arial" w:hAnsi="Arial" w:cs="Arial"/>
                                <w:color w:val="000000" w:themeColor="text1"/>
                                <w:sz w:val="18"/>
                                <w:szCs w:val="20"/>
                              </w:rPr>
                              <w:t>(n = 10733)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634EE342" id="Rectangle 4" o:spid="_x0000_s1030" style="position:absolute;margin-left:44.05pt;margin-top:5.9pt;width:148.6pt;height:4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" filled="f" strokecolor="black [3213]" strokeweight="1pt">
                <v:textbox>
                  <w:txbxContent>
                    <w:p w14:paraId="6005A7D7" w14:textId="77777777" w:rsidR="00D8066A" w:rsidRDefault="00D8066A" w:rsidP="0088423B">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screened</w:t>
                      </w:r>
                    </w:p>
                    <w:p w14:paraId="5404CD81" w14:textId="30A55079" w:rsidR="00D8066A" w:rsidRPr="00560609" w:rsidRDefault="00D8066A" w:rsidP="0088423B">
                      <w:pPr>
                        <w:rPr>
                          <w:rFonts w:ascii="Arial" w:hAnsi="Arial" w:cs="Arial"/>
                          <w:color w:val="000000" w:themeColor="text1"/>
                          <w:sz w:val="18"/>
                          <w:szCs w:val="20"/>
                        </w:rPr>
                      </w:pPr>
                      <w:r>
                        <w:rPr>
                          <w:rFonts w:ascii="Arial" w:hAnsi="Arial" w:cs="Arial"/>
                          <w:color w:val="000000" w:themeColor="text1"/>
                          <w:sz w:val="18"/>
                          <w:szCs w:val="20"/>
                        </w:rPr>
                        <w:t>(n = 10733)</w:t>
                      </w:r>
                    </w:p>
                  </w:txbxContent>
                </v:textbox>
              </v:rect>
            </w:pict>
          </mc:Fallback>
        </mc:AlternateContent>
      </w:r>
      <w:r>
        <w:rPr>
          <w:noProof/>
          <w:lang w:val="en-US"/>
        </w:rPr>
        <mc:AlternateContent>
          <mc:Choice Requires="wps">
            <w:drawing>
              <wp:anchor distT="0" distB="0" distL="114300" distR="114300" simplePos="0" relativeHeight="251662336" behindDoc="0" locked="0" layoutInCell="1" allowOverlap="1" wp14:anchorId="66D2FE49" wp14:editId="47721A19">
                <wp:simplePos x="0" y="0"/>
                <wp:positionH relativeFrom="column">
                  <wp:posOffset>3048000</wp:posOffset>
                </wp:positionH>
                <wp:positionV relativeFrom="paragraph">
                  <wp:posOffset>74930</wp:posOffset>
                </wp:positionV>
                <wp:extent cx="1887220" cy="526415"/>
                <wp:effectExtent l="0" t="0" r="17780" b="26035"/>
                <wp:wrapNone/>
                <wp:docPr id="5" name="Rectangle 5"/>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62FAB8" w14:textId="77777777" w:rsidR="00D8066A" w:rsidRDefault="00D8066A" w:rsidP="0088423B">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excluded</w:t>
                            </w:r>
                          </w:p>
                          <w:p w14:paraId="1A393924" w14:textId="1609E81B" w:rsidR="00D8066A" w:rsidRPr="00560609" w:rsidRDefault="00D8066A" w:rsidP="0088423B">
                            <w:pPr>
                              <w:rPr>
                                <w:rFonts w:ascii="Arial" w:hAnsi="Arial" w:cs="Arial"/>
                                <w:color w:val="000000" w:themeColor="text1"/>
                                <w:sz w:val="18"/>
                                <w:szCs w:val="20"/>
                              </w:rPr>
                            </w:pPr>
                            <w:r>
                              <w:rPr>
                                <w:rFonts w:ascii="Arial" w:hAnsi="Arial" w:cs="Arial"/>
                                <w:color w:val="000000" w:themeColor="text1"/>
                                <w:sz w:val="18"/>
                                <w:szCs w:val="20"/>
                              </w:rPr>
                              <w:t>(n = 9708)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66D2FE49" id="Rectangle 5" o:spid="_x0000_s1031" style="position:absolute;margin-left:240pt;margin-top:5.9pt;width:148.6pt;height:4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" filled="f" strokecolor="black [3213]" strokeweight="1pt">
                <v:textbox>
                  <w:txbxContent>
                    <w:p w14:paraId="3262FAB8" w14:textId="77777777" w:rsidR="00D8066A" w:rsidRDefault="00D8066A" w:rsidP="0088423B">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excluded</w:t>
                      </w:r>
                    </w:p>
                    <w:p w14:paraId="1A393924" w14:textId="1609E81B" w:rsidR="00D8066A" w:rsidRPr="00560609" w:rsidRDefault="00D8066A" w:rsidP="0088423B">
                      <w:pPr>
                        <w:rPr>
                          <w:rFonts w:ascii="Arial" w:hAnsi="Arial" w:cs="Arial"/>
                          <w:color w:val="000000" w:themeColor="text1"/>
                          <w:sz w:val="18"/>
                          <w:szCs w:val="20"/>
                        </w:rPr>
                      </w:pPr>
                      <w:r>
                        <w:rPr>
                          <w:rFonts w:ascii="Arial" w:hAnsi="Arial" w:cs="Arial"/>
                          <w:color w:val="000000" w:themeColor="text1"/>
                          <w:sz w:val="18"/>
                          <w:szCs w:val="20"/>
                        </w:rPr>
                        <w:t>(n = 9708)</w:t>
                      </w:r>
                    </w:p>
                  </w:txbxContent>
                </v:textbox>
              </v:rect>
            </w:pict>
          </mc:Fallback>
        </mc:AlternateContent>
      </w:r>
    </w:p>
    <w:p w14:paraId="1DE35E2E" w14:textId="77777777" w:rsidR="0088423B" w:rsidRPr="0088423B" w:rsidRDefault="0088423B" w:rsidP="0088423B">
      <w:pPr>
        <w:rPr>
          <w:lang w:val="en-US"/>
        </w:rPr>
      </w:pPr>
    </w:p>
    <w:p w14:paraId="36A0CDB3" w14:textId="77777777" w:rsidR="0088423B" w:rsidRPr="0088423B" w:rsidRDefault="0088423B" w:rsidP="0088423B">
      <w:pPr>
        <w:rPr>
          <w:lang w:val="en-US"/>
        </w:rPr>
      </w:pPr>
    </w:p>
    <w:p w14:paraId="520019D7" w14:textId="77777777" w:rsidR="0088423B" w:rsidRPr="0088423B" w:rsidRDefault="0088423B" w:rsidP="0088423B">
      <w:pPr>
        <w:rPr>
          <w:lang w:val="en-US"/>
        </w:rPr>
      </w:pPr>
      <w:r>
        <w:rPr>
          <w:noProof/>
          <w:lang w:val="en-US"/>
        </w:rPr>
        <mc:AlternateContent>
          <mc:Choice Requires="wps">
            <w:drawing>
              <wp:anchor distT="0" distB="0" distL="114300" distR="114300" simplePos="0" relativeHeight="251677696" behindDoc="0" locked="0" layoutInCell="1" allowOverlap="1" wp14:anchorId="7F601A47" wp14:editId="24DD16E5">
                <wp:simplePos x="0" y="0"/>
                <wp:positionH relativeFrom="column">
                  <wp:posOffset>1400175</wp:posOffset>
                </wp:positionH>
                <wp:positionV relativeFrom="paragraph">
                  <wp:posOffset>99695</wp:posOffset>
                </wp:positionV>
                <wp:extent cx="0" cy="281305"/>
                <wp:effectExtent l="76200" t="0" r="57150" b="61595"/>
                <wp:wrapNone/>
                <wp:docPr id="35"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DB66CAE" id="Straight Arrow Connector 35" o:spid="_x0000_s1026" type="#_x0000_t32" style="position:absolute;margin-left:110.25pt;margin-top:7.85pt;width:0;height:22.1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" strokecolor="black [3213]" strokeweight=".5pt">
                <v:stroke endarrow="block" joinstyle="miter"/>
              </v:shape>
            </w:pict>
          </mc:Fallback>
        </mc:AlternateContent>
      </w:r>
    </w:p>
    <w:p w14:paraId="68EC2C1D" w14:textId="77777777" w:rsidR="0088423B" w:rsidRPr="0088423B" w:rsidRDefault="0088423B" w:rsidP="0088423B">
      <w:pPr>
        <w:rPr>
          <w:lang w:val="en-US"/>
        </w:rPr>
      </w:pPr>
    </w:p>
    <w:p w14:paraId="47653AAA" w14:textId="77777777" w:rsidR="0088423B" w:rsidRPr="0088423B" w:rsidRDefault="0088423B" w:rsidP="0088423B">
      <w:pPr>
        <w:rPr>
          <w:lang w:val="en-US"/>
        </w:rPr>
      </w:pPr>
      <w:r w:rsidRPr="00560609">
        <w:rPr>
          <w:noProof/>
          <w:lang w:val="en-US"/>
        </w:rPr>
        <mc:AlternateContent>
          <mc:Choice Requires="wps">
            <w:drawing>
              <wp:anchor distT="0" distB="0" distL="114300" distR="114300" simplePos="0" relativeHeight="251663360" behindDoc="0" locked="0" layoutInCell="1" allowOverlap="1" wp14:anchorId="50C427D5" wp14:editId="1038EBA7">
                <wp:simplePos x="0" y="0"/>
                <wp:positionH relativeFrom="column">
                  <wp:posOffset>560705</wp:posOffset>
                </wp:positionH>
                <wp:positionV relativeFrom="paragraph">
                  <wp:posOffset>47625</wp:posOffset>
                </wp:positionV>
                <wp:extent cx="1887220" cy="526415"/>
                <wp:effectExtent l="0" t="0" r="17780" b="26035"/>
                <wp:wrapNone/>
                <wp:docPr id="6" name="Rectangle 6"/>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445B5D" w14:textId="77777777" w:rsidR="00D8066A" w:rsidRPr="0088423B" w:rsidRDefault="00D8066A" w:rsidP="0088423B">
                            <w:pPr>
                              <w:rPr>
                                <w:rFonts w:ascii="Arial" w:hAnsi="Arial" w:cs="Arial"/>
                                <w:color w:val="000000" w:themeColor="text1"/>
                                <w:sz w:val="18"/>
                                <w:szCs w:val="20"/>
                                <w:lang w:val="en-US"/>
                              </w:rPr>
                            </w:pPr>
                            <w:r w:rsidRPr="0088423B">
                              <w:rPr>
                                <w:rFonts w:ascii="Arial" w:hAnsi="Arial" w:cs="Arial"/>
                                <w:color w:val="000000" w:themeColor="text1"/>
                                <w:sz w:val="18"/>
                                <w:szCs w:val="20"/>
                                <w:lang w:val="en-US"/>
                              </w:rPr>
                              <w:t>Reports sought for retrieval</w:t>
                            </w:r>
                          </w:p>
                          <w:p w14:paraId="7C71FE03" w14:textId="24B594C0" w:rsidR="00D8066A" w:rsidRPr="0088423B" w:rsidRDefault="00D8066A" w:rsidP="0088423B">
                            <w:pPr>
                              <w:rPr>
                                <w:rFonts w:ascii="Arial" w:hAnsi="Arial" w:cs="Arial"/>
                                <w:color w:val="000000" w:themeColor="text1"/>
                                <w:sz w:val="18"/>
                                <w:szCs w:val="20"/>
                                <w:lang w:val="en-US"/>
                              </w:rPr>
                            </w:pPr>
                            <w:r w:rsidRPr="0088423B">
                              <w:rPr>
                                <w:rFonts w:ascii="Arial" w:hAnsi="Arial" w:cs="Arial"/>
                                <w:color w:val="000000" w:themeColor="text1"/>
                                <w:sz w:val="18"/>
                                <w:szCs w:val="20"/>
                                <w:lang w:val="en-US"/>
                              </w:rPr>
                              <w:t>(n = 10</w:t>
                            </w:r>
                            <w:r>
                              <w:rPr>
                                <w:rFonts w:ascii="Arial" w:hAnsi="Arial" w:cs="Arial"/>
                                <w:color w:val="000000" w:themeColor="text1"/>
                                <w:sz w:val="18"/>
                                <w:szCs w:val="20"/>
                                <w:lang w:val="en-US"/>
                              </w:rPr>
                              <w:t>25</w:t>
                            </w:r>
                            <w:r w:rsidRPr="0088423B">
                              <w:rPr>
                                <w:rFonts w:ascii="Arial" w:hAnsi="Arial" w:cs="Arial"/>
                                <w:color w:val="000000" w:themeColor="text1"/>
                                <w:sz w:val="18"/>
                                <w:szCs w:val="20"/>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50C427D5" id="Rectangle 6" o:spid="_x0000_s1032" style="position:absolute;margin-left:44.15pt;margin-top:3.75pt;width:148.6pt;height:4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" filled="f" strokecolor="black [3213]" strokeweight="1pt">
                <v:textbox>
                  <w:txbxContent>
                    <w:p w14:paraId="7F445B5D" w14:textId="77777777" w:rsidR="00D8066A" w:rsidRPr="0088423B" w:rsidRDefault="00D8066A" w:rsidP="0088423B">
                      <w:pPr>
                        <w:rPr>
                          <w:rFonts w:ascii="Arial" w:hAnsi="Arial" w:cs="Arial"/>
                          <w:color w:val="000000" w:themeColor="text1"/>
                          <w:sz w:val="18"/>
                          <w:szCs w:val="20"/>
                          <w:lang w:val="en-US"/>
                        </w:rPr>
                      </w:pPr>
                      <w:r w:rsidRPr="0088423B">
                        <w:rPr>
                          <w:rFonts w:ascii="Arial" w:hAnsi="Arial" w:cs="Arial"/>
                          <w:color w:val="000000" w:themeColor="text1"/>
                          <w:sz w:val="18"/>
                          <w:szCs w:val="20"/>
                          <w:lang w:val="en-US"/>
                        </w:rPr>
                        <w:t>Reports sought for retrieval</w:t>
                      </w:r>
                    </w:p>
                    <w:p w14:paraId="7C71FE03" w14:textId="24B594C0" w:rsidR="00D8066A" w:rsidRPr="0088423B" w:rsidRDefault="00D8066A" w:rsidP="0088423B">
                      <w:pPr>
                        <w:rPr>
                          <w:rFonts w:ascii="Arial" w:hAnsi="Arial" w:cs="Arial"/>
                          <w:color w:val="000000" w:themeColor="text1"/>
                          <w:sz w:val="18"/>
                          <w:szCs w:val="20"/>
                          <w:lang w:val="en-US"/>
                        </w:rPr>
                      </w:pPr>
                      <w:r w:rsidRPr="0088423B">
                        <w:rPr>
                          <w:rFonts w:ascii="Arial" w:hAnsi="Arial" w:cs="Arial"/>
                          <w:color w:val="000000" w:themeColor="text1"/>
                          <w:sz w:val="18"/>
                          <w:szCs w:val="20"/>
                          <w:lang w:val="en-US"/>
                        </w:rPr>
                        <w:t>(n = 10</w:t>
                      </w:r>
                      <w:r>
                        <w:rPr>
                          <w:rFonts w:ascii="Arial" w:hAnsi="Arial" w:cs="Arial"/>
                          <w:color w:val="000000" w:themeColor="text1"/>
                          <w:sz w:val="18"/>
                          <w:szCs w:val="20"/>
                          <w:lang w:val="en-US"/>
                        </w:rPr>
                        <w:t>25</w:t>
                      </w:r>
                      <w:r w:rsidRPr="0088423B">
                        <w:rPr>
                          <w:rFonts w:ascii="Arial" w:hAnsi="Arial" w:cs="Arial"/>
                          <w:color w:val="000000" w:themeColor="text1"/>
                          <w:sz w:val="18"/>
                          <w:szCs w:val="20"/>
                          <w:lang w:val="en-US"/>
                        </w:rPr>
                        <w:t>)</w:t>
                      </w:r>
                    </w:p>
                  </w:txbxContent>
                </v:textbox>
              </v:rect>
            </w:pict>
          </mc:Fallback>
        </mc:AlternateContent>
      </w:r>
      <w:r>
        <w:rPr>
          <w:noProof/>
          <w:lang w:val="en-US"/>
        </w:rPr>
        <mc:AlternateContent>
          <mc:Choice Requires="wps">
            <w:drawing>
              <wp:anchor distT="0" distB="0" distL="114300" distR="114300" simplePos="0" relativeHeight="251670528" behindDoc="0" locked="0" layoutInCell="1" allowOverlap="1" wp14:anchorId="72B50DE7" wp14:editId="26E34584">
                <wp:simplePos x="0" y="0"/>
                <wp:positionH relativeFrom="column">
                  <wp:posOffset>2463165</wp:posOffset>
                </wp:positionH>
                <wp:positionV relativeFrom="paragraph">
                  <wp:posOffset>320675</wp:posOffset>
                </wp:positionV>
                <wp:extent cx="563245" cy="0"/>
                <wp:effectExtent l="0" t="76200" r="27305" b="95250"/>
                <wp:wrapNone/>
                <wp:docPr id="16" name="Straight Arrow Connector 16"/>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6FDB60C" id="Straight Arrow Connector 16" o:spid="_x0000_s1026" type="#_x0000_t32" style="position:absolute;margin-left:193.95pt;margin-top:25.25pt;width:44.35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" strokecolor="black [3213]" strokeweight=".5pt">
                <v:stroke endarrow="block" joinstyle="miter"/>
              </v:shape>
            </w:pict>
          </mc:Fallback>
        </mc:AlternateContent>
      </w:r>
      <w:r w:rsidRPr="00560609">
        <w:rPr>
          <w:noProof/>
          <w:lang w:val="en-US"/>
        </w:rPr>
        <mc:AlternateContent>
          <mc:Choice Requires="wps">
            <w:drawing>
              <wp:anchor distT="0" distB="0" distL="114300" distR="114300" simplePos="0" relativeHeight="251664384" behindDoc="0" locked="0" layoutInCell="1" allowOverlap="1" wp14:anchorId="77EE9052" wp14:editId="1623A2E9">
                <wp:simplePos x="0" y="0"/>
                <wp:positionH relativeFrom="column">
                  <wp:posOffset>3049270</wp:posOffset>
                </wp:positionH>
                <wp:positionV relativeFrom="paragraph">
                  <wp:posOffset>66675</wp:posOffset>
                </wp:positionV>
                <wp:extent cx="1887220" cy="526415"/>
                <wp:effectExtent l="0" t="0" r="17780" b="26035"/>
                <wp:wrapNone/>
                <wp:docPr id="7" name="Rectangle 7"/>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CBE9C1" w14:textId="77777777" w:rsidR="00D8066A" w:rsidRDefault="00D8066A" w:rsidP="0088423B">
                            <w:pPr>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not retrieved</w:t>
                            </w:r>
                          </w:p>
                          <w:p w14:paraId="0BD37F90" w14:textId="77777777" w:rsidR="00D8066A" w:rsidRPr="00560609" w:rsidRDefault="00D8066A" w:rsidP="0088423B">
                            <w:pPr>
                              <w:rPr>
                                <w:rFonts w:ascii="Arial" w:hAnsi="Arial" w:cs="Arial"/>
                                <w:color w:val="000000" w:themeColor="text1"/>
                                <w:sz w:val="18"/>
                                <w:szCs w:val="20"/>
                              </w:rPr>
                            </w:pPr>
                            <w:r>
                              <w:rPr>
                                <w:rFonts w:ascii="Arial" w:hAnsi="Arial" w:cs="Arial"/>
                                <w:color w:val="000000" w:themeColor="text1"/>
                                <w:sz w:val="18"/>
                                <w:szCs w:val="20"/>
                              </w:rPr>
                              <w:t>(n =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77EE9052" id="Rectangle 7" o:spid="_x0000_s1033" style="position:absolute;margin-left:240.1pt;margin-top:5.25pt;width:148.6pt;height:4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" filled="f" strokecolor="black [3213]" strokeweight="1pt">
                <v:textbox>
                  <w:txbxContent>
                    <w:p w14:paraId="4ACBE9C1" w14:textId="77777777" w:rsidR="00D8066A" w:rsidRDefault="00D8066A" w:rsidP="0088423B">
                      <w:pPr>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not retrieved</w:t>
                      </w:r>
                    </w:p>
                    <w:p w14:paraId="0BD37F90" w14:textId="77777777" w:rsidR="00D8066A" w:rsidRPr="00560609" w:rsidRDefault="00D8066A" w:rsidP="0088423B">
                      <w:pPr>
                        <w:rPr>
                          <w:rFonts w:ascii="Arial" w:hAnsi="Arial" w:cs="Arial"/>
                          <w:color w:val="000000" w:themeColor="text1"/>
                          <w:sz w:val="18"/>
                          <w:szCs w:val="20"/>
                        </w:rPr>
                      </w:pPr>
                      <w:r>
                        <w:rPr>
                          <w:rFonts w:ascii="Arial" w:hAnsi="Arial" w:cs="Arial"/>
                          <w:color w:val="000000" w:themeColor="text1"/>
                          <w:sz w:val="18"/>
                          <w:szCs w:val="20"/>
                        </w:rPr>
                        <w:t>(n = 2)</w:t>
                      </w:r>
                    </w:p>
                  </w:txbxContent>
                </v:textbox>
              </v:rect>
            </w:pict>
          </mc:Fallback>
        </mc:AlternateContent>
      </w:r>
    </w:p>
    <w:p w14:paraId="11885557" w14:textId="77777777" w:rsidR="0088423B" w:rsidRPr="0088423B" w:rsidRDefault="0088423B" w:rsidP="0088423B">
      <w:pPr>
        <w:rPr>
          <w:lang w:val="en-US"/>
        </w:rPr>
      </w:pPr>
    </w:p>
    <w:p w14:paraId="363EAC52" w14:textId="77777777" w:rsidR="0088423B" w:rsidRPr="0088423B" w:rsidRDefault="0088423B" w:rsidP="0088423B">
      <w:pPr>
        <w:rPr>
          <w:lang w:val="en-US"/>
        </w:rPr>
      </w:pPr>
      <w:r>
        <w:rPr>
          <w:noProof/>
          <w:lang w:val="en-US"/>
        </w:rPr>
        <mc:AlternateContent>
          <mc:Choice Requires="wps">
            <w:drawing>
              <wp:anchor distT="0" distB="0" distL="114300" distR="114300" simplePos="0" relativeHeight="251674624" behindDoc="0" locked="0" layoutInCell="1" allowOverlap="1" wp14:anchorId="702D87B4" wp14:editId="1DBBF409">
                <wp:simplePos x="0" y="0"/>
                <wp:positionH relativeFrom="column">
                  <wp:posOffset>-1160940</wp:posOffset>
                </wp:positionH>
                <wp:positionV relativeFrom="paragraph">
                  <wp:posOffset>140495</wp:posOffset>
                </wp:positionV>
                <wp:extent cx="2787335" cy="262890"/>
                <wp:effectExtent l="4763" t="0" r="18097" b="18098"/>
                <wp:wrapNone/>
                <wp:docPr id="32" name="Flowchart: Alternate Process 32"/>
                <wp:cNvGraphicFramePr/>
                <a:graphic xmlns:a="http://schemas.openxmlformats.org/drawingml/2006/main">
                  <a:graphicData uri="http://schemas.microsoft.com/office/word/2010/wordprocessingShape">
                    <wps:wsp>
                      <wps:cNvSpPr/>
                      <wps:spPr>
                        <a:xfrm rot="16200000">
                          <a:off x="0" y="0"/>
                          <a:ext cx="278733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3A796A63" w14:textId="77777777" w:rsidR="00D8066A" w:rsidRDefault="00D8066A" w:rsidP="0088423B">
                            <w:pPr>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5EF31A20" w14:textId="77777777" w:rsidR="00D8066A" w:rsidRPr="001502CF" w:rsidRDefault="00D8066A" w:rsidP="0088423B">
                            <w:pPr>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02D87B4" id="Flowchart: Alternate Process 32" o:spid="_x0000_s1034" type="#_x0000_t176" style="position:absolute;margin-left:-91.4pt;margin-top:11.05pt;width:219.5pt;height:20.7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" fillcolor="#9cc2e5 [1944]" strokecolor="black [3213]" strokeweight="1pt">
                <v:textbox>
                  <w:txbxContent>
                    <w:p w14:paraId="3A796A63" w14:textId="77777777" w:rsidR="00D8066A" w:rsidRDefault="00D8066A" w:rsidP="0088423B">
                      <w:pPr>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5EF31A20" w14:textId="77777777" w:rsidR="00D8066A" w:rsidRPr="001502CF" w:rsidRDefault="00D8066A" w:rsidP="0088423B">
                      <w:pPr>
                        <w:rPr>
                          <w:rFonts w:ascii="Arial" w:hAnsi="Arial" w:cs="Arial"/>
                          <w:b/>
                          <w:color w:val="000000" w:themeColor="text1"/>
                          <w:sz w:val="18"/>
                          <w:szCs w:val="18"/>
                        </w:rPr>
                      </w:pPr>
                    </w:p>
                  </w:txbxContent>
                </v:textbox>
              </v:shape>
            </w:pict>
          </mc:Fallback>
        </mc:AlternateContent>
      </w:r>
    </w:p>
    <w:p w14:paraId="1D6584BB" w14:textId="77777777" w:rsidR="0088423B" w:rsidRPr="0088423B" w:rsidRDefault="0088423B" w:rsidP="0088423B">
      <w:pPr>
        <w:rPr>
          <w:lang w:val="en-US"/>
        </w:rPr>
      </w:pPr>
      <w:r>
        <w:rPr>
          <w:noProof/>
          <w:lang w:val="en-US"/>
        </w:rPr>
        <mc:AlternateContent>
          <mc:Choice Requires="wps">
            <w:drawing>
              <wp:anchor distT="0" distB="0" distL="114300" distR="114300" simplePos="0" relativeHeight="251678720" behindDoc="0" locked="0" layoutInCell="1" allowOverlap="1" wp14:anchorId="4E8DC99F" wp14:editId="307CB620">
                <wp:simplePos x="0" y="0"/>
                <wp:positionH relativeFrom="column">
                  <wp:posOffset>1409700</wp:posOffset>
                </wp:positionH>
                <wp:positionV relativeFrom="paragraph">
                  <wp:posOffset>56515</wp:posOffset>
                </wp:positionV>
                <wp:extent cx="0" cy="281305"/>
                <wp:effectExtent l="76200" t="0" r="57150" b="61595"/>
                <wp:wrapNone/>
                <wp:docPr id="36" name="Straight Arrow Connector 36"/>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591B9507" id="Straight Arrow Connector 36" o:spid="_x0000_s1026" type="#_x0000_t32" style="position:absolute;margin-left:111pt;margin-top:4.45pt;width:0;height:22.1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" strokecolor="black [3213]" strokeweight=".5pt">
                <v:stroke endarrow="block" joinstyle="miter"/>
              </v:shape>
            </w:pict>
          </mc:Fallback>
        </mc:AlternateContent>
      </w:r>
    </w:p>
    <w:p w14:paraId="5AA1C396" w14:textId="77777777" w:rsidR="0088423B" w:rsidRPr="0088423B" w:rsidRDefault="0088423B" w:rsidP="0088423B">
      <w:pPr>
        <w:rPr>
          <w:lang w:val="en-US"/>
        </w:rPr>
      </w:pPr>
    </w:p>
    <w:p w14:paraId="0AD9408A" w14:textId="77777777" w:rsidR="0088423B" w:rsidRPr="0088423B" w:rsidRDefault="0088423B" w:rsidP="0088423B">
      <w:pPr>
        <w:rPr>
          <w:lang w:val="en-US"/>
        </w:rPr>
      </w:pPr>
      <w:r w:rsidRPr="00560609">
        <w:rPr>
          <w:noProof/>
          <w:lang w:val="en-US"/>
        </w:rPr>
        <mc:AlternateContent>
          <mc:Choice Requires="wps">
            <w:drawing>
              <wp:anchor distT="0" distB="0" distL="114300" distR="114300" simplePos="0" relativeHeight="251666432" behindDoc="0" locked="0" layoutInCell="1" allowOverlap="1" wp14:anchorId="3B63A98A" wp14:editId="796BEAA5">
                <wp:simplePos x="0" y="0"/>
                <wp:positionH relativeFrom="column">
                  <wp:posOffset>3052916</wp:posOffset>
                </wp:positionH>
                <wp:positionV relativeFrom="paragraph">
                  <wp:posOffset>8992</wp:posOffset>
                </wp:positionV>
                <wp:extent cx="1887220" cy="1297858"/>
                <wp:effectExtent l="0" t="0" r="17780" b="10795"/>
                <wp:wrapNone/>
                <wp:docPr id="9" name="Rectangle 9"/>
                <wp:cNvGraphicFramePr/>
                <a:graphic xmlns:a="http://schemas.openxmlformats.org/drawingml/2006/main">
                  <a:graphicData uri="http://schemas.microsoft.com/office/word/2010/wordprocessingShape">
                    <wps:wsp>
                      <wps:cNvSpPr/>
                      <wps:spPr>
                        <a:xfrm>
                          <a:off x="0" y="0"/>
                          <a:ext cx="1887220" cy="129785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53082A" w14:textId="77777777" w:rsidR="00D8066A" w:rsidRPr="0088423B" w:rsidRDefault="00D8066A" w:rsidP="0088423B">
                            <w:pPr>
                              <w:rPr>
                                <w:rFonts w:ascii="Arial" w:hAnsi="Arial" w:cs="Arial"/>
                                <w:color w:val="000000" w:themeColor="text1"/>
                                <w:sz w:val="18"/>
                                <w:szCs w:val="20"/>
                                <w:lang w:val="en-US"/>
                              </w:rPr>
                            </w:pPr>
                            <w:r w:rsidRPr="0088423B">
                              <w:rPr>
                                <w:rFonts w:ascii="Arial" w:hAnsi="Arial" w:cs="Arial"/>
                                <w:color w:val="000000" w:themeColor="text1"/>
                                <w:sz w:val="18"/>
                                <w:szCs w:val="20"/>
                                <w:lang w:val="en-US"/>
                              </w:rPr>
                              <w:t>Reports excluded:</w:t>
                            </w:r>
                          </w:p>
                          <w:p w14:paraId="526D248C" w14:textId="2C4048A4" w:rsidR="00D8066A" w:rsidRPr="0088423B" w:rsidRDefault="00D8066A" w:rsidP="0088423B">
                            <w:pPr>
                              <w:ind w:left="284"/>
                              <w:rPr>
                                <w:rFonts w:ascii="Arial" w:hAnsi="Arial" w:cs="Arial"/>
                                <w:color w:val="000000" w:themeColor="text1"/>
                                <w:sz w:val="18"/>
                                <w:szCs w:val="20"/>
                                <w:lang w:val="en-US"/>
                              </w:rPr>
                            </w:pPr>
                            <w:r w:rsidRPr="0088423B">
                              <w:rPr>
                                <w:rFonts w:ascii="Arial" w:hAnsi="Arial" w:cs="Arial"/>
                                <w:color w:val="000000" w:themeColor="text1"/>
                                <w:sz w:val="18"/>
                                <w:szCs w:val="20"/>
                                <w:lang w:val="en-US"/>
                              </w:rPr>
                              <w:t>Not an RCT (n = 1</w:t>
                            </w:r>
                            <w:r>
                              <w:rPr>
                                <w:rFonts w:ascii="Arial" w:hAnsi="Arial" w:cs="Arial"/>
                                <w:color w:val="000000" w:themeColor="text1"/>
                                <w:sz w:val="18"/>
                                <w:szCs w:val="20"/>
                                <w:lang w:val="en-US"/>
                              </w:rPr>
                              <w:t>39</w:t>
                            </w:r>
                            <w:r w:rsidRPr="0088423B">
                              <w:rPr>
                                <w:rFonts w:ascii="Arial" w:hAnsi="Arial" w:cs="Arial"/>
                                <w:color w:val="000000" w:themeColor="text1"/>
                                <w:sz w:val="18"/>
                                <w:szCs w:val="20"/>
                                <w:lang w:val="en-US"/>
                              </w:rPr>
                              <w:t>)</w:t>
                            </w:r>
                          </w:p>
                          <w:p w14:paraId="40200146" w14:textId="77777777" w:rsidR="00D8066A" w:rsidRPr="0088423B" w:rsidRDefault="00D8066A" w:rsidP="0088423B">
                            <w:pPr>
                              <w:ind w:left="284"/>
                              <w:rPr>
                                <w:rFonts w:ascii="Arial" w:hAnsi="Arial" w:cs="Arial"/>
                                <w:color w:val="000000" w:themeColor="text1"/>
                                <w:sz w:val="18"/>
                                <w:szCs w:val="20"/>
                                <w:lang w:val="en-US"/>
                              </w:rPr>
                            </w:pPr>
                            <w:r w:rsidRPr="0088423B">
                              <w:rPr>
                                <w:rFonts w:ascii="Arial" w:hAnsi="Arial" w:cs="Arial"/>
                                <w:color w:val="000000" w:themeColor="text1"/>
                                <w:sz w:val="18"/>
                                <w:szCs w:val="20"/>
                                <w:lang w:val="en-US"/>
                              </w:rPr>
                              <w:t>Not testing de-implementation (n = 614)</w:t>
                            </w:r>
                          </w:p>
                          <w:p w14:paraId="26DDC248" w14:textId="77777777" w:rsidR="00D8066A" w:rsidRPr="0088423B" w:rsidRDefault="00D8066A" w:rsidP="0088423B">
                            <w:pPr>
                              <w:ind w:left="284"/>
                              <w:rPr>
                                <w:rFonts w:ascii="Arial" w:hAnsi="Arial" w:cs="Arial"/>
                                <w:color w:val="000000" w:themeColor="text1"/>
                                <w:sz w:val="18"/>
                                <w:szCs w:val="20"/>
                                <w:lang w:val="en-US"/>
                              </w:rPr>
                            </w:pPr>
                            <w:r w:rsidRPr="0088423B">
                              <w:rPr>
                                <w:rFonts w:ascii="Arial" w:hAnsi="Arial" w:cs="Arial"/>
                                <w:color w:val="000000" w:themeColor="text1"/>
                                <w:sz w:val="18"/>
                                <w:szCs w:val="20"/>
                                <w:lang w:val="en-US"/>
                              </w:rPr>
                              <w:t>Not testing intervention to reduce use of clinical practice (n = 5)</w:t>
                            </w:r>
                          </w:p>
                          <w:p w14:paraId="2473148E" w14:textId="77777777" w:rsidR="00D8066A" w:rsidRPr="0088423B" w:rsidRDefault="00D8066A" w:rsidP="0088423B">
                            <w:pPr>
                              <w:ind w:left="284"/>
                              <w:rPr>
                                <w:rFonts w:ascii="Arial" w:hAnsi="Arial" w:cs="Arial"/>
                                <w:color w:val="000000" w:themeColor="text1"/>
                                <w:sz w:val="18"/>
                                <w:szCs w:val="20"/>
                                <w:lang w:val="en-US"/>
                              </w:rPr>
                            </w:pPr>
                            <w:r w:rsidRPr="0088423B">
                              <w:rPr>
                                <w:rFonts w:ascii="Arial" w:hAnsi="Arial" w:cs="Arial"/>
                                <w:color w:val="000000" w:themeColor="text1"/>
                                <w:sz w:val="18"/>
                                <w:szCs w:val="20"/>
                                <w:lang w:val="en-US"/>
                              </w:rPr>
                              <w:t>No outcomes of interest       (n =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3B63A98A" id="Rectangle 9" o:spid="_x0000_s1035" style="position:absolute;margin-left:240.4pt;margin-top:.7pt;width:148.6pt;height:102.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" filled="f" strokecolor="black [3213]" strokeweight="1pt">
                <v:textbox>
                  <w:txbxContent>
                    <w:p w14:paraId="7E53082A" w14:textId="77777777" w:rsidR="00D8066A" w:rsidRPr="0088423B" w:rsidRDefault="00D8066A" w:rsidP="0088423B">
                      <w:pPr>
                        <w:rPr>
                          <w:rFonts w:ascii="Arial" w:hAnsi="Arial" w:cs="Arial"/>
                          <w:color w:val="000000" w:themeColor="text1"/>
                          <w:sz w:val="18"/>
                          <w:szCs w:val="20"/>
                          <w:lang w:val="en-US"/>
                        </w:rPr>
                      </w:pPr>
                      <w:r w:rsidRPr="0088423B">
                        <w:rPr>
                          <w:rFonts w:ascii="Arial" w:hAnsi="Arial" w:cs="Arial"/>
                          <w:color w:val="000000" w:themeColor="text1"/>
                          <w:sz w:val="18"/>
                          <w:szCs w:val="20"/>
                          <w:lang w:val="en-US"/>
                        </w:rPr>
                        <w:t>Reports excluded:</w:t>
                      </w:r>
                    </w:p>
                    <w:p w14:paraId="526D248C" w14:textId="2C4048A4" w:rsidR="00D8066A" w:rsidRPr="0088423B" w:rsidRDefault="00D8066A" w:rsidP="0088423B">
                      <w:pPr>
                        <w:ind w:left="284"/>
                        <w:rPr>
                          <w:rFonts w:ascii="Arial" w:hAnsi="Arial" w:cs="Arial"/>
                          <w:color w:val="000000" w:themeColor="text1"/>
                          <w:sz w:val="18"/>
                          <w:szCs w:val="20"/>
                          <w:lang w:val="en-US"/>
                        </w:rPr>
                      </w:pPr>
                      <w:r w:rsidRPr="0088423B">
                        <w:rPr>
                          <w:rFonts w:ascii="Arial" w:hAnsi="Arial" w:cs="Arial"/>
                          <w:color w:val="000000" w:themeColor="text1"/>
                          <w:sz w:val="18"/>
                          <w:szCs w:val="20"/>
                          <w:lang w:val="en-US"/>
                        </w:rPr>
                        <w:t>Not an RCT (n = 1</w:t>
                      </w:r>
                      <w:r>
                        <w:rPr>
                          <w:rFonts w:ascii="Arial" w:hAnsi="Arial" w:cs="Arial"/>
                          <w:color w:val="000000" w:themeColor="text1"/>
                          <w:sz w:val="18"/>
                          <w:szCs w:val="20"/>
                          <w:lang w:val="en-US"/>
                        </w:rPr>
                        <w:t>39</w:t>
                      </w:r>
                      <w:r w:rsidRPr="0088423B">
                        <w:rPr>
                          <w:rFonts w:ascii="Arial" w:hAnsi="Arial" w:cs="Arial"/>
                          <w:color w:val="000000" w:themeColor="text1"/>
                          <w:sz w:val="18"/>
                          <w:szCs w:val="20"/>
                          <w:lang w:val="en-US"/>
                        </w:rPr>
                        <w:t>)</w:t>
                      </w:r>
                    </w:p>
                    <w:p w14:paraId="40200146" w14:textId="77777777" w:rsidR="00D8066A" w:rsidRPr="0088423B" w:rsidRDefault="00D8066A" w:rsidP="0088423B">
                      <w:pPr>
                        <w:ind w:left="284"/>
                        <w:rPr>
                          <w:rFonts w:ascii="Arial" w:hAnsi="Arial" w:cs="Arial"/>
                          <w:color w:val="000000" w:themeColor="text1"/>
                          <w:sz w:val="18"/>
                          <w:szCs w:val="20"/>
                          <w:lang w:val="en-US"/>
                        </w:rPr>
                      </w:pPr>
                      <w:r w:rsidRPr="0088423B">
                        <w:rPr>
                          <w:rFonts w:ascii="Arial" w:hAnsi="Arial" w:cs="Arial"/>
                          <w:color w:val="000000" w:themeColor="text1"/>
                          <w:sz w:val="18"/>
                          <w:szCs w:val="20"/>
                          <w:lang w:val="en-US"/>
                        </w:rPr>
                        <w:t>Not testing de-implementation (n = 614)</w:t>
                      </w:r>
                    </w:p>
                    <w:p w14:paraId="26DDC248" w14:textId="77777777" w:rsidR="00D8066A" w:rsidRPr="0088423B" w:rsidRDefault="00D8066A" w:rsidP="0088423B">
                      <w:pPr>
                        <w:ind w:left="284"/>
                        <w:rPr>
                          <w:rFonts w:ascii="Arial" w:hAnsi="Arial" w:cs="Arial"/>
                          <w:color w:val="000000" w:themeColor="text1"/>
                          <w:sz w:val="18"/>
                          <w:szCs w:val="20"/>
                          <w:lang w:val="en-US"/>
                        </w:rPr>
                      </w:pPr>
                      <w:r w:rsidRPr="0088423B">
                        <w:rPr>
                          <w:rFonts w:ascii="Arial" w:hAnsi="Arial" w:cs="Arial"/>
                          <w:color w:val="000000" w:themeColor="text1"/>
                          <w:sz w:val="18"/>
                          <w:szCs w:val="20"/>
                          <w:lang w:val="en-US"/>
                        </w:rPr>
                        <w:t>Not testing intervention to reduce use of clinical practice (n = 5)</w:t>
                      </w:r>
                    </w:p>
                    <w:p w14:paraId="2473148E" w14:textId="77777777" w:rsidR="00D8066A" w:rsidRPr="0088423B" w:rsidRDefault="00D8066A" w:rsidP="0088423B">
                      <w:pPr>
                        <w:ind w:left="284"/>
                        <w:rPr>
                          <w:rFonts w:ascii="Arial" w:hAnsi="Arial" w:cs="Arial"/>
                          <w:color w:val="000000" w:themeColor="text1"/>
                          <w:sz w:val="18"/>
                          <w:szCs w:val="20"/>
                          <w:lang w:val="en-US"/>
                        </w:rPr>
                      </w:pPr>
                      <w:r w:rsidRPr="0088423B">
                        <w:rPr>
                          <w:rFonts w:ascii="Arial" w:hAnsi="Arial" w:cs="Arial"/>
                          <w:color w:val="000000" w:themeColor="text1"/>
                          <w:sz w:val="18"/>
                          <w:szCs w:val="20"/>
                          <w:lang w:val="en-US"/>
                        </w:rPr>
                        <w:t>No outcomes of interest       (n = 1)</w:t>
                      </w:r>
                    </w:p>
                  </w:txbxContent>
                </v:textbox>
              </v:rect>
            </w:pict>
          </mc:Fallback>
        </mc:AlternateContent>
      </w:r>
      <w:r>
        <w:rPr>
          <w:noProof/>
          <w:lang w:val="en-US"/>
        </w:rPr>
        <mc:AlternateContent>
          <mc:Choice Requires="wps">
            <w:drawing>
              <wp:anchor distT="0" distB="0" distL="114300" distR="114300" simplePos="0" relativeHeight="251671552" behindDoc="0" locked="0" layoutInCell="1" allowOverlap="1" wp14:anchorId="3C15C223" wp14:editId="29C59ED8">
                <wp:simplePos x="0" y="0"/>
                <wp:positionH relativeFrom="column">
                  <wp:posOffset>2476500</wp:posOffset>
                </wp:positionH>
                <wp:positionV relativeFrom="paragraph">
                  <wp:posOffset>294640</wp:posOffset>
                </wp:positionV>
                <wp:extent cx="563245" cy="0"/>
                <wp:effectExtent l="0" t="76200" r="27305" b="95250"/>
                <wp:wrapNone/>
                <wp:docPr id="17" name="Straight Arrow Connector 17"/>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4CF4932" id="Straight Arrow Connector 17" o:spid="_x0000_s1026" type="#_x0000_t32" style="position:absolute;margin-left:195pt;margin-top:23.2pt;width:44.3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" strokecolor="black [3213]" strokeweight=".5pt">
                <v:stroke endarrow="block" joinstyle="miter"/>
              </v:shape>
            </w:pict>
          </mc:Fallback>
        </mc:AlternateContent>
      </w:r>
      <w:r w:rsidRPr="00560609">
        <w:rPr>
          <w:noProof/>
          <w:lang w:val="en-US"/>
        </w:rPr>
        <mc:AlternateContent>
          <mc:Choice Requires="wps">
            <w:drawing>
              <wp:anchor distT="0" distB="0" distL="114300" distR="114300" simplePos="0" relativeHeight="251665408" behindDoc="0" locked="0" layoutInCell="1" allowOverlap="1" wp14:anchorId="1D6B8E0D" wp14:editId="42354A6F">
                <wp:simplePos x="0" y="0"/>
                <wp:positionH relativeFrom="column">
                  <wp:posOffset>561975</wp:posOffset>
                </wp:positionH>
                <wp:positionV relativeFrom="paragraph">
                  <wp:posOffset>13335</wp:posOffset>
                </wp:positionV>
                <wp:extent cx="1887220" cy="526415"/>
                <wp:effectExtent l="0" t="0" r="17780" b="26035"/>
                <wp:wrapNone/>
                <wp:docPr id="8" name="Rectangle 8"/>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F53EDE" w14:textId="77777777" w:rsidR="00D8066A" w:rsidRPr="0088423B" w:rsidRDefault="00D8066A" w:rsidP="0088423B">
                            <w:pPr>
                              <w:rPr>
                                <w:rFonts w:ascii="Arial" w:hAnsi="Arial" w:cs="Arial"/>
                                <w:color w:val="000000" w:themeColor="text1"/>
                                <w:sz w:val="18"/>
                                <w:szCs w:val="20"/>
                                <w:lang w:val="en-US"/>
                              </w:rPr>
                            </w:pPr>
                            <w:r w:rsidRPr="0088423B">
                              <w:rPr>
                                <w:rFonts w:ascii="Arial" w:hAnsi="Arial" w:cs="Arial"/>
                                <w:color w:val="000000" w:themeColor="text1"/>
                                <w:sz w:val="18"/>
                                <w:szCs w:val="20"/>
                                <w:lang w:val="en-US"/>
                              </w:rPr>
                              <w:t>Reports assessed for eligibility</w:t>
                            </w:r>
                          </w:p>
                          <w:p w14:paraId="0979901C" w14:textId="71E29E59" w:rsidR="00D8066A" w:rsidRPr="0088423B" w:rsidRDefault="00D8066A" w:rsidP="0088423B">
                            <w:pPr>
                              <w:rPr>
                                <w:rFonts w:ascii="Arial" w:hAnsi="Arial" w:cs="Arial"/>
                                <w:color w:val="000000" w:themeColor="text1"/>
                                <w:sz w:val="18"/>
                                <w:szCs w:val="20"/>
                                <w:lang w:val="en-US"/>
                              </w:rPr>
                            </w:pPr>
                            <w:r w:rsidRPr="0088423B">
                              <w:rPr>
                                <w:rFonts w:ascii="Arial" w:hAnsi="Arial" w:cs="Arial"/>
                                <w:color w:val="000000" w:themeColor="text1"/>
                                <w:sz w:val="18"/>
                                <w:szCs w:val="20"/>
                                <w:lang w:val="en-US"/>
                              </w:rPr>
                              <w:t>(n = 102</w:t>
                            </w:r>
                            <w:r>
                              <w:rPr>
                                <w:rFonts w:ascii="Arial" w:hAnsi="Arial" w:cs="Arial"/>
                                <w:color w:val="000000" w:themeColor="text1"/>
                                <w:sz w:val="18"/>
                                <w:szCs w:val="20"/>
                                <w:lang w:val="en-US"/>
                              </w:rPr>
                              <w:t>3</w:t>
                            </w:r>
                            <w:r w:rsidRPr="0088423B">
                              <w:rPr>
                                <w:rFonts w:ascii="Arial" w:hAnsi="Arial" w:cs="Arial"/>
                                <w:color w:val="000000" w:themeColor="text1"/>
                                <w:sz w:val="18"/>
                                <w:szCs w:val="20"/>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D6B8E0D" id="Rectangle 8" o:spid="_x0000_s1036" style="position:absolute;margin-left:44.25pt;margin-top:1.05pt;width:148.6pt;height:41.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" filled="f" strokecolor="black [3213]" strokeweight="1pt">
                <v:textbox>
                  <w:txbxContent>
                    <w:p w14:paraId="06F53EDE" w14:textId="77777777" w:rsidR="00D8066A" w:rsidRPr="0088423B" w:rsidRDefault="00D8066A" w:rsidP="0088423B">
                      <w:pPr>
                        <w:rPr>
                          <w:rFonts w:ascii="Arial" w:hAnsi="Arial" w:cs="Arial"/>
                          <w:color w:val="000000" w:themeColor="text1"/>
                          <w:sz w:val="18"/>
                          <w:szCs w:val="20"/>
                          <w:lang w:val="en-US"/>
                        </w:rPr>
                      </w:pPr>
                      <w:r w:rsidRPr="0088423B">
                        <w:rPr>
                          <w:rFonts w:ascii="Arial" w:hAnsi="Arial" w:cs="Arial"/>
                          <w:color w:val="000000" w:themeColor="text1"/>
                          <w:sz w:val="18"/>
                          <w:szCs w:val="20"/>
                          <w:lang w:val="en-US"/>
                        </w:rPr>
                        <w:t>Reports assessed for eligibility</w:t>
                      </w:r>
                    </w:p>
                    <w:p w14:paraId="0979901C" w14:textId="71E29E59" w:rsidR="00D8066A" w:rsidRPr="0088423B" w:rsidRDefault="00D8066A" w:rsidP="0088423B">
                      <w:pPr>
                        <w:rPr>
                          <w:rFonts w:ascii="Arial" w:hAnsi="Arial" w:cs="Arial"/>
                          <w:color w:val="000000" w:themeColor="text1"/>
                          <w:sz w:val="18"/>
                          <w:szCs w:val="20"/>
                          <w:lang w:val="en-US"/>
                        </w:rPr>
                      </w:pPr>
                      <w:r w:rsidRPr="0088423B">
                        <w:rPr>
                          <w:rFonts w:ascii="Arial" w:hAnsi="Arial" w:cs="Arial"/>
                          <w:color w:val="000000" w:themeColor="text1"/>
                          <w:sz w:val="18"/>
                          <w:szCs w:val="20"/>
                          <w:lang w:val="en-US"/>
                        </w:rPr>
                        <w:t>(n = 102</w:t>
                      </w:r>
                      <w:r>
                        <w:rPr>
                          <w:rFonts w:ascii="Arial" w:hAnsi="Arial" w:cs="Arial"/>
                          <w:color w:val="000000" w:themeColor="text1"/>
                          <w:sz w:val="18"/>
                          <w:szCs w:val="20"/>
                          <w:lang w:val="en-US"/>
                        </w:rPr>
                        <w:t>3</w:t>
                      </w:r>
                      <w:r w:rsidRPr="0088423B">
                        <w:rPr>
                          <w:rFonts w:ascii="Arial" w:hAnsi="Arial" w:cs="Arial"/>
                          <w:color w:val="000000" w:themeColor="text1"/>
                          <w:sz w:val="18"/>
                          <w:szCs w:val="20"/>
                          <w:lang w:val="en-US"/>
                        </w:rPr>
                        <w:t>)</w:t>
                      </w:r>
                    </w:p>
                  </w:txbxContent>
                </v:textbox>
              </v:rect>
            </w:pict>
          </mc:Fallback>
        </mc:AlternateContent>
      </w:r>
    </w:p>
    <w:p w14:paraId="4B8DA8F3" w14:textId="77777777" w:rsidR="0088423B" w:rsidRPr="0088423B" w:rsidRDefault="0088423B" w:rsidP="0088423B">
      <w:pPr>
        <w:rPr>
          <w:lang w:val="en-US"/>
        </w:rPr>
      </w:pPr>
    </w:p>
    <w:p w14:paraId="149762AC" w14:textId="77777777" w:rsidR="0088423B" w:rsidRPr="0088423B" w:rsidRDefault="0088423B" w:rsidP="0088423B">
      <w:pPr>
        <w:rPr>
          <w:lang w:val="en-US"/>
        </w:rPr>
      </w:pPr>
    </w:p>
    <w:p w14:paraId="0EB125A6" w14:textId="77777777" w:rsidR="0088423B" w:rsidRPr="0088423B" w:rsidRDefault="0088423B" w:rsidP="0088423B">
      <w:pPr>
        <w:rPr>
          <w:lang w:val="en-US"/>
        </w:rPr>
      </w:pPr>
      <w:r>
        <w:rPr>
          <w:noProof/>
          <w:lang w:val="en-US"/>
        </w:rPr>
        <mc:AlternateContent>
          <mc:Choice Requires="wps">
            <w:drawing>
              <wp:anchor distT="0" distB="0" distL="114300" distR="114300" simplePos="0" relativeHeight="251679744" behindDoc="0" locked="0" layoutInCell="1" allowOverlap="1" wp14:anchorId="117569A1" wp14:editId="60620F24">
                <wp:simplePos x="0" y="0"/>
                <wp:positionH relativeFrom="column">
                  <wp:posOffset>1400861</wp:posOffset>
                </wp:positionH>
                <wp:positionV relativeFrom="paragraph">
                  <wp:posOffset>29667</wp:posOffset>
                </wp:positionV>
                <wp:extent cx="0" cy="746151"/>
                <wp:effectExtent l="76200" t="0" r="57150" b="53975"/>
                <wp:wrapNone/>
                <wp:docPr id="19" name="Straight Arrow Connector 19"/>
                <wp:cNvGraphicFramePr/>
                <a:graphic xmlns:a="http://schemas.openxmlformats.org/drawingml/2006/main">
                  <a:graphicData uri="http://schemas.microsoft.com/office/word/2010/wordprocessingShape">
                    <wps:wsp>
                      <wps:cNvCnPr/>
                      <wps:spPr>
                        <a:xfrm>
                          <a:off x="0" y="0"/>
                          <a:ext cx="0" cy="74615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DB1790F" id="Straight Arrow Connector 19" o:spid="_x0000_s1026" type="#_x0000_t32" style="position:absolute;margin-left:110.3pt;margin-top:2.35pt;width:0;height:58.7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" strokecolor="black [3213]" strokeweight=".5pt">
                <v:stroke endarrow="block" joinstyle="miter"/>
              </v:shape>
            </w:pict>
          </mc:Fallback>
        </mc:AlternateContent>
      </w:r>
    </w:p>
    <w:p w14:paraId="3CFDF785" w14:textId="77777777" w:rsidR="0088423B" w:rsidRPr="0088423B" w:rsidRDefault="0088423B" w:rsidP="0088423B">
      <w:pPr>
        <w:rPr>
          <w:lang w:val="en-US"/>
        </w:rPr>
      </w:pPr>
    </w:p>
    <w:p w14:paraId="760D7537" w14:textId="77777777" w:rsidR="0088423B" w:rsidRPr="0088423B" w:rsidRDefault="0088423B" w:rsidP="0088423B">
      <w:pPr>
        <w:rPr>
          <w:lang w:val="en-US"/>
        </w:rPr>
      </w:pPr>
    </w:p>
    <w:p w14:paraId="7D56BF41" w14:textId="77777777" w:rsidR="0088423B" w:rsidRPr="0088423B" w:rsidRDefault="0088423B" w:rsidP="0088423B">
      <w:pPr>
        <w:rPr>
          <w:lang w:val="en-US"/>
        </w:rPr>
      </w:pPr>
    </w:p>
    <w:p w14:paraId="03F41F9F" w14:textId="77777777" w:rsidR="0088423B" w:rsidRPr="0088423B" w:rsidRDefault="0088423B" w:rsidP="0088423B">
      <w:pPr>
        <w:rPr>
          <w:lang w:val="en-US"/>
        </w:rPr>
      </w:pPr>
      <w:r w:rsidRPr="00560609">
        <w:rPr>
          <w:noProof/>
          <w:lang w:val="en-US"/>
        </w:rPr>
        <mc:AlternateContent>
          <mc:Choice Requires="wps">
            <w:drawing>
              <wp:anchor distT="0" distB="0" distL="114300" distR="114300" simplePos="0" relativeHeight="251667456" behindDoc="0" locked="0" layoutInCell="1" allowOverlap="1" wp14:anchorId="2CEBC720" wp14:editId="6C42D171">
                <wp:simplePos x="0" y="0"/>
                <wp:positionH relativeFrom="column">
                  <wp:posOffset>540385</wp:posOffset>
                </wp:positionH>
                <wp:positionV relativeFrom="paragraph">
                  <wp:posOffset>110795</wp:posOffset>
                </wp:positionV>
                <wp:extent cx="1887220" cy="723900"/>
                <wp:effectExtent l="0" t="0" r="17780" b="19050"/>
                <wp:wrapNone/>
                <wp:docPr id="13" name="Rectangle 13"/>
                <wp:cNvGraphicFramePr/>
                <a:graphic xmlns:a="http://schemas.openxmlformats.org/drawingml/2006/main">
                  <a:graphicData uri="http://schemas.microsoft.com/office/word/2010/wordprocessingShape">
                    <wps:wsp>
                      <wps:cNvSpPr/>
                      <wps:spPr>
                        <a:xfrm>
                          <a:off x="0" y="0"/>
                          <a:ext cx="188722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3979C3" w14:textId="77777777" w:rsidR="00D8066A" w:rsidRPr="0088423B" w:rsidRDefault="00D8066A" w:rsidP="0088423B">
                            <w:pPr>
                              <w:rPr>
                                <w:rFonts w:ascii="Arial" w:hAnsi="Arial" w:cs="Arial"/>
                                <w:color w:val="000000" w:themeColor="text1"/>
                                <w:sz w:val="18"/>
                                <w:szCs w:val="20"/>
                                <w:lang w:val="en-US"/>
                              </w:rPr>
                            </w:pPr>
                            <w:r w:rsidRPr="0088423B">
                              <w:rPr>
                                <w:rFonts w:ascii="Arial" w:hAnsi="Arial" w:cs="Arial"/>
                                <w:color w:val="000000" w:themeColor="text1"/>
                                <w:sz w:val="18"/>
                                <w:szCs w:val="20"/>
                                <w:lang w:val="en-US"/>
                              </w:rPr>
                              <w:t>Studies included in review</w:t>
                            </w:r>
                          </w:p>
                          <w:p w14:paraId="7C00E2E3" w14:textId="63C46895" w:rsidR="00D8066A" w:rsidRPr="0088423B" w:rsidRDefault="00D8066A" w:rsidP="0088423B">
                            <w:pPr>
                              <w:rPr>
                                <w:rFonts w:ascii="Arial" w:hAnsi="Arial" w:cs="Arial"/>
                                <w:color w:val="000000" w:themeColor="text1"/>
                                <w:sz w:val="18"/>
                                <w:szCs w:val="20"/>
                                <w:lang w:val="en-US"/>
                              </w:rPr>
                            </w:pPr>
                            <w:r w:rsidRPr="0088423B">
                              <w:rPr>
                                <w:rFonts w:ascii="Arial" w:hAnsi="Arial" w:cs="Arial"/>
                                <w:color w:val="000000" w:themeColor="text1"/>
                                <w:sz w:val="18"/>
                                <w:szCs w:val="20"/>
                                <w:lang w:val="en-US"/>
                              </w:rPr>
                              <w:t>(n = 22</w:t>
                            </w:r>
                            <w:r>
                              <w:rPr>
                                <w:rFonts w:ascii="Arial" w:hAnsi="Arial" w:cs="Arial"/>
                                <w:color w:val="000000" w:themeColor="text1"/>
                                <w:sz w:val="18"/>
                                <w:szCs w:val="20"/>
                                <w:lang w:val="en-US"/>
                              </w:rPr>
                              <w:t>7</w:t>
                            </w:r>
                            <w:r w:rsidRPr="0088423B">
                              <w:rPr>
                                <w:rFonts w:ascii="Arial" w:hAnsi="Arial" w:cs="Arial"/>
                                <w:color w:val="000000" w:themeColor="text1"/>
                                <w:sz w:val="18"/>
                                <w:szCs w:val="20"/>
                                <w:lang w:val="en-US"/>
                              </w:rPr>
                              <w:t>)</w:t>
                            </w:r>
                          </w:p>
                          <w:p w14:paraId="490D0F62" w14:textId="77777777" w:rsidR="00D8066A" w:rsidRPr="0088423B" w:rsidRDefault="00D8066A" w:rsidP="0088423B">
                            <w:pPr>
                              <w:rPr>
                                <w:rFonts w:ascii="Arial" w:hAnsi="Arial" w:cs="Arial"/>
                                <w:color w:val="000000" w:themeColor="text1"/>
                                <w:sz w:val="18"/>
                                <w:szCs w:val="20"/>
                                <w:lang w:val="en-US"/>
                              </w:rPr>
                            </w:pPr>
                            <w:r w:rsidRPr="0088423B">
                              <w:rPr>
                                <w:rFonts w:ascii="Arial" w:hAnsi="Arial" w:cs="Arial"/>
                                <w:color w:val="000000" w:themeColor="text1"/>
                                <w:sz w:val="18"/>
                                <w:szCs w:val="20"/>
                                <w:lang w:val="en-US"/>
                              </w:rPr>
                              <w:t>Reports of included studies</w:t>
                            </w:r>
                          </w:p>
                          <w:p w14:paraId="1513F241" w14:textId="4DDD04F4" w:rsidR="00D8066A" w:rsidRPr="0088423B" w:rsidRDefault="00D8066A" w:rsidP="0088423B">
                            <w:pPr>
                              <w:rPr>
                                <w:rFonts w:ascii="Arial" w:hAnsi="Arial" w:cs="Arial"/>
                                <w:color w:val="000000" w:themeColor="text1"/>
                                <w:sz w:val="18"/>
                                <w:szCs w:val="20"/>
                                <w:lang w:val="en-US"/>
                              </w:rPr>
                            </w:pPr>
                            <w:r w:rsidRPr="0088423B">
                              <w:rPr>
                                <w:rFonts w:ascii="Arial" w:hAnsi="Arial" w:cs="Arial"/>
                                <w:color w:val="000000" w:themeColor="text1"/>
                                <w:sz w:val="18"/>
                                <w:szCs w:val="20"/>
                                <w:lang w:val="en-US"/>
                              </w:rPr>
                              <w:t>(n = 2</w:t>
                            </w:r>
                            <w:r>
                              <w:rPr>
                                <w:rFonts w:ascii="Arial" w:hAnsi="Arial" w:cs="Arial"/>
                                <w:color w:val="000000" w:themeColor="text1"/>
                                <w:sz w:val="18"/>
                                <w:szCs w:val="20"/>
                                <w:lang w:val="en-US"/>
                              </w:rPr>
                              <w:t>40</w:t>
                            </w:r>
                            <w:r w:rsidRPr="0088423B">
                              <w:rPr>
                                <w:rFonts w:ascii="Arial" w:hAnsi="Arial" w:cs="Arial"/>
                                <w:color w:val="000000" w:themeColor="text1"/>
                                <w:sz w:val="18"/>
                                <w:szCs w:val="20"/>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2CEBC720" id="Rectangle 13" o:spid="_x0000_s1037" style="position:absolute;margin-left:42.55pt;margin-top:8.7pt;width:148.6pt;height:5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" filled="f" strokecolor="black [3213]" strokeweight="1pt">
                <v:textbox>
                  <w:txbxContent>
                    <w:p w14:paraId="143979C3" w14:textId="77777777" w:rsidR="00D8066A" w:rsidRPr="0088423B" w:rsidRDefault="00D8066A" w:rsidP="0088423B">
                      <w:pPr>
                        <w:rPr>
                          <w:rFonts w:ascii="Arial" w:hAnsi="Arial" w:cs="Arial"/>
                          <w:color w:val="000000" w:themeColor="text1"/>
                          <w:sz w:val="18"/>
                          <w:szCs w:val="20"/>
                          <w:lang w:val="en-US"/>
                        </w:rPr>
                      </w:pPr>
                      <w:r w:rsidRPr="0088423B">
                        <w:rPr>
                          <w:rFonts w:ascii="Arial" w:hAnsi="Arial" w:cs="Arial"/>
                          <w:color w:val="000000" w:themeColor="text1"/>
                          <w:sz w:val="18"/>
                          <w:szCs w:val="20"/>
                          <w:lang w:val="en-US"/>
                        </w:rPr>
                        <w:t>Studies included in review</w:t>
                      </w:r>
                    </w:p>
                    <w:p w14:paraId="7C00E2E3" w14:textId="63C46895" w:rsidR="00D8066A" w:rsidRPr="0088423B" w:rsidRDefault="00D8066A" w:rsidP="0088423B">
                      <w:pPr>
                        <w:rPr>
                          <w:rFonts w:ascii="Arial" w:hAnsi="Arial" w:cs="Arial"/>
                          <w:color w:val="000000" w:themeColor="text1"/>
                          <w:sz w:val="18"/>
                          <w:szCs w:val="20"/>
                          <w:lang w:val="en-US"/>
                        </w:rPr>
                      </w:pPr>
                      <w:r w:rsidRPr="0088423B">
                        <w:rPr>
                          <w:rFonts w:ascii="Arial" w:hAnsi="Arial" w:cs="Arial"/>
                          <w:color w:val="000000" w:themeColor="text1"/>
                          <w:sz w:val="18"/>
                          <w:szCs w:val="20"/>
                          <w:lang w:val="en-US"/>
                        </w:rPr>
                        <w:t>(n = 22</w:t>
                      </w:r>
                      <w:r>
                        <w:rPr>
                          <w:rFonts w:ascii="Arial" w:hAnsi="Arial" w:cs="Arial"/>
                          <w:color w:val="000000" w:themeColor="text1"/>
                          <w:sz w:val="18"/>
                          <w:szCs w:val="20"/>
                          <w:lang w:val="en-US"/>
                        </w:rPr>
                        <w:t>7</w:t>
                      </w:r>
                      <w:r w:rsidRPr="0088423B">
                        <w:rPr>
                          <w:rFonts w:ascii="Arial" w:hAnsi="Arial" w:cs="Arial"/>
                          <w:color w:val="000000" w:themeColor="text1"/>
                          <w:sz w:val="18"/>
                          <w:szCs w:val="20"/>
                          <w:lang w:val="en-US"/>
                        </w:rPr>
                        <w:t>)</w:t>
                      </w:r>
                    </w:p>
                    <w:p w14:paraId="490D0F62" w14:textId="77777777" w:rsidR="00D8066A" w:rsidRPr="0088423B" w:rsidRDefault="00D8066A" w:rsidP="0088423B">
                      <w:pPr>
                        <w:rPr>
                          <w:rFonts w:ascii="Arial" w:hAnsi="Arial" w:cs="Arial"/>
                          <w:color w:val="000000" w:themeColor="text1"/>
                          <w:sz w:val="18"/>
                          <w:szCs w:val="20"/>
                          <w:lang w:val="en-US"/>
                        </w:rPr>
                      </w:pPr>
                      <w:r w:rsidRPr="0088423B">
                        <w:rPr>
                          <w:rFonts w:ascii="Arial" w:hAnsi="Arial" w:cs="Arial"/>
                          <w:color w:val="000000" w:themeColor="text1"/>
                          <w:sz w:val="18"/>
                          <w:szCs w:val="20"/>
                          <w:lang w:val="en-US"/>
                        </w:rPr>
                        <w:t>Reports of included studies</w:t>
                      </w:r>
                    </w:p>
                    <w:p w14:paraId="1513F241" w14:textId="4DDD04F4" w:rsidR="00D8066A" w:rsidRPr="0088423B" w:rsidRDefault="00D8066A" w:rsidP="0088423B">
                      <w:pPr>
                        <w:rPr>
                          <w:rFonts w:ascii="Arial" w:hAnsi="Arial" w:cs="Arial"/>
                          <w:color w:val="000000" w:themeColor="text1"/>
                          <w:sz w:val="18"/>
                          <w:szCs w:val="20"/>
                          <w:lang w:val="en-US"/>
                        </w:rPr>
                      </w:pPr>
                      <w:r w:rsidRPr="0088423B">
                        <w:rPr>
                          <w:rFonts w:ascii="Arial" w:hAnsi="Arial" w:cs="Arial"/>
                          <w:color w:val="000000" w:themeColor="text1"/>
                          <w:sz w:val="18"/>
                          <w:szCs w:val="20"/>
                          <w:lang w:val="en-US"/>
                        </w:rPr>
                        <w:t>(n = 2</w:t>
                      </w:r>
                      <w:r>
                        <w:rPr>
                          <w:rFonts w:ascii="Arial" w:hAnsi="Arial" w:cs="Arial"/>
                          <w:color w:val="000000" w:themeColor="text1"/>
                          <w:sz w:val="18"/>
                          <w:szCs w:val="20"/>
                          <w:lang w:val="en-US"/>
                        </w:rPr>
                        <w:t>40</w:t>
                      </w:r>
                      <w:r w:rsidRPr="0088423B">
                        <w:rPr>
                          <w:rFonts w:ascii="Arial" w:hAnsi="Arial" w:cs="Arial"/>
                          <w:color w:val="000000" w:themeColor="text1"/>
                          <w:sz w:val="18"/>
                          <w:szCs w:val="20"/>
                          <w:lang w:val="en-US"/>
                        </w:rPr>
                        <w:t>)</w:t>
                      </w:r>
                    </w:p>
                  </w:txbxContent>
                </v:textbox>
              </v:rect>
            </w:pict>
          </mc:Fallback>
        </mc:AlternateContent>
      </w:r>
    </w:p>
    <w:p w14:paraId="476DC5BE" w14:textId="77777777" w:rsidR="0088423B" w:rsidRPr="0088423B" w:rsidRDefault="0088423B" w:rsidP="0088423B">
      <w:pPr>
        <w:rPr>
          <w:lang w:val="en-US"/>
        </w:rPr>
      </w:pPr>
      <w:r w:rsidRPr="00560609">
        <w:rPr>
          <w:noProof/>
          <w:lang w:val="en-US"/>
        </w:rPr>
        <mc:AlternateContent>
          <mc:Choice Requires="wps">
            <w:drawing>
              <wp:anchor distT="0" distB="0" distL="114300" distR="114300" simplePos="0" relativeHeight="251680768" behindDoc="0" locked="0" layoutInCell="1" allowOverlap="1" wp14:anchorId="5A69CC71" wp14:editId="27D4F693">
                <wp:simplePos x="0" y="0"/>
                <wp:positionH relativeFrom="column">
                  <wp:posOffset>3055425</wp:posOffset>
                </wp:positionH>
                <wp:positionV relativeFrom="paragraph">
                  <wp:posOffset>67310</wp:posOffset>
                </wp:positionV>
                <wp:extent cx="1887220" cy="526415"/>
                <wp:effectExtent l="0" t="0" r="17780" b="26035"/>
                <wp:wrapNone/>
                <wp:docPr id="10" name="Rectangle 10"/>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CBED78" w14:textId="1DEBB39B" w:rsidR="00D8066A" w:rsidRPr="00831663" w:rsidRDefault="00D8066A" w:rsidP="0088423B">
                            <w:pPr>
                              <w:rPr>
                                <w:rFonts w:ascii="Arial" w:hAnsi="Arial" w:cs="Arial"/>
                                <w:color w:val="000000" w:themeColor="text1"/>
                                <w:sz w:val="18"/>
                                <w:szCs w:val="20"/>
                                <w:lang w:val="en-US"/>
                              </w:rPr>
                            </w:pPr>
                            <w:r w:rsidRPr="00831663">
                              <w:rPr>
                                <w:rFonts w:ascii="Arial" w:hAnsi="Arial" w:cs="Arial"/>
                                <w:color w:val="000000" w:themeColor="text1"/>
                                <w:sz w:val="18"/>
                                <w:szCs w:val="20"/>
                                <w:lang w:val="en-US"/>
                              </w:rPr>
                              <w:t>3</w:t>
                            </w:r>
                            <w:r>
                              <w:rPr>
                                <w:rFonts w:ascii="Arial" w:hAnsi="Arial" w:cs="Arial"/>
                                <w:color w:val="000000" w:themeColor="text1"/>
                                <w:sz w:val="18"/>
                                <w:szCs w:val="20"/>
                                <w:lang w:val="en-US"/>
                              </w:rPr>
                              <w:t>6</w:t>
                            </w:r>
                            <w:r w:rsidRPr="00831663">
                              <w:rPr>
                                <w:rFonts w:ascii="Arial" w:hAnsi="Arial" w:cs="Arial"/>
                                <w:color w:val="000000" w:themeColor="text1"/>
                                <w:sz w:val="18"/>
                                <w:szCs w:val="20"/>
                                <w:lang w:val="en-US"/>
                              </w:rPr>
                              <w:t xml:space="preserve"> </w:t>
                            </w:r>
                            <w:r>
                              <w:rPr>
                                <w:rFonts w:ascii="Arial" w:hAnsi="Arial" w:cs="Arial"/>
                                <w:color w:val="000000" w:themeColor="text1"/>
                                <w:sz w:val="18"/>
                                <w:szCs w:val="20"/>
                                <w:lang w:val="en-US"/>
                              </w:rPr>
                              <w:t xml:space="preserve">eligible </w:t>
                            </w:r>
                            <w:r w:rsidRPr="00831663">
                              <w:rPr>
                                <w:rFonts w:ascii="Arial" w:hAnsi="Arial" w:cs="Arial"/>
                                <w:color w:val="000000" w:themeColor="text1"/>
                                <w:sz w:val="18"/>
                                <w:szCs w:val="20"/>
                                <w:lang w:val="en-US"/>
                              </w:rPr>
                              <w:t>articles idetified from systematic reviews</w:t>
                            </w:r>
                            <w:r>
                              <w:rPr>
                                <w:rFonts w:ascii="Arial" w:hAnsi="Arial" w:cs="Arial"/>
                                <w:color w:val="000000" w:themeColor="text1"/>
                                <w:sz w:val="18"/>
                                <w:szCs w:val="20"/>
                                <w:lang w:val="en-US"/>
                              </w:rPr>
                              <w:t>(n=62)</w:t>
                            </w:r>
                            <w:r w:rsidRPr="00831663">
                              <w:rPr>
                                <w:rFonts w:ascii="Arial" w:hAnsi="Arial" w:cs="Arial"/>
                                <w:color w:val="000000" w:themeColor="text1"/>
                                <w:sz w:val="18"/>
                                <w:szCs w:val="20"/>
                                <w:lang w:val="en-US"/>
                              </w:rPr>
                              <w:t>,</w:t>
                            </w:r>
                            <w:r>
                              <w:rPr>
                                <w:rFonts w:ascii="Arial" w:hAnsi="Arial" w:cs="Arial"/>
                                <w:color w:val="000000" w:themeColor="text1"/>
                                <w:sz w:val="18"/>
                                <w:szCs w:val="20"/>
                                <w:lang w:val="en-US"/>
                              </w:rPr>
                              <w:t xml:space="preserve"> protocols and post-hoc 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5A69CC71" id="Rectangle 10" o:spid="_x0000_s1038" style="position:absolute;margin-left:240.6pt;margin-top:5.3pt;width:148.6pt;height:41.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" filled="f" strokecolor="black [3213]" strokeweight="1pt">
                <v:textbox>
                  <w:txbxContent>
                    <w:p w14:paraId="1BCBED78" w14:textId="1DEBB39B" w:rsidR="00D8066A" w:rsidRPr="00831663" w:rsidRDefault="00D8066A" w:rsidP="0088423B">
                      <w:pPr>
                        <w:rPr>
                          <w:rFonts w:ascii="Arial" w:hAnsi="Arial" w:cs="Arial"/>
                          <w:color w:val="000000" w:themeColor="text1"/>
                          <w:sz w:val="18"/>
                          <w:szCs w:val="20"/>
                          <w:lang w:val="en-US"/>
                        </w:rPr>
                      </w:pPr>
                      <w:r w:rsidRPr="00831663">
                        <w:rPr>
                          <w:rFonts w:ascii="Arial" w:hAnsi="Arial" w:cs="Arial"/>
                          <w:color w:val="000000" w:themeColor="text1"/>
                          <w:sz w:val="18"/>
                          <w:szCs w:val="20"/>
                          <w:lang w:val="en-US"/>
                        </w:rPr>
                        <w:t>3</w:t>
                      </w:r>
                      <w:r>
                        <w:rPr>
                          <w:rFonts w:ascii="Arial" w:hAnsi="Arial" w:cs="Arial"/>
                          <w:color w:val="000000" w:themeColor="text1"/>
                          <w:sz w:val="18"/>
                          <w:szCs w:val="20"/>
                          <w:lang w:val="en-US"/>
                        </w:rPr>
                        <w:t>6</w:t>
                      </w:r>
                      <w:r w:rsidRPr="00831663">
                        <w:rPr>
                          <w:rFonts w:ascii="Arial" w:hAnsi="Arial" w:cs="Arial"/>
                          <w:color w:val="000000" w:themeColor="text1"/>
                          <w:sz w:val="18"/>
                          <w:szCs w:val="20"/>
                          <w:lang w:val="en-US"/>
                        </w:rPr>
                        <w:t xml:space="preserve"> </w:t>
                      </w:r>
                      <w:r>
                        <w:rPr>
                          <w:rFonts w:ascii="Arial" w:hAnsi="Arial" w:cs="Arial"/>
                          <w:color w:val="000000" w:themeColor="text1"/>
                          <w:sz w:val="18"/>
                          <w:szCs w:val="20"/>
                          <w:lang w:val="en-US"/>
                        </w:rPr>
                        <w:t xml:space="preserve">eligible </w:t>
                      </w:r>
                      <w:r w:rsidRPr="00831663">
                        <w:rPr>
                          <w:rFonts w:ascii="Arial" w:hAnsi="Arial" w:cs="Arial"/>
                          <w:color w:val="000000" w:themeColor="text1"/>
                          <w:sz w:val="18"/>
                          <w:szCs w:val="20"/>
                          <w:lang w:val="en-US"/>
                        </w:rPr>
                        <w:t>articles idetified from systematic reviews</w:t>
                      </w:r>
                      <w:r>
                        <w:rPr>
                          <w:rFonts w:ascii="Arial" w:hAnsi="Arial" w:cs="Arial"/>
                          <w:color w:val="000000" w:themeColor="text1"/>
                          <w:sz w:val="18"/>
                          <w:szCs w:val="20"/>
                          <w:lang w:val="en-US"/>
                        </w:rPr>
                        <w:t>(n=62)</w:t>
                      </w:r>
                      <w:r w:rsidRPr="00831663">
                        <w:rPr>
                          <w:rFonts w:ascii="Arial" w:hAnsi="Arial" w:cs="Arial"/>
                          <w:color w:val="000000" w:themeColor="text1"/>
                          <w:sz w:val="18"/>
                          <w:szCs w:val="20"/>
                          <w:lang w:val="en-US"/>
                        </w:rPr>
                        <w:t>,</w:t>
                      </w:r>
                      <w:r>
                        <w:rPr>
                          <w:rFonts w:ascii="Arial" w:hAnsi="Arial" w:cs="Arial"/>
                          <w:color w:val="000000" w:themeColor="text1"/>
                          <w:sz w:val="18"/>
                          <w:szCs w:val="20"/>
                          <w:lang w:val="en-US"/>
                        </w:rPr>
                        <w:t xml:space="preserve"> protocols and post-hoc analysis</w:t>
                      </w:r>
                    </w:p>
                  </w:txbxContent>
                </v:textbox>
              </v:rect>
            </w:pict>
          </mc:Fallback>
        </mc:AlternateContent>
      </w:r>
      <w:r>
        <w:rPr>
          <w:noProof/>
          <w:lang w:val="en-US"/>
        </w:rPr>
        <mc:AlternateContent>
          <mc:Choice Requires="wps">
            <w:drawing>
              <wp:anchor distT="0" distB="0" distL="114300" distR="114300" simplePos="0" relativeHeight="251675648" behindDoc="0" locked="0" layoutInCell="1" allowOverlap="1" wp14:anchorId="300431FB" wp14:editId="2BFE3616">
                <wp:simplePos x="0" y="0"/>
                <wp:positionH relativeFrom="column">
                  <wp:posOffset>-133509</wp:posOffset>
                </wp:positionH>
                <wp:positionV relativeFrom="paragraph">
                  <wp:posOffset>170656</wp:posOffset>
                </wp:positionV>
                <wp:extent cx="764223" cy="262890"/>
                <wp:effectExtent l="2858" t="0" r="20002" b="20003"/>
                <wp:wrapNone/>
                <wp:docPr id="33" name="Flowchart: Alternate Process 33"/>
                <wp:cNvGraphicFramePr/>
                <a:graphic xmlns:a="http://schemas.openxmlformats.org/drawingml/2006/main">
                  <a:graphicData uri="http://schemas.microsoft.com/office/word/2010/wordprocessingShape">
                    <wps:wsp>
                      <wps:cNvSpPr/>
                      <wps:spPr>
                        <a:xfrm rot="16200000">
                          <a:off x="0" y="0"/>
                          <a:ext cx="764223"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396473C5" w14:textId="77777777" w:rsidR="00D8066A" w:rsidRPr="001502CF" w:rsidRDefault="00D8066A" w:rsidP="0088423B">
                            <w:pPr>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300431FB" id="Flowchart: Alternate Process 33" o:spid="_x0000_s1039" type="#_x0000_t176" style="position:absolute;margin-left:-10.5pt;margin-top:13.45pt;width:60.2pt;height:20.7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" fillcolor="#9cc2e5 [1944]" strokecolor="black [3213]" strokeweight="1pt">
                <v:textbox>
                  <w:txbxContent>
                    <w:p w14:paraId="396473C5" w14:textId="77777777" w:rsidR="00D8066A" w:rsidRPr="001502CF" w:rsidRDefault="00D8066A" w:rsidP="0088423B">
                      <w:pPr>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v:textbox>
              </v:shape>
            </w:pict>
          </mc:Fallback>
        </mc:AlternateContent>
      </w:r>
    </w:p>
    <w:p w14:paraId="5947DF97" w14:textId="77777777" w:rsidR="0088423B" w:rsidRPr="0088423B" w:rsidRDefault="0088423B" w:rsidP="0088423B">
      <w:pPr>
        <w:rPr>
          <w:lang w:val="en-US"/>
        </w:rPr>
      </w:pPr>
      <w:r>
        <w:rPr>
          <w:noProof/>
          <w:lang w:val="en-US"/>
        </w:rPr>
        <mc:AlternateContent>
          <mc:Choice Requires="wps">
            <w:drawing>
              <wp:anchor distT="0" distB="0" distL="114300" distR="114300" simplePos="0" relativeHeight="251681792" behindDoc="0" locked="0" layoutInCell="1" allowOverlap="1" wp14:anchorId="526DC3E8" wp14:editId="580173EC">
                <wp:simplePos x="0" y="0"/>
                <wp:positionH relativeFrom="column">
                  <wp:posOffset>2442743</wp:posOffset>
                </wp:positionH>
                <wp:positionV relativeFrom="paragraph">
                  <wp:posOffset>145681</wp:posOffset>
                </wp:positionV>
                <wp:extent cx="583483" cy="0"/>
                <wp:effectExtent l="25400" t="63500" r="0" b="76200"/>
                <wp:wrapNone/>
                <wp:docPr id="11" name="Straight Arrow Connector 11"/>
                <wp:cNvGraphicFramePr/>
                <a:graphic xmlns:a="http://schemas.openxmlformats.org/drawingml/2006/main">
                  <a:graphicData uri="http://schemas.microsoft.com/office/word/2010/wordprocessingShape">
                    <wps:wsp>
                      <wps:cNvCnPr/>
                      <wps:spPr>
                        <a:xfrm flipH="1">
                          <a:off x="0" y="0"/>
                          <a:ext cx="58348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37CE665B" id="Straight Arrow Connector 11" o:spid="_x0000_s1026" type="#_x0000_t32" style="position:absolute;margin-left:192.35pt;margin-top:11.45pt;width:45.95pt;height:0;flip:x;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" strokecolor="black [3200]" strokeweight=".5pt">
                <v:stroke endarrow="block" joinstyle="miter"/>
              </v:shape>
            </w:pict>
          </mc:Fallback>
        </mc:AlternateContent>
      </w:r>
    </w:p>
    <w:p w14:paraId="35598E54" w14:textId="77777777" w:rsidR="0088423B" w:rsidRPr="0088423B" w:rsidRDefault="0088423B" w:rsidP="0088423B">
      <w:pPr>
        <w:rPr>
          <w:lang w:val="en-US"/>
        </w:rPr>
      </w:pPr>
    </w:p>
    <w:p w14:paraId="47B60AA0" w14:textId="77777777" w:rsidR="0088423B" w:rsidRPr="0088423B" w:rsidRDefault="0088423B" w:rsidP="0088423B">
      <w:pPr>
        <w:rPr>
          <w:lang w:val="en-US"/>
        </w:rPr>
      </w:pPr>
    </w:p>
    <w:p w14:paraId="2DC27B5C" w14:textId="77777777" w:rsidR="0088423B" w:rsidRPr="0088423B" w:rsidRDefault="0088423B" w:rsidP="0088423B">
      <w:pPr>
        <w:rPr>
          <w:lang w:val="en-US"/>
        </w:rPr>
      </w:pPr>
    </w:p>
    <w:p w14:paraId="19034D18" w14:textId="77777777" w:rsidR="0088423B" w:rsidRDefault="0088423B" w:rsidP="0088423B">
      <w:pPr>
        <w:pStyle w:val="CommentText"/>
      </w:pPr>
    </w:p>
    <w:p w14:paraId="2EB14EF0" w14:textId="77777777" w:rsidR="0088423B" w:rsidRDefault="0088423B" w:rsidP="0088423B">
      <w:pPr>
        <w:pStyle w:val="CommentText"/>
        <w:rPr>
          <w:rFonts w:ascii="Arial" w:hAnsi="Arial" w:cs="Arial"/>
          <w:sz w:val="18"/>
          <w:szCs w:val="18"/>
        </w:rPr>
      </w:pPr>
      <w:r w:rsidRPr="00D65E3F">
        <w:rPr>
          <w:rFonts w:ascii="Arial" w:hAnsi="Arial" w:cs="Arial"/>
          <w:sz w:val="18"/>
          <w:szCs w:val="18"/>
        </w:rPr>
        <w:t>*Consider, if feasible to do so, reporting the number of records identified from each database or register searched (rather than the total number across all databases/registers).</w:t>
      </w:r>
    </w:p>
    <w:p w14:paraId="632E1006" w14:textId="77777777" w:rsidR="0088423B" w:rsidRDefault="0088423B" w:rsidP="0088423B">
      <w:pPr>
        <w:pStyle w:val="CommentText"/>
        <w:rPr>
          <w:rFonts w:ascii="Arial" w:hAnsi="Arial" w:cs="Arial"/>
          <w:sz w:val="18"/>
          <w:szCs w:val="18"/>
        </w:rPr>
      </w:pPr>
    </w:p>
    <w:p w14:paraId="792990EA" w14:textId="77777777" w:rsidR="0088423B" w:rsidRPr="00E00A7E" w:rsidRDefault="0088423B" w:rsidP="0088423B">
      <w:pPr>
        <w:pStyle w:val="Default"/>
        <w:spacing w:line="183" w:lineRule="atLeast"/>
        <w:jc w:val="both"/>
        <w:rPr>
          <w:rFonts w:ascii="Arial" w:hAnsi="Arial" w:cs="Arial"/>
          <w:color w:val="auto"/>
          <w:sz w:val="18"/>
          <w:szCs w:val="18"/>
        </w:rPr>
      </w:pPr>
      <w:bookmarkStart w:id="2" w:name="_Hlk67299547"/>
      <w:r w:rsidRPr="00E00A7E">
        <w:rPr>
          <w:rFonts w:ascii="Arial" w:hAnsi="Arial" w:cs="Arial"/>
          <w:i/>
          <w:iCs/>
          <w:color w:val="auto"/>
          <w:sz w:val="18"/>
          <w:szCs w:val="18"/>
        </w:rPr>
        <w:t xml:space="preserve">From: </w:t>
      </w:r>
      <w:r w:rsidRPr="00E00A7E">
        <w:rPr>
          <w:rFonts w:ascii="Arial" w:hAnsi="Arial" w:cs="Arial"/>
          <w:color w:val="auto"/>
          <w:sz w:val="18"/>
          <w:szCs w:val="18"/>
        </w:rPr>
        <w:t xml:space="preserve"> Page MJ, McKenzie JE, Bossuyt PM, Boutron I, Hoffmann TC, Mulrow CD, et al. The PRISMA 2020 statement: an updated guideline for reporting systematic reviews. BMJ 2021;372:n71. doi: 10.1136/bmj.n71</w:t>
      </w:r>
    </w:p>
    <w:p w14:paraId="4AA95FF0" w14:textId="77777777" w:rsidR="0088423B" w:rsidRPr="00E00A7E" w:rsidRDefault="0088423B" w:rsidP="0088423B">
      <w:pPr>
        <w:pStyle w:val="Default"/>
        <w:spacing w:line="183" w:lineRule="atLeast"/>
        <w:jc w:val="both"/>
        <w:rPr>
          <w:rFonts w:ascii="Arial" w:hAnsi="Arial" w:cs="Arial"/>
          <w:color w:val="auto"/>
          <w:sz w:val="18"/>
          <w:szCs w:val="18"/>
          <w:lang w:val="da-DK"/>
        </w:rPr>
      </w:pPr>
    </w:p>
    <w:p w14:paraId="5ED248A3" w14:textId="77777777" w:rsidR="0088423B" w:rsidRPr="00E00A7E" w:rsidRDefault="0088423B" w:rsidP="0088423B">
      <w:pPr>
        <w:pStyle w:val="CM1"/>
        <w:spacing w:after="130"/>
        <w:jc w:val="center"/>
        <w:rPr>
          <w:rFonts w:ascii="Arial" w:hAnsi="Arial" w:cs="Arial"/>
          <w:sz w:val="18"/>
          <w:szCs w:val="18"/>
        </w:rPr>
      </w:pPr>
      <w:r w:rsidRPr="00E00A7E">
        <w:rPr>
          <w:rFonts w:ascii="Arial" w:hAnsi="Arial" w:cs="Arial"/>
          <w:color w:val="333399"/>
          <w:sz w:val="18"/>
          <w:szCs w:val="18"/>
        </w:rPr>
        <w:t>For more information, visit:</w:t>
      </w:r>
      <w:r w:rsidRPr="00E00A7E">
        <w:rPr>
          <w:rFonts w:ascii="Arial" w:hAnsi="Arial" w:cs="Arial"/>
          <w:color w:val="000000"/>
          <w:sz w:val="18"/>
          <w:szCs w:val="18"/>
          <w:lang w:val="da-DK"/>
        </w:rPr>
        <w:t xml:space="preserve"> </w:t>
      </w:r>
      <w:hyperlink r:id="rId9" w:history="1">
        <w:r w:rsidRPr="001E371A">
          <w:rPr>
            <w:rStyle w:val="Hyperlink"/>
            <w:rFonts w:ascii="Arial" w:hAnsi="Arial" w:cs="Arial"/>
            <w:sz w:val="18"/>
            <w:szCs w:val="18"/>
            <w:lang w:val="da-DK"/>
          </w:rPr>
          <w:t>http://www.prisma-statement.org/</w:t>
        </w:r>
      </w:hyperlink>
    </w:p>
    <w:bookmarkEnd w:id="2"/>
    <w:p w14:paraId="443975DF" w14:textId="77777777" w:rsidR="00852CA1" w:rsidRPr="0088423B" w:rsidRDefault="00852CA1" w:rsidP="00852CA1">
      <w:pPr>
        <w:rPr>
          <w:lang w:val="en-CA"/>
        </w:rPr>
      </w:pPr>
    </w:p>
    <w:p w14:paraId="6B6BD1FD" w14:textId="77777777" w:rsidR="0061429C" w:rsidRPr="00422CCD" w:rsidRDefault="0061429C" w:rsidP="00852CA1">
      <w:pPr>
        <w:rPr>
          <w:lang w:val="en-US"/>
        </w:rPr>
      </w:pPr>
    </w:p>
    <w:p w14:paraId="2263B8EB" w14:textId="77777777" w:rsidR="0061429C" w:rsidRPr="00422CCD" w:rsidRDefault="0061429C" w:rsidP="00852CA1">
      <w:pPr>
        <w:rPr>
          <w:lang w:val="en-US"/>
        </w:rPr>
      </w:pPr>
    </w:p>
    <w:p w14:paraId="79F3D573" w14:textId="32C9AA56" w:rsidR="00852CA1" w:rsidRPr="00650344" w:rsidRDefault="004B3D37" w:rsidP="00852CA1">
      <w:pPr>
        <w:rPr>
          <w:rFonts w:ascii="Calibri" w:hAnsi="Calibri"/>
          <w:sz w:val="28"/>
          <w:szCs w:val="28"/>
          <w:lang w:val="en-US"/>
        </w:rPr>
      </w:pPr>
      <w:r w:rsidRPr="00650344">
        <w:rPr>
          <w:rFonts w:ascii="Calibri" w:hAnsi="Calibri"/>
          <w:b/>
          <w:sz w:val="28"/>
          <w:szCs w:val="28"/>
          <w:lang w:val="en-US"/>
        </w:rPr>
        <w:lastRenderedPageBreak/>
        <w:t>eMethods 1.</w:t>
      </w:r>
      <w:r w:rsidRPr="00650344">
        <w:rPr>
          <w:rFonts w:ascii="Calibri" w:hAnsi="Calibri"/>
          <w:sz w:val="28"/>
          <w:szCs w:val="28"/>
          <w:lang w:val="en-US"/>
        </w:rPr>
        <w:t xml:space="preserve"> Search strategies</w:t>
      </w:r>
      <w:r w:rsidRPr="00650344">
        <w:rPr>
          <w:rFonts w:ascii="Calibri" w:hAnsi="Calibri"/>
          <w:sz w:val="28"/>
          <w:szCs w:val="28"/>
          <w:lang w:val="en-US"/>
        </w:rPr>
        <w:tab/>
      </w:r>
    </w:p>
    <w:p w14:paraId="2064B6F7" w14:textId="77777777" w:rsidR="004B3D37" w:rsidRPr="00422CCD" w:rsidRDefault="004B3D37" w:rsidP="00852CA1">
      <w:pPr>
        <w:rPr>
          <w:lang w:val="en-US"/>
        </w:rPr>
      </w:pPr>
    </w:p>
    <w:p w14:paraId="1F7E2AA3" w14:textId="77777777" w:rsidR="00852CA1" w:rsidRPr="00852CA1" w:rsidRDefault="00852CA1" w:rsidP="00852CA1">
      <w:pPr>
        <w:rPr>
          <w:lang w:val="en-US"/>
        </w:rPr>
      </w:pPr>
    </w:p>
    <w:p w14:paraId="46367400" w14:textId="77777777" w:rsidR="00852CA1" w:rsidRPr="00852CA1" w:rsidRDefault="00852CA1" w:rsidP="00852CA1">
      <w:pPr>
        <w:rPr>
          <w:b/>
          <w:lang w:val="en-US"/>
        </w:rPr>
      </w:pPr>
      <w:r w:rsidRPr="00852CA1">
        <w:rPr>
          <w:b/>
          <w:lang w:val="en-US"/>
        </w:rPr>
        <w:t>Scopus</w:t>
      </w:r>
    </w:p>
    <w:p w14:paraId="320CF419" w14:textId="77777777" w:rsidR="00852CA1" w:rsidRDefault="00852CA1" w:rsidP="00852CA1">
      <w:pPr>
        <w:rPr>
          <w:lang w:val="en-US"/>
        </w:rPr>
      </w:pPr>
      <w:r>
        <w:rPr>
          <w:lang w:val="en-US"/>
        </w:rPr>
        <w:t>Search history 26.5.2021</w:t>
      </w:r>
    </w:p>
    <w:p w14:paraId="35FD4397" w14:textId="77777777" w:rsidR="00852CA1" w:rsidRDefault="00852CA1" w:rsidP="00852CA1">
      <w:pPr>
        <w:rPr>
          <w:lang w:val="en-US"/>
        </w:rPr>
      </w:pPr>
      <w:r w:rsidRPr="00E94073">
        <w:rPr>
          <w:lang w:val="en-US"/>
        </w:rPr>
        <w:t xml:space="preserve">( ( TITLE-ABS-KEY ( "randomized controlled trial" ) )  OR  ( TITLE-ABS-KEY ( "controlled clinical trial" ) )  OR  ( ABS ( randomized  OR  placebo  OR  randomly ) )  OR  ( TITLE ( trial ) ) )  AND  ( ( ( TITLE-ABS-KEY ( abandon*  OR  de-list*  OR  dis-invest*  OR  discontinu*  OR  dis-continu*  OR  decommiss*  OR  de-commiss*  OR  deadopt*  OR  de-adopt*  OR  de-implement*  OR  deimplement*  OR  reduc*  OR  remov*  OR  stop*  OR  relinquish*  OR  disadopt*  OR  disinvest*  OR  de-prescri*  OR  deprescri* ) )  OR  ( TITLE-ABS-KEY ( ( decreas*  W/3  "use" )  OR  ( declin*  W/3  "use" )  OR  ( drop*  W/3  "use" )  OR  ( decreas*  W/3  rate* ) ) )  OR  ( TITLE-ABS-KEY ( withdraw*  OR  replac*  OR  reallocat*  OR  re-allocat* ) )  OR  ( TITLE-ABS-KEY ( "change* in use"  OR  "change* in practice*" ) )  OR  ( TITLE-ABS-KEY ( improv*  W/4  "use" ) )  OR  ( TITLE-ABS-KEY ( reduc*  W/4  "use" ) )  OR  ( TITLE-ABS-KEY ( change*  W/4  "use"  OR  change*  W/3  practice* ) ) )  AND  ( ( TITLE-ABS-KEY ( inappropriate  W/3  prescri* ) )  OR  ( TITLE-ABS-KEY ( "Health Service*"  W/1  misus* ) )  OR  ( TITLE-ABS-KEY ( low-value ) )  OR  ( TITLE-ABS-KEY ( ( overutili*  OR  overus*  OR  overdiagnos*  OR  overtreat*  OR  overmedicat*  OR  overprescrib* ) ) )  OR  ( TITLE-ABS-KEY ( ( unnecessary  OR  ineffective  OR  useless  OR  inefficient  OR  valueless )  W/1  ( care  OR  usage  OR  utilisation  OR  utilization  OR  treatment*  OR  intervention*  OR  practice*  OR  procedure  OR  drug*  OR  therap*  OR  technolog*  OR  device*  OR  surg*  OR  test*  OR  lab*  OR  imaging ) ) )  OR  ( TITLE-ABS-KEY ( "unnecessary use" ) )  OR  ( TITLE-ABS-KEY ( "INAPPROPRIATE use" ) )  OR  ( TITLE-ABS-KEY ( obsolete ) )  OR  ( TITLE-ABS-KEY ( contradict*  OR  refute*  OR  reassess*  OR  re-assess*  OR  re-apprais*  OR  reapprais*  OR  revers ) )  OR  ( TITLE-ABS-KEY ( "Guideline Adherence" ) ) ) )  </w:t>
      </w:r>
    </w:p>
    <w:p w14:paraId="5016CFE5" w14:textId="77777777" w:rsidR="00852CA1" w:rsidRDefault="00852CA1" w:rsidP="00852CA1">
      <w:pPr>
        <w:rPr>
          <w:lang w:val="en-US"/>
        </w:rPr>
      </w:pPr>
    </w:p>
    <w:p w14:paraId="1900DF37" w14:textId="7203F54F" w:rsidR="004379C1" w:rsidRDefault="00852CA1" w:rsidP="00852CA1">
      <w:pPr>
        <w:rPr>
          <w:b/>
          <w:lang w:val="en-US"/>
        </w:rPr>
      </w:pPr>
      <w:r w:rsidRPr="00B81D2B">
        <w:rPr>
          <w:lang w:val="en-US"/>
        </w:rPr>
        <w:t xml:space="preserve">( ( TITLE-ABS ( "randomized controlled trial" ) )  OR  ( TITLE-ABS ( "controlled clinical trial" ) )  OR  ( TITLE-ABS ( randomized ) )  OR  ( TITLE-ABS ( placebo ) )  OR  ( TITLE-ABS ( randomly ) )  OR  ( TITLE ( trial ) ) )  AND  ( ( TITLE-ABS-KEY ( "Unnecessary Procedure*" ) )  OR  ( TITLE-ABS-KEY ( "prescription rate*" ) )  OR  ( TITLE-ABS-KEY ( "Guideline adherence" ) )  OR  ( TITLE-ABS-KEY ( "too much medicine" ) )  OR  ( TITLE-ABS-KEY ( "choosing wisely" ) )  OR  ( TITLE-ABS-KEY ( "do not do" ) )  OR  ( TITLE-ABS-KEY ( deprescription* ) )  OR  ( TITLE-ABS-KEY ( guideline*  W/3  implementation* ) )  OR  ( TITLE-ABS-KEY ( reduc*  W/4  prescri* ) )  OR  ( TITLE-ABS-KEY ( unnecessary  W/4  "use" ) )  OR  ( TITLE-ABS-KEY ( unnecessary  W/4  prescri* ) )  OR  ( TITLE-ABS-KEY ( "Inappropriate prescri*" ) )  OR  ( TITLE-ABS-KEY ( decreas*  W/3  referrals ) ) </w:t>
      </w:r>
    </w:p>
    <w:p w14:paraId="517FEE29" w14:textId="77777777" w:rsidR="004379C1" w:rsidRDefault="004379C1" w:rsidP="00852CA1">
      <w:pPr>
        <w:rPr>
          <w:b/>
          <w:lang w:val="en-US"/>
        </w:rPr>
      </w:pPr>
    </w:p>
    <w:p w14:paraId="17FE4D16" w14:textId="77777777" w:rsidR="00650344" w:rsidRDefault="00650344" w:rsidP="00852CA1">
      <w:pPr>
        <w:rPr>
          <w:b/>
          <w:lang w:val="en-US"/>
        </w:rPr>
      </w:pPr>
    </w:p>
    <w:p w14:paraId="572C7232" w14:textId="77777777" w:rsidR="00650344" w:rsidRDefault="00650344" w:rsidP="00852CA1">
      <w:pPr>
        <w:rPr>
          <w:b/>
          <w:lang w:val="en-US"/>
        </w:rPr>
      </w:pPr>
    </w:p>
    <w:p w14:paraId="4AC381AB" w14:textId="77777777" w:rsidR="00650344" w:rsidRDefault="00650344" w:rsidP="00852CA1">
      <w:pPr>
        <w:rPr>
          <w:b/>
          <w:lang w:val="en-US"/>
        </w:rPr>
      </w:pPr>
    </w:p>
    <w:p w14:paraId="75CAF974" w14:textId="77777777" w:rsidR="00650344" w:rsidRDefault="00650344" w:rsidP="00852CA1">
      <w:pPr>
        <w:rPr>
          <w:b/>
          <w:lang w:val="en-US"/>
        </w:rPr>
      </w:pPr>
    </w:p>
    <w:p w14:paraId="10DD0B04" w14:textId="77777777" w:rsidR="00650344" w:rsidRDefault="00650344" w:rsidP="00852CA1">
      <w:pPr>
        <w:rPr>
          <w:b/>
          <w:lang w:val="en-US"/>
        </w:rPr>
      </w:pPr>
    </w:p>
    <w:p w14:paraId="0F94719F" w14:textId="77777777" w:rsidR="00650344" w:rsidRDefault="00650344" w:rsidP="00852CA1">
      <w:pPr>
        <w:rPr>
          <w:b/>
          <w:lang w:val="en-US"/>
        </w:rPr>
      </w:pPr>
    </w:p>
    <w:p w14:paraId="08473857" w14:textId="77777777" w:rsidR="00650344" w:rsidRDefault="00650344" w:rsidP="00852CA1">
      <w:pPr>
        <w:rPr>
          <w:b/>
          <w:lang w:val="en-US"/>
        </w:rPr>
      </w:pPr>
    </w:p>
    <w:p w14:paraId="22AEED4F" w14:textId="77777777" w:rsidR="00650344" w:rsidRDefault="00650344" w:rsidP="00852CA1">
      <w:pPr>
        <w:rPr>
          <w:b/>
          <w:lang w:val="en-US"/>
        </w:rPr>
      </w:pPr>
    </w:p>
    <w:p w14:paraId="4FB8AE3F" w14:textId="77777777" w:rsidR="00650344" w:rsidRDefault="00650344" w:rsidP="00852CA1">
      <w:pPr>
        <w:rPr>
          <w:b/>
          <w:lang w:val="en-US"/>
        </w:rPr>
      </w:pPr>
    </w:p>
    <w:p w14:paraId="02BA1C7F" w14:textId="77777777" w:rsidR="00650344" w:rsidRDefault="00650344" w:rsidP="00852CA1">
      <w:pPr>
        <w:rPr>
          <w:b/>
          <w:lang w:val="en-US"/>
        </w:rPr>
      </w:pPr>
    </w:p>
    <w:p w14:paraId="1C27AD78" w14:textId="77777777" w:rsidR="00650344" w:rsidRDefault="00650344" w:rsidP="00852CA1">
      <w:pPr>
        <w:rPr>
          <w:b/>
          <w:lang w:val="en-US"/>
        </w:rPr>
      </w:pPr>
    </w:p>
    <w:p w14:paraId="408B6361" w14:textId="77777777" w:rsidR="001C39A5" w:rsidRDefault="001C39A5" w:rsidP="00852CA1">
      <w:pPr>
        <w:rPr>
          <w:b/>
          <w:lang w:val="en-US"/>
        </w:rPr>
      </w:pPr>
    </w:p>
    <w:p w14:paraId="33E0890A" w14:textId="479F2CED" w:rsidR="00852CA1" w:rsidRDefault="00852CA1" w:rsidP="00852CA1">
      <w:pPr>
        <w:rPr>
          <w:b/>
          <w:lang w:val="en-US"/>
        </w:rPr>
      </w:pPr>
      <w:r w:rsidRPr="00B97993">
        <w:rPr>
          <w:b/>
          <w:lang w:val="en-US"/>
        </w:rPr>
        <w:lastRenderedPageBreak/>
        <w:t>Medline</w:t>
      </w:r>
    </w:p>
    <w:p w14:paraId="47F61EEC" w14:textId="77777777" w:rsidR="00852CA1" w:rsidRPr="00B97993" w:rsidRDefault="00852CA1" w:rsidP="00852CA1">
      <w:pPr>
        <w:rPr>
          <w:lang w:val="en-US"/>
        </w:rPr>
      </w:pPr>
      <w:r w:rsidRPr="00B97993">
        <w:rPr>
          <w:rFonts w:ascii="Arial Unicode MS" w:eastAsia="Arial Unicode MS" w:hAnsi="Arial Unicode MS" w:cs="Arial Unicode MS"/>
          <w:sz w:val="20"/>
          <w:lang w:val="en-US"/>
        </w:rPr>
        <w:t>Database: Ovid MEDLINE(R) ALL &lt;1946 to May 24, 2021&gt;</w:t>
      </w:r>
    </w:p>
    <w:p w14:paraId="480D18DA" w14:textId="77777777"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Search Strategy:</w:t>
      </w:r>
    </w:p>
    <w:p w14:paraId="397F4A39" w14:textId="77777777"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w:t>
      </w:r>
    </w:p>
    <w:p w14:paraId="634F3D2E" w14:textId="4FB93A3B"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1     Unnecessary Procedures/ </w:t>
      </w:r>
    </w:p>
    <w:p w14:paraId="71EAEAB2" w14:textId="0775DD58"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2     prescription rate*.tw. </w:t>
      </w:r>
    </w:p>
    <w:p w14:paraId="5C3A9876" w14:textId="3B069B05"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3     Guideline adherence.tw. </w:t>
      </w:r>
    </w:p>
    <w:p w14:paraId="4EF7D2FD" w14:textId="0E030157"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4     too much medicine.tw. </w:t>
      </w:r>
    </w:p>
    <w:p w14:paraId="146611E0" w14:textId="10B51568"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5     choosing wisely.tw. </w:t>
      </w:r>
    </w:p>
    <w:p w14:paraId="2AC8694F" w14:textId="264DC617"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6     "do not do".tw. </w:t>
      </w:r>
    </w:p>
    <w:p w14:paraId="657CD89C" w14:textId="3CBFD4A6"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7     deprescriptions/ </w:t>
      </w:r>
    </w:p>
    <w:p w14:paraId="018EBB82" w14:textId="57F713CF"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8     (guideline* adj3 implementation*).tw. </w:t>
      </w:r>
    </w:p>
    <w:p w14:paraId="5BBC0DBE" w14:textId="1CFAAE22"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9     Practice Patterns, Physicians'/sn, st </w:t>
      </w:r>
    </w:p>
    <w:p w14:paraId="58680F9C" w14:textId="2C17829E"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10     Physicians, Family/st, sn [Standards, Statistics &amp; Numerical Data] </w:t>
      </w:r>
    </w:p>
    <w:p w14:paraId="2B2BB3F5" w14:textId="50E2E928"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11     exp Drug Utilization/sn [Statistics &amp; Numerical Data] </w:t>
      </w:r>
    </w:p>
    <w:p w14:paraId="46A38124" w14:textId="7D701BAE"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12     randomized controlled trial.pt. </w:t>
      </w:r>
    </w:p>
    <w:p w14:paraId="099E1254" w14:textId="1547C57D"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13     controlled clinical trial.pt. </w:t>
      </w:r>
    </w:p>
    <w:p w14:paraId="1031E89A" w14:textId="6179B5FE"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14     randomized.ab. </w:t>
      </w:r>
    </w:p>
    <w:p w14:paraId="65B50561" w14:textId="560A3AAC"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15     placebo.ab. </w:t>
      </w:r>
    </w:p>
    <w:p w14:paraId="6C9C453C" w14:textId="0F2D4058"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16     clinical trials as topic.sh. </w:t>
      </w:r>
    </w:p>
    <w:p w14:paraId="4218F752" w14:textId="3FA3EFA4"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17     randomly.ab. </w:t>
      </w:r>
    </w:p>
    <w:p w14:paraId="52D4ED9D" w14:textId="3CFC8C6C"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18     trial.ti. </w:t>
      </w:r>
    </w:p>
    <w:p w14:paraId="4DAC7E4B" w14:textId="027AD2FB"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19     12 or 13 or 14 or 15 or 16 or 17 or 18 </w:t>
      </w:r>
    </w:p>
    <w:p w14:paraId="6D75F06A" w14:textId="79A678F2"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20     exp animals/ not humans.sh. </w:t>
      </w:r>
    </w:p>
    <w:p w14:paraId="6095054C" w14:textId="49DB35A9"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21     19 not 20 </w:t>
      </w:r>
    </w:p>
    <w:p w14:paraId="4FF918F0" w14:textId="579D5538"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22     1 or 2 or 3 or 4 or 5 or 6 or 7 or 9 or 10 or 11 </w:t>
      </w:r>
    </w:p>
    <w:p w14:paraId="223E9159" w14:textId="420BBEA3"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23     21 and 22 </w:t>
      </w:r>
    </w:p>
    <w:p w14:paraId="555AB4DC" w14:textId="0A783EBE"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24     (reduc* adj4 prescri*).tw. </w:t>
      </w:r>
    </w:p>
    <w:p w14:paraId="13D9383D" w14:textId="516E2B19"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25     (unnecessary adj4 "use").mp. [mp=title, abstract, original title, name of substance word, subject heading word, floating sub-heading word, keyword heading word, organism supplementary concept word, protocol supplementary concept word, rare disease supplementary concept word, unique identifier, synonyms] </w:t>
      </w:r>
    </w:p>
    <w:p w14:paraId="0F4F273F" w14:textId="580EF8DD"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26     (unnecessary adj4 prescri*).tw. </w:t>
      </w:r>
    </w:p>
    <w:p w14:paraId="6AA1605E" w14:textId="59EC448F"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27     Inappropriate Prescribing/ </w:t>
      </w:r>
    </w:p>
    <w:p w14:paraId="4BFAF71A" w14:textId="1C21DB71"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28     (decreas* adj3 referrals).tw. </w:t>
      </w:r>
    </w:p>
    <w:p w14:paraId="75E66B12" w14:textId="0A6D3F4B"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29     inappropriate prescri*.tw. </w:t>
      </w:r>
    </w:p>
    <w:p w14:paraId="23A68E72" w14:textId="60A3E3F6"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30     24 or 25 or 26 or 27 or 28 or 29 </w:t>
      </w:r>
    </w:p>
    <w:p w14:paraId="47B37D76" w14:textId="39BE9D43" w:rsidR="00852CA1" w:rsidRPr="00B97993" w:rsidRDefault="00852CA1" w:rsidP="00852CA1">
      <w:pPr>
        <w:rPr>
          <w:rFonts w:ascii="Arial Unicode MS" w:eastAsia="Arial Unicode MS" w:hAnsi="Arial Unicode MS" w:cs="Arial Unicode MS"/>
          <w:sz w:val="20"/>
          <w:lang w:val="en-US"/>
        </w:rPr>
      </w:pPr>
      <w:r w:rsidRPr="00B97993">
        <w:rPr>
          <w:rFonts w:ascii="Arial Unicode MS" w:eastAsia="Arial Unicode MS" w:hAnsi="Arial Unicode MS" w:cs="Arial Unicode MS"/>
          <w:sz w:val="20"/>
          <w:lang w:val="en-US"/>
        </w:rPr>
        <w:t xml:space="preserve">31     21 and 30 </w:t>
      </w:r>
    </w:p>
    <w:p w14:paraId="4BE0EDBC" w14:textId="2F75154B" w:rsidR="00852CA1" w:rsidRPr="00B97993"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32     23 or 31 </w:t>
      </w:r>
    </w:p>
    <w:p w14:paraId="7CB2C4D6" w14:textId="77777777" w:rsidR="00650344" w:rsidRDefault="00650344" w:rsidP="00852CA1">
      <w:pPr>
        <w:rPr>
          <w:rFonts w:ascii="Arial Unicode MS" w:eastAsia="Arial Unicode MS" w:hAnsi="Arial Unicode MS" w:cs="Arial Unicode MS"/>
          <w:sz w:val="20"/>
          <w:lang w:val="en-US"/>
        </w:rPr>
      </w:pPr>
    </w:p>
    <w:p w14:paraId="065C08C9" w14:textId="39368C57" w:rsidR="00852CA1" w:rsidRPr="00852CA1" w:rsidRDefault="00852CA1" w:rsidP="00852CA1">
      <w:pPr>
        <w:rPr>
          <w:lang w:val="en-US"/>
        </w:rPr>
      </w:pPr>
      <w:r w:rsidRPr="00852CA1">
        <w:rPr>
          <w:rFonts w:ascii="Arial Unicode MS" w:eastAsia="Arial Unicode MS" w:hAnsi="Arial Unicode MS" w:cs="Arial Unicode MS"/>
          <w:sz w:val="20"/>
          <w:lang w:val="en-US"/>
        </w:rPr>
        <w:lastRenderedPageBreak/>
        <w:t>Database: Ovid MEDLINE(R) ALL &lt;1946 to May 24, 2021&gt;</w:t>
      </w:r>
    </w:p>
    <w:p w14:paraId="13C9C164" w14:textId="77777777"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Search Strategy:</w:t>
      </w:r>
    </w:p>
    <w:p w14:paraId="3E0CDFE9" w14:textId="77777777"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w:t>
      </w:r>
    </w:p>
    <w:p w14:paraId="0EF6CB88" w14:textId="0B8FF1D2"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1     exp Health Services Misuse/ </w:t>
      </w:r>
    </w:p>
    <w:p w14:paraId="2CEAEABD" w14:textId="7CB01E86"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2     Inappropriate Prescribing/ </w:t>
      </w:r>
    </w:p>
    <w:p w14:paraId="4B3C0F54" w14:textId="2C45613D"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3     low-value.tw. </w:t>
      </w:r>
    </w:p>
    <w:p w14:paraId="5A24EBF8" w14:textId="213C95A3"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4     (overutili* or overus* or overdiagnos* or overtreat* or overmedicat* or overprescrib*).tw. </w:t>
      </w:r>
    </w:p>
    <w:p w14:paraId="557D7CDB" w14:textId="4C0CC70A"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5     ((unnecessary or ineffective or useless or inefficient or valueless) adj (care or usage or utilisation or utilization or treatment* or intervention* or practice* or procedure or drug* or therap* or technolog* or device* or surg* or test* or lab* or imaging)).tw. </w:t>
      </w:r>
    </w:p>
    <w:p w14:paraId="4A2BCFC0" w14:textId="7AC754CA"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6     "unnecessary use".tw. </w:t>
      </w:r>
    </w:p>
    <w:p w14:paraId="0DCDCBB3" w14:textId="1359E588"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7     Inappropriate Prescri*.tw. </w:t>
      </w:r>
    </w:p>
    <w:p w14:paraId="2B0C486D" w14:textId="0D60786F"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8     "INAPPROPRIATE use".tw. </w:t>
      </w:r>
    </w:p>
    <w:p w14:paraId="1143527F" w14:textId="5F063D09"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9     obsolete.tw. </w:t>
      </w:r>
    </w:p>
    <w:p w14:paraId="5EC07DE5" w14:textId="7EDF7E89"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10     (contradict* or refute* or reassess* or re-assess* or re-apprais* or reapprais* or revers).tw. </w:t>
      </w:r>
    </w:p>
    <w:p w14:paraId="19AA9708" w14:textId="18EE0917"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11     exp Guideline Adherence/ </w:t>
      </w:r>
    </w:p>
    <w:p w14:paraId="4070C368" w14:textId="6A9CB58E"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12     1 or 2 or 3 or 4 or 5 or 6 or 7 or 8 or 9 </w:t>
      </w:r>
    </w:p>
    <w:p w14:paraId="41053AC8" w14:textId="1F967895"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13     (abandon* or de-list* or dis-invest* or discontinu* or dis-continu* or decommiss* or de-commiss* or deadopt* or de-adopt* or de-implement* or deimplement* or reduc* or remov* or stop* or relinquish* or disadopt* or DISINVEST* or de-prescri* or Deprescri*).tw. </w:t>
      </w:r>
    </w:p>
    <w:p w14:paraId="00ACE7DF" w14:textId="28B76B27"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14     ((decreas* adj3 "use") or (declin* adj3 "use") or (drop* adj3 "use") or (decreas* adj3 rate*)).mp. </w:t>
      </w:r>
    </w:p>
    <w:p w14:paraId="044807FE" w14:textId="2C71E6FE"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15     (withdraw* or replac* or reallocat* or re-allocat*).tw. </w:t>
      </w:r>
    </w:p>
    <w:p w14:paraId="5A6754AB" w14:textId="4BDB0594"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16     ("change* in use" or "change* in practice*").tw. </w:t>
      </w:r>
    </w:p>
    <w:p w14:paraId="49280EB4" w14:textId="7B2B6BFF"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17     (improv* adj4 "use").mp. </w:t>
      </w:r>
    </w:p>
    <w:p w14:paraId="20C8DD2B" w14:textId="4CC6A16B"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18     ((change adj4 "use") or "change* in practice").mp. </w:t>
      </w:r>
    </w:p>
    <w:p w14:paraId="54D982ED" w14:textId="5CE4B37D"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19     (reduc* adj4 "use").tw. </w:t>
      </w:r>
    </w:p>
    <w:p w14:paraId="3780A2CD" w14:textId="6A872008"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20     13 or 14 or 16 or 17 or 18 or 19 </w:t>
      </w:r>
    </w:p>
    <w:p w14:paraId="5CF2711B" w14:textId="0848C3AB"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21     12 and 20 </w:t>
      </w:r>
    </w:p>
    <w:p w14:paraId="5BEA0275" w14:textId="4966D010"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22     randomized controlled trial.pt. </w:t>
      </w:r>
    </w:p>
    <w:p w14:paraId="3B6D20B0" w14:textId="6765D9F1"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23     controlled clinical trial.pt. </w:t>
      </w:r>
    </w:p>
    <w:p w14:paraId="648BE623" w14:textId="1F003E61"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24     randomized.ab. </w:t>
      </w:r>
    </w:p>
    <w:p w14:paraId="6608C3A0" w14:textId="3AC7D341"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25     placebo.ab. </w:t>
      </w:r>
    </w:p>
    <w:p w14:paraId="7945B513" w14:textId="311CD944"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26     clinical trials as topic.sh. </w:t>
      </w:r>
    </w:p>
    <w:p w14:paraId="0240A5F3" w14:textId="6E46E71B"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27     randomly.ab. </w:t>
      </w:r>
    </w:p>
    <w:p w14:paraId="052AFB20" w14:textId="3D79372F"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28     trial.ti. </w:t>
      </w:r>
    </w:p>
    <w:p w14:paraId="5CF0B5AB" w14:textId="39383C97"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29     22 or 23 or 24 or 25 or 26 or 27 or 28 </w:t>
      </w:r>
    </w:p>
    <w:p w14:paraId="1976570D" w14:textId="68770644" w:rsidR="00852CA1" w:rsidRPr="00852CA1" w:rsidRDefault="00852CA1" w:rsidP="00852CA1">
      <w:pPr>
        <w:rPr>
          <w:rFonts w:ascii="Arial Unicode MS" w:eastAsia="Arial Unicode MS" w:hAnsi="Arial Unicode MS" w:cs="Arial Unicode MS"/>
          <w:sz w:val="20"/>
          <w:lang w:val="en-US"/>
        </w:rPr>
      </w:pPr>
      <w:r w:rsidRPr="00852CA1">
        <w:rPr>
          <w:rFonts w:ascii="Arial Unicode MS" w:eastAsia="Arial Unicode MS" w:hAnsi="Arial Unicode MS" w:cs="Arial Unicode MS"/>
          <w:sz w:val="20"/>
          <w:lang w:val="en-US"/>
        </w:rPr>
        <w:t xml:space="preserve">30     exp animals/ not humans.sh. </w:t>
      </w:r>
    </w:p>
    <w:p w14:paraId="6BF65487" w14:textId="0578057B" w:rsidR="00852CA1" w:rsidRPr="002E4DCF" w:rsidRDefault="00852CA1" w:rsidP="00852CA1">
      <w:pPr>
        <w:rPr>
          <w:rFonts w:ascii="Arial Unicode MS" w:eastAsia="Arial Unicode MS" w:hAnsi="Arial Unicode MS" w:cs="Arial Unicode MS"/>
          <w:sz w:val="20"/>
          <w:lang w:val="en-US"/>
        </w:rPr>
      </w:pPr>
      <w:r w:rsidRPr="002E4DCF">
        <w:rPr>
          <w:rFonts w:ascii="Arial Unicode MS" w:eastAsia="Arial Unicode MS" w:hAnsi="Arial Unicode MS" w:cs="Arial Unicode MS"/>
          <w:sz w:val="20"/>
          <w:lang w:val="en-US"/>
        </w:rPr>
        <w:t xml:space="preserve">31     29 not 30 </w:t>
      </w:r>
    </w:p>
    <w:p w14:paraId="6415B1D5" w14:textId="7632A648" w:rsidR="00852CA1" w:rsidRPr="002E4DCF" w:rsidRDefault="00852CA1" w:rsidP="00852CA1">
      <w:pPr>
        <w:rPr>
          <w:rFonts w:ascii="Arial Unicode MS" w:eastAsia="Arial Unicode MS" w:hAnsi="Arial Unicode MS" w:cs="Arial Unicode MS"/>
          <w:sz w:val="20"/>
          <w:lang w:val="en-US"/>
        </w:rPr>
      </w:pPr>
      <w:r w:rsidRPr="002E4DCF">
        <w:rPr>
          <w:rFonts w:ascii="Arial Unicode MS" w:eastAsia="Arial Unicode MS" w:hAnsi="Arial Unicode MS" w:cs="Arial Unicode MS"/>
          <w:sz w:val="20"/>
          <w:lang w:val="en-US"/>
        </w:rPr>
        <w:t xml:space="preserve">32     21 and 31 </w:t>
      </w:r>
    </w:p>
    <w:p w14:paraId="495FCFA9" w14:textId="77777777" w:rsidR="00650344" w:rsidRDefault="00650344">
      <w:pPr>
        <w:rPr>
          <w:rFonts w:ascii="Arial Unicode MS" w:eastAsia="Arial Unicode MS" w:hAnsi="Arial Unicode MS" w:cs="Arial Unicode MS"/>
          <w:sz w:val="20"/>
          <w:lang w:val="en-US"/>
        </w:rPr>
      </w:pPr>
    </w:p>
    <w:p w14:paraId="62F13314" w14:textId="713640C6" w:rsidR="00531912" w:rsidRDefault="004B3D37">
      <w:pPr>
        <w:rPr>
          <w:rFonts w:ascii="Calibri" w:hAnsi="Calibri"/>
          <w:sz w:val="28"/>
          <w:szCs w:val="28"/>
          <w:lang w:val="en-US"/>
        </w:rPr>
      </w:pPr>
      <w:r w:rsidRPr="004B3D37">
        <w:rPr>
          <w:rFonts w:ascii="Calibri" w:hAnsi="Calibri"/>
          <w:b/>
          <w:sz w:val="28"/>
          <w:szCs w:val="28"/>
          <w:lang w:val="en-US"/>
        </w:rPr>
        <w:lastRenderedPageBreak/>
        <w:t>eMethods 2.</w:t>
      </w:r>
      <w:r w:rsidRPr="004B3D37">
        <w:rPr>
          <w:rFonts w:ascii="Calibri" w:hAnsi="Calibri"/>
          <w:sz w:val="28"/>
          <w:szCs w:val="28"/>
          <w:lang w:val="en-US"/>
        </w:rPr>
        <w:t xml:space="preserve"> Risk of Bias Tool for RCTs of complex interventions</w:t>
      </w:r>
      <w:r w:rsidRPr="004B3D37">
        <w:rPr>
          <w:rFonts w:ascii="Calibri" w:hAnsi="Calibri"/>
          <w:sz w:val="28"/>
          <w:szCs w:val="28"/>
          <w:lang w:val="en-US"/>
        </w:rPr>
        <w:tab/>
      </w:r>
    </w:p>
    <w:p w14:paraId="3A405C48" w14:textId="77777777" w:rsidR="004B3D37" w:rsidRPr="004B3D37" w:rsidRDefault="004B3D37">
      <w:pPr>
        <w:rPr>
          <w:b/>
          <w:sz w:val="28"/>
          <w:szCs w:val="28"/>
          <w:lang w:val="en-US"/>
        </w:rPr>
      </w:pPr>
    </w:p>
    <w:p w14:paraId="5A417E13" w14:textId="77777777" w:rsidR="005B742D" w:rsidRPr="00706944" w:rsidRDefault="005B742D" w:rsidP="005B742D">
      <w:pPr>
        <w:pStyle w:val="NoSpacing"/>
        <w:numPr>
          <w:ilvl w:val="0"/>
          <w:numId w:val="2"/>
        </w:numPr>
        <w:spacing w:line="276" w:lineRule="auto"/>
        <w:jc w:val="both"/>
      </w:pPr>
      <w:r w:rsidRPr="00DE6164">
        <w:rPr>
          <w:b/>
          <w:bCs/>
        </w:rPr>
        <w:t>Randomization</w:t>
      </w:r>
      <w:r>
        <w:rPr>
          <w:b/>
          <w:bCs/>
        </w:rPr>
        <w:t>/imbalance of prognostic factors</w:t>
      </w:r>
    </w:p>
    <w:p w14:paraId="1D8E89C1" w14:textId="77777777" w:rsidR="005B742D" w:rsidRPr="00DE6164" w:rsidRDefault="005B742D" w:rsidP="005B742D">
      <w:pPr>
        <w:pStyle w:val="NoSpacing"/>
        <w:spacing w:line="276" w:lineRule="auto"/>
        <w:ind w:left="360"/>
        <w:jc w:val="both"/>
      </w:pPr>
    </w:p>
    <w:p w14:paraId="00476558" w14:textId="77777777" w:rsidR="005B742D" w:rsidRPr="0074054D" w:rsidRDefault="005B742D" w:rsidP="005B742D">
      <w:pPr>
        <w:pStyle w:val="NoSpacing"/>
        <w:numPr>
          <w:ilvl w:val="1"/>
          <w:numId w:val="2"/>
        </w:numPr>
        <w:spacing w:line="276" w:lineRule="auto"/>
        <w:jc w:val="both"/>
      </w:pPr>
      <w:r w:rsidRPr="00DE6164">
        <w:rPr>
          <w:b/>
          <w:bCs/>
        </w:rPr>
        <w:t>Was the allocation sequence adequately generated?</w:t>
      </w:r>
    </w:p>
    <w:p w14:paraId="4E07853C" w14:textId="77777777" w:rsidR="005B742D" w:rsidRDefault="005B742D" w:rsidP="005B742D">
      <w:pPr>
        <w:pStyle w:val="NoSpacing"/>
        <w:spacing w:line="276" w:lineRule="auto"/>
        <w:jc w:val="both"/>
      </w:pPr>
    </w:p>
    <w:p w14:paraId="118F2558" w14:textId="77777777" w:rsidR="005B742D" w:rsidRPr="00DE6164" w:rsidRDefault="005B742D" w:rsidP="005B742D">
      <w:pPr>
        <w:pStyle w:val="NoSpacing"/>
        <w:spacing w:line="276" w:lineRule="auto"/>
        <w:jc w:val="center"/>
      </w:pPr>
      <w:r w:rsidRPr="00DE6164">
        <w:t>Definitely yes</w:t>
      </w:r>
      <w:r w:rsidRPr="00DE6164">
        <w:tab/>
      </w:r>
      <w:r w:rsidRPr="00DE6164">
        <w:tab/>
        <w:t>Probably yes</w:t>
      </w:r>
      <w:r w:rsidRPr="00DE6164">
        <w:tab/>
      </w:r>
      <w:r w:rsidRPr="00DE6164">
        <w:tab/>
        <w:t>Probably no</w:t>
      </w:r>
      <w:r w:rsidRPr="00DE6164">
        <w:tab/>
      </w:r>
      <w:r w:rsidRPr="00DE6164">
        <w:tab/>
        <w:t>Definitely no</w:t>
      </w:r>
    </w:p>
    <w:p w14:paraId="3B985AF7" w14:textId="77777777" w:rsidR="005B742D" w:rsidRPr="00DE6164" w:rsidRDefault="005B742D" w:rsidP="005B742D">
      <w:pPr>
        <w:pStyle w:val="NoSpacing"/>
        <w:spacing w:line="276" w:lineRule="auto"/>
        <w:jc w:val="center"/>
      </w:pPr>
      <w:r w:rsidRPr="00DE6164">
        <w:t>(low risk of bias)</w:t>
      </w:r>
      <w:r w:rsidRPr="00DE6164">
        <w:tab/>
      </w:r>
      <w:r w:rsidRPr="00DE6164">
        <w:tab/>
      </w:r>
      <w:r w:rsidRPr="00DE6164">
        <w:tab/>
      </w:r>
      <w:r w:rsidRPr="00DE6164">
        <w:tab/>
      </w:r>
      <w:r w:rsidRPr="00DE6164">
        <w:tab/>
      </w:r>
      <w:r w:rsidRPr="00DE6164">
        <w:tab/>
      </w:r>
      <w:r w:rsidRPr="00DE6164">
        <w:tab/>
        <w:t>(high risk of bias)</w:t>
      </w:r>
    </w:p>
    <w:p w14:paraId="5EE67FD5" w14:textId="77777777" w:rsidR="005B742D" w:rsidRPr="00191578" w:rsidRDefault="005B742D" w:rsidP="005B742D">
      <w:pPr>
        <w:pStyle w:val="NoSpacing"/>
        <w:spacing w:line="276" w:lineRule="auto"/>
        <w:jc w:val="both"/>
      </w:pPr>
    </w:p>
    <w:p w14:paraId="4BC300DE" w14:textId="77777777" w:rsidR="005B742D" w:rsidRDefault="005B742D" w:rsidP="005B742D">
      <w:pPr>
        <w:pStyle w:val="NoSpacing"/>
        <w:spacing w:line="276" w:lineRule="auto"/>
        <w:jc w:val="both"/>
      </w:pPr>
      <w:r w:rsidRPr="00DE6164">
        <w:t>The use of a random component should be sufficient for adequate sequence generation. This could be achieved by allocating interventions using methods such as repeated coin-tossing, throwing dice or dealing previously shuffled cards. If the allocation was by telephone or Internet, the randomization was done through a computer system.</w:t>
      </w:r>
    </w:p>
    <w:p w14:paraId="13053378" w14:textId="77777777" w:rsidR="005B742D" w:rsidRPr="00DE6164" w:rsidRDefault="005B742D" w:rsidP="005B742D">
      <w:pPr>
        <w:pStyle w:val="NoSpacing"/>
        <w:spacing w:line="276" w:lineRule="auto"/>
        <w:jc w:val="both"/>
      </w:pPr>
    </w:p>
    <w:p w14:paraId="49944EDF" w14:textId="77777777" w:rsidR="005B742D" w:rsidRPr="00DE6164" w:rsidRDefault="005B742D" w:rsidP="005B742D">
      <w:pPr>
        <w:pStyle w:val="NoSpacing"/>
        <w:spacing w:line="276" w:lineRule="auto"/>
        <w:jc w:val="both"/>
      </w:pPr>
      <w:r w:rsidRPr="00813280">
        <w:rPr>
          <w:u w:val="single"/>
        </w:rPr>
        <w:t>Examples of low risk of bias (“definitely yes”):</w:t>
      </w:r>
      <w:r w:rsidRPr="00DE6164">
        <w:t xml:space="preserve"> Referring to a random number table; Using a computer random number generator; Coin tossing; Shuffling cards or envelopes; Throwing dice; Drawing of lots; Minimization with or without a random element.</w:t>
      </w:r>
    </w:p>
    <w:p w14:paraId="59A29767" w14:textId="77777777" w:rsidR="005B742D" w:rsidRPr="00DE6164" w:rsidRDefault="005B742D" w:rsidP="005B742D">
      <w:pPr>
        <w:pStyle w:val="NoSpacing"/>
        <w:spacing w:line="276" w:lineRule="auto"/>
        <w:jc w:val="both"/>
      </w:pPr>
    </w:p>
    <w:p w14:paraId="4D9734D1" w14:textId="77777777" w:rsidR="005B742D" w:rsidRPr="00DE6164" w:rsidRDefault="005B742D" w:rsidP="005B742D">
      <w:pPr>
        <w:pStyle w:val="NoSpacing"/>
        <w:spacing w:line="276" w:lineRule="auto"/>
        <w:jc w:val="both"/>
      </w:pPr>
      <w:r w:rsidRPr="00813280">
        <w:rPr>
          <w:u w:val="single"/>
        </w:rPr>
        <w:t>Examples of high risk of bias (“definitely no”):</w:t>
      </w:r>
      <w:r w:rsidRPr="00DE6164">
        <w:t xml:space="preserve"> Sequence generated by odd or even date of birth; Sequence generated by some rule based on date (or day) of admission; Sequence generated by some rule based on hospital or clinic record number; Allocation by judgement of the clinician; Allocation by preference of the participant; Allocation based on the results of a laboratory test or a series of tests; Allocation by availability of the intervention.</w:t>
      </w:r>
    </w:p>
    <w:p w14:paraId="3CD20D11" w14:textId="77777777" w:rsidR="005B742D" w:rsidRPr="00DE6164" w:rsidRDefault="005B742D" w:rsidP="005B742D">
      <w:pPr>
        <w:pStyle w:val="NoSpacing"/>
        <w:spacing w:line="276" w:lineRule="auto"/>
        <w:jc w:val="both"/>
      </w:pPr>
    </w:p>
    <w:p w14:paraId="614C2887" w14:textId="77777777" w:rsidR="005B742D" w:rsidRDefault="005B742D" w:rsidP="005B742D">
      <w:pPr>
        <w:pStyle w:val="NoSpacing"/>
        <w:spacing w:line="276" w:lineRule="auto"/>
        <w:jc w:val="both"/>
      </w:pPr>
      <w:r w:rsidRPr="00DE6164">
        <w:t xml:space="preserve">If they say “randomized” and give no more information regarding sequence generation, the process was </w:t>
      </w:r>
      <w:r w:rsidRPr="003B4762">
        <w:t>probably low risk of bias, so, answer “Probably yes”.</w:t>
      </w:r>
    </w:p>
    <w:p w14:paraId="41BBBDB3" w14:textId="77777777" w:rsidR="005B742D" w:rsidRDefault="005B742D" w:rsidP="005B742D">
      <w:pPr>
        <w:pStyle w:val="NoSpacing"/>
        <w:spacing w:line="276" w:lineRule="auto"/>
        <w:jc w:val="both"/>
      </w:pPr>
    </w:p>
    <w:p w14:paraId="5A696321" w14:textId="77777777" w:rsidR="005B742D" w:rsidRPr="0074054D" w:rsidRDefault="005B742D" w:rsidP="005B742D">
      <w:pPr>
        <w:pStyle w:val="NoSpacing"/>
        <w:numPr>
          <w:ilvl w:val="1"/>
          <w:numId w:val="2"/>
        </w:numPr>
        <w:spacing w:line="276" w:lineRule="auto"/>
        <w:jc w:val="both"/>
      </w:pPr>
      <w:r>
        <w:rPr>
          <w:b/>
        </w:rPr>
        <w:t xml:space="preserve">Was the allocation adequately concealed? </w:t>
      </w:r>
    </w:p>
    <w:p w14:paraId="180CC06F" w14:textId="77777777" w:rsidR="005B742D" w:rsidRDefault="005B742D" w:rsidP="005B742D">
      <w:pPr>
        <w:pStyle w:val="NoSpacing"/>
        <w:spacing w:line="276" w:lineRule="auto"/>
        <w:jc w:val="both"/>
      </w:pPr>
    </w:p>
    <w:p w14:paraId="3C3F14D4" w14:textId="77777777" w:rsidR="005B742D" w:rsidRPr="00DE6164" w:rsidRDefault="005B742D" w:rsidP="005B742D">
      <w:pPr>
        <w:pStyle w:val="NoSpacing"/>
        <w:spacing w:line="276" w:lineRule="auto"/>
        <w:jc w:val="center"/>
      </w:pPr>
      <w:r w:rsidRPr="00DE6164">
        <w:t>Definitely yes</w:t>
      </w:r>
      <w:r w:rsidRPr="00DE6164">
        <w:tab/>
      </w:r>
      <w:r w:rsidRPr="00DE6164">
        <w:tab/>
        <w:t>Probably yes</w:t>
      </w:r>
      <w:r w:rsidRPr="00DE6164">
        <w:tab/>
      </w:r>
      <w:r w:rsidRPr="00DE6164">
        <w:tab/>
        <w:t>Probably no</w:t>
      </w:r>
      <w:r w:rsidRPr="00DE6164">
        <w:tab/>
      </w:r>
      <w:r w:rsidRPr="00DE6164">
        <w:tab/>
        <w:t>Definitely no</w:t>
      </w:r>
    </w:p>
    <w:p w14:paraId="5B0ECCD3" w14:textId="77777777" w:rsidR="005B742D" w:rsidRDefault="005B742D" w:rsidP="005B742D">
      <w:pPr>
        <w:pStyle w:val="NoSpacing"/>
        <w:spacing w:line="276" w:lineRule="auto"/>
        <w:jc w:val="center"/>
      </w:pPr>
      <w:r w:rsidRPr="00DE6164">
        <w:t>(low risk of bias)</w:t>
      </w:r>
      <w:r w:rsidRPr="00DE6164">
        <w:tab/>
      </w:r>
      <w:r w:rsidRPr="00DE6164">
        <w:tab/>
      </w:r>
      <w:r w:rsidRPr="00DE6164">
        <w:tab/>
      </w:r>
      <w:r w:rsidRPr="00DE6164">
        <w:tab/>
      </w:r>
      <w:r w:rsidRPr="00DE6164">
        <w:tab/>
      </w:r>
      <w:r w:rsidRPr="00DE6164">
        <w:tab/>
      </w:r>
      <w:r w:rsidRPr="00DE6164">
        <w:tab/>
        <w:t>(high risk of bias)</w:t>
      </w:r>
    </w:p>
    <w:p w14:paraId="61D4A340" w14:textId="77777777" w:rsidR="005B742D" w:rsidRDefault="005B742D" w:rsidP="005B742D">
      <w:pPr>
        <w:pStyle w:val="NoSpacing"/>
        <w:spacing w:line="276" w:lineRule="auto"/>
        <w:jc w:val="both"/>
      </w:pPr>
    </w:p>
    <w:p w14:paraId="3587BDF8" w14:textId="77777777" w:rsidR="005B742D" w:rsidRDefault="005B742D" w:rsidP="005B742D">
      <w:pPr>
        <w:pStyle w:val="NoSpacing"/>
        <w:spacing w:line="276" w:lineRule="auto"/>
        <w:jc w:val="both"/>
      </w:pPr>
      <w:r w:rsidRPr="00526471">
        <w:t xml:space="preserve">In randomized </w:t>
      </w:r>
      <w:r>
        <w:t>trials</w:t>
      </w:r>
      <w:r w:rsidRPr="00526471">
        <w:t>, allocation concealment strateg</w:t>
      </w:r>
      <w:r>
        <w:t>ies</w:t>
      </w:r>
      <w:r w:rsidRPr="00526471">
        <w:t xml:space="preserve"> hide the method of sorting trial participants into treatment groups so that this knowledge cannot be exploited. Adequate allocation concealment serves to prevent </w:t>
      </w:r>
      <w:r>
        <w:t xml:space="preserve">trial investigators/recruiters </w:t>
      </w:r>
      <w:r w:rsidRPr="00526471">
        <w:t xml:space="preserve">from choosing treatment allocations for </w:t>
      </w:r>
      <w:r>
        <w:t>individuals/patients</w:t>
      </w:r>
      <w:r w:rsidRPr="00526471">
        <w:t>. Studies with poor allocation concealment (or none at all) are prone to selection bias.</w:t>
      </w:r>
      <w:r>
        <w:t xml:space="preserve"> Trials where participants are recruited before randomization are low risk of bias. Trials where participants are recruited between randomization and the beginning of the intervention are usually high risk of bias.</w:t>
      </w:r>
    </w:p>
    <w:p w14:paraId="338FA644" w14:textId="77777777" w:rsidR="005B742D" w:rsidRDefault="005B742D" w:rsidP="005B742D">
      <w:pPr>
        <w:pStyle w:val="NoSpacing"/>
        <w:spacing w:line="276" w:lineRule="auto"/>
        <w:jc w:val="both"/>
      </w:pPr>
    </w:p>
    <w:p w14:paraId="28EA4A02" w14:textId="77777777" w:rsidR="005B742D" w:rsidRDefault="005B742D" w:rsidP="005B742D">
      <w:pPr>
        <w:pStyle w:val="NoSpacing"/>
        <w:spacing w:line="276" w:lineRule="auto"/>
        <w:jc w:val="both"/>
      </w:pPr>
      <w:r w:rsidRPr="00F04C93">
        <w:t xml:space="preserve">If there are multiple levels of recruitment, consider allocation concealment on the lowest level. For instance, educational intervention targeted to physicians: clusters are health care centers, physicians are participants to whom the educational intervention was targeted and patients were participants to whom the medical intervention was targeted. If patients are recruited after the randomisation we will consider the study as high risk of bias. An exception is, however, if all patients from the physician were analysed or </w:t>
      </w:r>
      <w:r w:rsidRPr="00F04C93">
        <w:lastRenderedPageBreak/>
        <w:t>otherwise it was impossible for the physician to decide which patients were included. In this case we will consider study as low risk of bias.</w:t>
      </w:r>
    </w:p>
    <w:p w14:paraId="3F25F742" w14:textId="77777777" w:rsidR="005B742D" w:rsidRDefault="005B742D" w:rsidP="005B742D">
      <w:pPr>
        <w:pStyle w:val="NoSpacing"/>
        <w:spacing w:line="276" w:lineRule="auto"/>
        <w:jc w:val="both"/>
      </w:pPr>
    </w:p>
    <w:p w14:paraId="2E8B7239" w14:textId="77777777" w:rsidR="005B742D" w:rsidRPr="00191578" w:rsidRDefault="005B742D" w:rsidP="005B742D">
      <w:pPr>
        <w:pStyle w:val="NoSpacing"/>
        <w:spacing w:line="276" w:lineRule="auto"/>
        <w:jc w:val="both"/>
      </w:pPr>
    </w:p>
    <w:p w14:paraId="36A9C6FB" w14:textId="77777777" w:rsidR="005B742D" w:rsidRPr="00813280" w:rsidRDefault="005B742D" w:rsidP="005B742D">
      <w:pPr>
        <w:pStyle w:val="NoSpacing"/>
        <w:spacing w:line="276" w:lineRule="auto"/>
        <w:jc w:val="both"/>
        <w:rPr>
          <w:rFonts w:eastAsia="Times New Roman" w:cs="Calibri"/>
          <w:u w:val="single"/>
          <w:lang w:val="en-US"/>
        </w:rPr>
      </w:pPr>
      <w:r w:rsidRPr="00813280">
        <w:rPr>
          <w:rFonts w:eastAsia="Times New Roman" w:cs="Calibri"/>
          <w:u w:val="single"/>
          <w:lang w:val="en-US"/>
        </w:rPr>
        <w:t xml:space="preserve">Examples of low risk of bias (“definitely yes”): </w:t>
      </w:r>
    </w:p>
    <w:p w14:paraId="2A434F98" w14:textId="77777777" w:rsidR="005B742D" w:rsidRDefault="005B742D" w:rsidP="005B742D">
      <w:pPr>
        <w:pStyle w:val="NoSpacing"/>
        <w:numPr>
          <w:ilvl w:val="0"/>
          <w:numId w:val="3"/>
        </w:numPr>
        <w:spacing w:line="276" w:lineRule="auto"/>
        <w:jc w:val="both"/>
        <w:rPr>
          <w:rFonts w:eastAsia="Times New Roman" w:cs="Calibri"/>
          <w:lang w:val="en-US"/>
        </w:rPr>
      </w:pPr>
      <w:r>
        <w:rPr>
          <w:rFonts w:eastAsia="Times New Roman" w:cs="Calibri"/>
          <w:lang w:val="en-US"/>
        </w:rPr>
        <w:t xml:space="preserve">i) </w:t>
      </w:r>
      <w:r w:rsidRPr="00505689">
        <w:rPr>
          <w:rFonts w:eastAsia="Times New Roman" w:cs="Calibri"/>
          <w:lang w:val="en-US"/>
        </w:rPr>
        <w:t xml:space="preserve">the unit of allocation was by patient or episode of care </w:t>
      </w:r>
      <w:r>
        <w:rPr>
          <w:rFonts w:eastAsia="Times New Roman" w:cs="Calibri"/>
          <w:lang w:val="en-US"/>
        </w:rPr>
        <w:t>AND</w:t>
      </w:r>
      <w:r w:rsidRPr="00505689">
        <w:rPr>
          <w:rFonts w:eastAsia="Times New Roman" w:cs="Calibri"/>
          <w:lang w:val="en-US"/>
        </w:rPr>
        <w:t xml:space="preserve"> </w:t>
      </w:r>
      <w:r>
        <w:rPr>
          <w:rFonts w:eastAsia="Times New Roman" w:cs="Calibri"/>
          <w:lang w:val="en-US"/>
        </w:rPr>
        <w:t xml:space="preserve">ii) </w:t>
      </w:r>
      <w:r w:rsidRPr="00505689">
        <w:rPr>
          <w:rFonts w:eastAsia="Times New Roman" w:cs="Calibri"/>
          <w:lang w:val="en-US"/>
        </w:rPr>
        <w:t>there was some form of centralized randomization scheme an</w:t>
      </w:r>
      <w:r>
        <w:rPr>
          <w:rFonts w:eastAsia="Times New Roman" w:cs="Calibri"/>
          <w:lang w:val="en-US"/>
        </w:rPr>
        <w:t>d</w:t>
      </w:r>
      <w:r w:rsidRPr="00505689">
        <w:rPr>
          <w:rFonts w:eastAsia="Times New Roman" w:cs="Calibri"/>
          <w:lang w:val="en-US"/>
        </w:rPr>
        <w:t xml:space="preserve"> on-site computer system </w:t>
      </w:r>
      <w:r>
        <w:rPr>
          <w:rFonts w:eastAsia="Times New Roman" w:cs="Calibri"/>
          <w:lang w:val="en-US"/>
        </w:rPr>
        <w:t>OR</w:t>
      </w:r>
      <w:r w:rsidRPr="00505689">
        <w:rPr>
          <w:rFonts w:eastAsia="Times New Roman" w:cs="Calibri"/>
          <w:lang w:val="en-US"/>
        </w:rPr>
        <w:t xml:space="preserve"> sealed opaque envelopes were used</w:t>
      </w:r>
      <w:r>
        <w:rPr>
          <w:rFonts w:eastAsia="Times New Roman" w:cs="Calibri"/>
          <w:lang w:val="en-US"/>
        </w:rPr>
        <w:t>.</w:t>
      </w:r>
    </w:p>
    <w:p w14:paraId="73514DD6" w14:textId="77777777" w:rsidR="005B742D" w:rsidRPr="00D84DA1" w:rsidRDefault="005B742D" w:rsidP="005B742D">
      <w:pPr>
        <w:pStyle w:val="NoSpacing"/>
        <w:numPr>
          <w:ilvl w:val="0"/>
          <w:numId w:val="3"/>
        </w:numPr>
        <w:spacing w:line="276" w:lineRule="auto"/>
        <w:jc w:val="both"/>
        <w:rPr>
          <w:rFonts w:cs="Calibri"/>
        </w:rPr>
      </w:pPr>
      <w:r w:rsidRPr="00D84DA1">
        <w:rPr>
          <w:rFonts w:eastAsia="Times New Roman" w:cs="Calibri"/>
          <w:lang w:val="en-US"/>
        </w:rPr>
        <w:t>i) the unit of allocation was by institution, team or professional AND ii) less than 5% were recruited  (at the lowest level) after the randomization</w:t>
      </w:r>
    </w:p>
    <w:p w14:paraId="1123FFDC" w14:textId="77777777" w:rsidR="005B742D" w:rsidRPr="00E558F1" w:rsidRDefault="005B742D" w:rsidP="005B742D">
      <w:pPr>
        <w:pStyle w:val="NoSpacing"/>
        <w:numPr>
          <w:ilvl w:val="0"/>
          <w:numId w:val="3"/>
        </w:numPr>
        <w:spacing w:line="276" w:lineRule="auto"/>
        <w:jc w:val="both"/>
        <w:rPr>
          <w:rFonts w:eastAsia="Times New Roman" w:cs="Calibri"/>
          <w:lang w:val="en-US"/>
        </w:rPr>
      </w:pPr>
      <w:r w:rsidRPr="00D84DA1">
        <w:rPr>
          <w:rFonts w:eastAsia="Times New Roman" w:cs="Calibri"/>
        </w:rPr>
        <w:t xml:space="preserve">i) </w:t>
      </w:r>
      <w:r w:rsidRPr="00D84DA1">
        <w:rPr>
          <w:rFonts w:eastAsia="Times New Roman" w:cs="Calibri"/>
          <w:lang w:val="en-US"/>
        </w:rPr>
        <w:t xml:space="preserve">the unit of allocation was by institution, team or professional AND ii) Lowest level of recruitment was conducted after the randomization AND iii) recruiter(s) were blinded to study groups OR all participants were recruited </w:t>
      </w:r>
    </w:p>
    <w:p w14:paraId="2D1B4ACD" w14:textId="77777777" w:rsidR="005B742D" w:rsidRDefault="005B742D" w:rsidP="005B742D">
      <w:pPr>
        <w:pStyle w:val="NoSpacing"/>
        <w:spacing w:line="276" w:lineRule="auto"/>
        <w:jc w:val="both"/>
        <w:rPr>
          <w:rFonts w:cs="Calibri"/>
          <w:highlight w:val="yellow"/>
        </w:rPr>
      </w:pPr>
    </w:p>
    <w:p w14:paraId="0B1176F0" w14:textId="77777777" w:rsidR="005B742D" w:rsidRPr="00813280" w:rsidRDefault="005B742D" w:rsidP="005B742D">
      <w:pPr>
        <w:pStyle w:val="NoSpacing"/>
        <w:spacing w:line="276" w:lineRule="auto"/>
        <w:jc w:val="both"/>
        <w:rPr>
          <w:rFonts w:cs="Calibri"/>
          <w:u w:val="single"/>
        </w:rPr>
      </w:pPr>
      <w:r w:rsidRPr="00813280">
        <w:rPr>
          <w:rFonts w:cs="Calibri"/>
          <w:u w:val="single"/>
        </w:rPr>
        <w:t>Examples of low risk of bias (“probably yes”):</w:t>
      </w:r>
    </w:p>
    <w:p w14:paraId="380C8E35" w14:textId="77777777" w:rsidR="005B742D" w:rsidRPr="00E558F1" w:rsidRDefault="005B742D" w:rsidP="005B742D">
      <w:pPr>
        <w:pStyle w:val="NoSpacing"/>
        <w:numPr>
          <w:ilvl w:val="0"/>
          <w:numId w:val="6"/>
        </w:numPr>
        <w:spacing w:line="276" w:lineRule="auto"/>
        <w:jc w:val="both"/>
        <w:rPr>
          <w:rFonts w:eastAsia="Times New Roman" w:cs="Calibri"/>
          <w:lang w:val="en-US"/>
        </w:rPr>
      </w:pPr>
      <w:r>
        <w:rPr>
          <w:rFonts w:eastAsia="Times New Roman" w:cs="Calibri"/>
        </w:rPr>
        <w:t xml:space="preserve">i) </w:t>
      </w:r>
      <w:r w:rsidRPr="00505689">
        <w:rPr>
          <w:rFonts w:eastAsia="Times New Roman" w:cs="Calibri"/>
          <w:lang w:val="en-US"/>
        </w:rPr>
        <w:t xml:space="preserve">the unit of allocation was by institution, team or professional </w:t>
      </w:r>
      <w:r>
        <w:rPr>
          <w:rFonts w:eastAsia="Times New Roman" w:cs="Calibri"/>
          <w:lang w:val="en-US"/>
        </w:rPr>
        <w:t>AND</w:t>
      </w:r>
      <w:r w:rsidRPr="00505689">
        <w:rPr>
          <w:rFonts w:eastAsia="Times New Roman" w:cs="Calibri"/>
          <w:lang w:val="en-US"/>
        </w:rPr>
        <w:t xml:space="preserve"> </w:t>
      </w:r>
      <w:r>
        <w:rPr>
          <w:rFonts w:eastAsia="Times New Roman" w:cs="Calibri"/>
          <w:lang w:val="en-US"/>
        </w:rPr>
        <w:t xml:space="preserve">ii) </w:t>
      </w:r>
      <w:r w:rsidRPr="00D84DA1">
        <w:rPr>
          <w:rFonts w:eastAsia="Times New Roman" w:cs="Calibri"/>
          <w:lang w:val="en-US"/>
        </w:rPr>
        <w:t xml:space="preserve">less than </w:t>
      </w:r>
      <w:r>
        <w:rPr>
          <w:rFonts w:eastAsia="Times New Roman" w:cs="Calibri"/>
          <w:lang w:val="en-US"/>
        </w:rPr>
        <w:t>10</w:t>
      </w:r>
      <w:r w:rsidRPr="00D84DA1">
        <w:rPr>
          <w:rFonts w:eastAsia="Times New Roman" w:cs="Calibri"/>
          <w:lang w:val="en-US"/>
        </w:rPr>
        <w:t>% were recruited  (at the lowest level) after the randomization</w:t>
      </w:r>
    </w:p>
    <w:p w14:paraId="54B869DC" w14:textId="77777777" w:rsidR="005B742D" w:rsidRDefault="005B742D" w:rsidP="005B742D">
      <w:pPr>
        <w:pStyle w:val="NoSpacing"/>
        <w:spacing w:line="276" w:lineRule="auto"/>
        <w:jc w:val="both"/>
        <w:rPr>
          <w:rFonts w:cs="Calibri"/>
        </w:rPr>
      </w:pPr>
    </w:p>
    <w:p w14:paraId="41C1F842" w14:textId="77777777" w:rsidR="005B742D" w:rsidRPr="00813280" w:rsidRDefault="005B742D" w:rsidP="005B742D">
      <w:pPr>
        <w:pStyle w:val="NoSpacing"/>
        <w:spacing w:line="276" w:lineRule="auto"/>
        <w:jc w:val="both"/>
        <w:rPr>
          <w:rFonts w:cs="Calibri"/>
          <w:u w:val="single"/>
        </w:rPr>
      </w:pPr>
      <w:r w:rsidRPr="00813280">
        <w:rPr>
          <w:rFonts w:cs="Calibri"/>
          <w:u w:val="single"/>
        </w:rPr>
        <w:t>Examples of high risk of bias (“probably no”):</w:t>
      </w:r>
    </w:p>
    <w:p w14:paraId="495DE5ED" w14:textId="77777777" w:rsidR="005B742D" w:rsidRPr="006165D5" w:rsidRDefault="005B742D" w:rsidP="005B742D">
      <w:pPr>
        <w:pStyle w:val="NoSpacing"/>
        <w:numPr>
          <w:ilvl w:val="0"/>
          <w:numId w:val="4"/>
        </w:numPr>
        <w:spacing w:line="276" w:lineRule="auto"/>
        <w:jc w:val="both"/>
        <w:rPr>
          <w:rFonts w:cs="Calibri"/>
        </w:rPr>
      </w:pPr>
      <w:r w:rsidRPr="00505689">
        <w:rPr>
          <w:rFonts w:eastAsia="Times New Roman" w:cs="Calibri"/>
          <w:lang w:val="en-US"/>
        </w:rPr>
        <w:t>the unit of allocation was by patient or episode of care and there was some form of centralized randomization scheme an</w:t>
      </w:r>
      <w:r>
        <w:rPr>
          <w:rFonts w:eastAsia="Times New Roman" w:cs="Calibri"/>
          <w:lang w:val="en-US"/>
        </w:rPr>
        <w:t>d allocation concealment was not reported.</w:t>
      </w:r>
    </w:p>
    <w:p w14:paraId="324A88CB" w14:textId="77777777" w:rsidR="005B742D" w:rsidRPr="006165D5" w:rsidRDefault="005B742D" w:rsidP="005B742D">
      <w:pPr>
        <w:pStyle w:val="NoSpacing"/>
        <w:numPr>
          <w:ilvl w:val="0"/>
          <w:numId w:val="4"/>
        </w:numPr>
        <w:spacing w:line="276" w:lineRule="auto"/>
        <w:jc w:val="both"/>
        <w:rPr>
          <w:rFonts w:cs="Calibri"/>
        </w:rPr>
      </w:pPr>
      <w:r w:rsidRPr="00505689">
        <w:rPr>
          <w:rFonts w:eastAsia="Times New Roman" w:cs="Calibri"/>
          <w:lang w:val="en-US"/>
        </w:rPr>
        <w:t>the unit of allocation was by institution, team or professional and</w:t>
      </w:r>
      <w:r>
        <w:rPr>
          <w:rFonts w:eastAsia="Times New Roman" w:cs="Calibri"/>
          <w:lang w:val="en-US"/>
        </w:rPr>
        <w:t xml:space="preserve"> recruitment of study participants and It’s unclear how many participants were recruited after the randomization.</w:t>
      </w:r>
    </w:p>
    <w:p w14:paraId="706EA976" w14:textId="77777777" w:rsidR="005B742D" w:rsidRDefault="005B742D" w:rsidP="005B742D">
      <w:pPr>
        <w:pStyle w:val="NoSpacing"/>
        <w:spacing w:line="276" w:lineRule="auto"/>
        <w:jc w:val="both"/>
        <w:rPr>
          <w:rFonts w:cs="Calibri"/>
        </w:rPr>
      </w:pPr>
    </w:p>
    <w:p w14:paraId="60680C46" w14:textId="77777777" w:rsidR="005B742D" w:rsidRPr="00813280" w:rsidRDefault="005B742D" w:rsidP="005B742D">
      <w:pPr>
        <w:pStyle w:val="NoSpacing"/>
        <w:spacing w:line="276" w:lineRule="auto"/>
        <w:jc w:val="both"/>
        <w:rPr>
          <w:rFonts w:cs="Calibri"/>
          <w:u w:val="single"/>
        </w:rPr>
      </w:pPr>
      <w:r w:rsidRPr="00813280">
        <w:rPr>
          <w:rFonts w:cs="Calibri"/>
          <w:u w:val="single"/>
        </w:rPr>
        <w:t xml:space="preserve">Examples of high risk of bias (“definitely no”): </w:t>
      </w:r>
    </w:p>
    <w:p w14:paraId="12ABD5BD" w14:textId="77777777" w:rsidR="005B742D" w:rsidRPr="0074054D" w:rsidRDefault="005B742D" w:rsidP="005B742D">
      <w:pPr>
        <w:pStyle w:val="NoSpacing"/>
        <w:numPr>
          <w:ilvl w:val="0"/>
          <w:numId w:val="5"/>
        </w:numPr>
        <w:spacing w:line="276" w:lineRule="auto"/>
        <w:jc w:val="both"/>
        <w:rPr>
          <w:rFonts w:cs="Calibri"/>
        </w:rPr>
      </w:pPr>
      <w:r>
        <w:rPr>
          <w:rFonts w:cs="Calibri"/>
        </w:rPr>
        <w:t xml:space="preserve">the </w:t>
      </w:r>
      <w:r w:rsidRPr="00505689">
        <w:rPr>
          <w:rFonts w:eastAsia="Times New Roman" w:cs="Calibri"/>
          <w:lang w:val="en-US"/>
        </w:rPr>
        <w:t>unit of allocation was by patient or episode of care</w:t>
      </w:r>
      <w:r>
        <w:rPr>
          <w:rFonts w:eastAsia="Times New Roman" w:cs="Calibri"/>
          <w:lang w:val="en-US"/>
        </w:rPr>
        <w:t xml:space="preserve"> AND </w:t>
      </w:r>
      <w:r w:rsidRPr="00723734">
        <w:rPr>
          <w:rFonts w:cstheme="minorHAnsi"/>
        </w:rPr>
        <w:t>Using an open random allocation schedule (e.g. a list of random numbers)</w:t>
      </w:r>
      <w:r>
        <w:rPr>
          <w:rFonts w:cstheme="minorHAnsi"/>
        </w:rPr>
        <w:t xml:space="preserve"> OR </w:t>
      </w:r>
      <w:r w:rsidRPr="00723734">
        <w:rPr>
          <w:rFonts w:cstheme="minorHAnsi"/>
        </w:rPr>
        <w:t>Assignment envelopes were used without appropriate safeguards (e.g. if envelopes were unsealed or non-opaque or not sequentially numbered)</w:t>
      </w:r>
      <w:r>
        <w:rPr>
          <w:rFonts w:cstheme="minorHAnsi"/>
        </w:rPr>
        <w:t xml:space="preserve"> OR </w:t>
      </w:r>
      <w:r w:rsidRPr="00723734">
        <w:rPr>
          <w:rFonts w:cstheme="minorHAnsi"/>
        </w:rPr>
        <w:t>Alternation or rotation</w:t>
      </w:r>
      <w:r>
        <w:rPr>
          <w:rFonts w:cstheme="minorHAnsi"/>
        </w:rPr>
        <w:t xml:space="preserve"> OR</w:t>
      </w:r>
      <w:r w:rsidRPr="00723734">
        <w:rPr>
          <w:rFonts w:cstheme="minorHAnsi"/>
        </w:rPr>
        <w:t xml:space="preserve"> Date of birth</w:t>
      </w:r>
      <w:r>
        <w:rPr>
          <w:rFonts w:cstheme="minorHAnsi"/>
        </w:rPr>
        <w:t xml:space="preserve"> OR</w:t>
      </w:r>
      <w:r w:rsidRPr="00723734">
        <w:rPr>
          <w:rFonts w:cstheme="minorHAnsi"/>
        </w:rPr>
        <w:t xml:space="preserve"> Case record number</w:t>
      </w:r>
      <w:r>
        <w:rPr>
          <w:rFonts w:cstheme="minorHAnsi"/>
        </w:rPr>
        <w:t xml:space="preserve"> OR</w:t>
      </w:r>
      <w:r w:rsidRPr="00723734">
        <w:rPr>
          <w:rFonts w:cstheme="minorHAnsi"/>
        </w:rPr>
        <w:t xml:space="preserve"> Any other explicitly unconcealed procedure.</w:t>
      </w:r>
    </w:p>
    <w:p w14:paraId="6533743F" w14:textId="77777777" w:rsidR="005B742D" w:rsidRDefault="005B742D" w:rsidP="005B742D">
      <w:pPr>
        <w:pStyle w:val="NoSpacing"/>
        <w:numPr>
          <w:ilvl w:val="0"/>
          <w:numId w:val="5"/>
        </w:numPr>
        <w:spacing w:line="276" w:lineRule="auto"/>
        <w:jc w:val="both"/>
        <w:rPr>
          <w:rFonts w:cs="Calibri"/>
        </w:rPr>
      </w:pPr>
      <w:r>
        <w:rPr>
          <w:rFonts w:eastAsia="Times New Roman" w:cs="Calibri"/>
          <w:lang w:val="en-US"/>
        </w:rPr>
        <w:t xml:space="preserve">i) </w:t>
      </w:r>
      <w:r w:rsidRPr="00505689">
        <w:rPr>
          <w:rFonts w:eastAsia="Times New Roman" w:cs="Calibri"/>
          <w:lang w:val="en-US"/>
        </w:rPr>
        <w:t xml:space="preserve">the unit of allocation was by institution, team or professional </w:t>
      </w:r>
      <w:r>
        <w:rPr>
          <w:rFonts w:eastAsia="Times New Roman" w:cs="Calibri"/>
          <w:lang w:val="en-US"/>
        </w:rPr>
        <w:t xml:space="preserve">AND ii) </w:t>
      </w:r>
      <w:r w:rsidRPr="00505689">
        <w:rPr>
          <w:rFonts w:eastAsia="Times New Roman" w:cs="Calibri"/>
          <w:lang w:val="en-US"/>
        </w:rPr>
        <w:t xml:space="preserve">allocation was </w:t>
      </w:r>
      <w:r>
        <w:rPr>
          <w:rFonts w:eastAsia="Times New Roman" w:cs="Calibri"/>
          <w:lang w:val="en-US"/>
        </w:rPr>
        <w:t xml:space="preserve">not </w:t>
      </w:r>
      <w:r w:rsidRPr="00505689">
        <w:rPr>
          <w:rFonts w:eastAsia="Times New Roman" w:cs="Calibri"/>
          <w:lang w:val="en-US"/>
        </w:rPr>
        <w:t xml:space="preserve">performed </w:t>
      </w:r>
      <w:r>
        <w:rPr>
          <w:rFonts w:eastAsia="Times New Roman" w:cs="Calibri"/>
          <w:lang w:val="en-US"/>
        </w:rPr>
        <w:t xml:space="preserve">for all </w:t>
      </w:r>
      <w:r w:rsidRPr="00505689">
        <w:rPr>
          <w:rFonts w:eastAsia="Times New Roman" w:cs="Calibri"/>
          <w:lang w:val="en-US"/>
        </w:rPr>
        <w:t>at the start of the study</w:t>
      </w:r>
      <w:r>
        <w:rPr>
          <w:rFonts w:eastAsia="Times New Roman" w:cs="Calibri"/>
          <w:lang w:val="en-US"/>
        </w:rPr>
        <w:t xml:space="preserve"> (over 10%</w:t>
      </w:r>
      <w:r w:rsidRPr="00620489">
        <w:rPr>
          <w:rFonts w:eastAsia="Times New Roman" w:cs="Calibri"/>
          <w:lang w:val="en-US"/>
        </w:rPr>
        <w:t xml:space="preserve"> recruitment</w:t>
      </w:r>
      <w:r>
        <w:rPr>
          <w:rFonts w:eastAsia="Times New Roman" w:cs="Calibri"/>
          <w:lang w:val="en-US"/>
        </w:rPr>
        <w:t xml:space="preserve"> of study participants</w:t>
      </w:r>
      <w:r w:rsidRPr="00620489">
        <w:rPr>
          <w:rFonts w:eastAsia="Times New Roman" w:cs="Calibri"/>
          <w:lang w:val="en-US"/>
        </w:rPr>
        <w:t xml:space="preserve"> after the randomization)</w:t>
      </w:r>
      <w:r>
        <w:rPr>
          <w:rFonts w:eastAsia="Times New Roman" w:cs="Calibri"/>
          <w:lang w:val="en-US"/>
        </w:rPr>
        <w:t xml:space="preserve"> </w:t>
      </w:r>
    </w:p>
    <w:p w14:paraId="01FF84C2" w14:textId="77777777" w:rsidR="005B742D" w:rsidRPr="00E558F1" w:rsidRDefault="005B742D" w:rsidP="005B742D">
      <w:pPr>
        <w:pStyle w:val="NoSpacing"/>
        <w:spacing w:line="276" w:lineRule="auto"/>
        <w:ind w:left="720"/>
        <w:jc w:val="both"/>
        <w:rPr>
          <w:rFonts w:cs="Calibri"/>
        </w:rPr>
      </w:pPr>
      <w:r w:rsidRPr="00E558F1">
        <w:rPr>
          <w:rFonts w:cs="Calibri"/>
          <w:noProof/>
          <w:lang w:val="en-US"/>
        </w:rPr>
        <w:lastRenderedPageBreak/>
        <w:drawing>
          <wp:inline distT="0" distB="0" distL="0" distR="0" wp14:anchorId="4AC8FA01" wp14:editId="1B2BC6F7">
            <wp:extent cx="5991497" cy="336994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10082" cy="3380398"/>
                    </a:xfrm>
                    <a:prstGeom prst="rect">
                      <a:avLst/>
                    </a:prstGeom>
                  </pic:spPr>
                </pic:pic>
              </a:graphicData>
            </a:graphic>
          </wp:inline>
        </w:drawing>
      </w:r>
      <w:r w:rsidRPr="00E558F1">
        <w:rPr>
          <w:noProof/>
        </w:rPr>
        <w:t xml:space="preserve"> </w:t>
      </w:r>
    </w:p>
    <w:p w14:paraId="4294C138" w14:textId="77777777" w:rsidR="005B742D" w:rsidRPr="00505689" w:rsidRDefault="005B742D" w:rsidP="005B742D">
      <w:pPr>
        <w:pStyle w:val="NoSpacing"/>
        <w:spacing w:line="276" w:lineRule="auto"/>
        <w:jc w:val="both"/>
        <w:rPr>
          <w:rFonts w:cs="Calibri"/>
        </w:rPr>
      </w:pPr>
    </w:p>
    <w:p w14:paraId="5FC56AC5" w14:textId="77777777" w:rsidR="005B742D" w:rsidRDefault="005B742D" w:rsidP="005B742D">
      <w:pPr>
        <w:pStyle w:val="NoSpacing"/>
        <w:spacing w:line="276" w:lineRule="auto"/>
        <w:jc w:val="both"/>
        <w:rPr>
          <w:rFonts w:asciiTheme="minorHAnsi" w:eastAsiaTheme="minorHAnsi" w:hAnsiTheme="minorHAnsi" w:cstheme="minorBidi"/>
          <w:sz w:val="24"/>
          <w:szCs w:val="24"/>
          <w:lang w:val="en-US"/>
        </w:rPr>
      </w:pPr>
    </w:p>
    <w:p w14:paraId="339DE7DA" w14:textId="77777777" w:rsidR="005B742D" w:rsidRPr="00DE6164" w:rsidRDefault="005B742D" w:rsidP="005B742D">
      <w:pPr>
        <w:pStyle w:val="NoSpacing"/>
        <w:numPr>
          <w:ilvl w:val="0"/>
          <w:numId w:val="7"/>
        </w:numPr>
        <w:spacing w:line="276" w:lineRule="auto"/>
        <w:jc w:val="both"/>
      </w:pPr>
      <w:r w:rsidRPr="00DE6164">
        <w:rPr>
          <w:b/>
          <w:bCs/>
        </w:rPr>
        <w:t>Blinding. Was knowledge of the allocated interventions adequately prevented?</w:t>
      </w:r>
      <w:r>
        <w:rPr>
          <w:b/>
          <w:bCs/>
        </w:rPr>
        <w:t xml:space="preserve"> </w:t>
      </w:r>
    </w:p>
    <w:p w14:paraId="4BD45955" w14:textId="77777777" w:rsidR="005B742D" w:rsidRPr="00DE6164" w:rsidRDefault="005B742D" w:rsidP="005B742D">
      <w:pPr>
        <w:pStyle w:val="NoSpacing"/>
        <w:spacing w:line="276" w:lineRule="auto"/>
        <w:ind w:left="360"/>
        <w:jc w:val="both"/>
      </w:pPr>
    </w:p>
    <w:p w14:paraId="2C73E221" w14:textId="77777777" w:rsidR="005B742D" w:rsidRPr="00DE6164" w:rsidRDefault="005B742D" w:rsidP="005B742D">
      <w:pPr>
        <w:pStyle w:val="NoSpacing"/>
        <w:numPr>
          <w:ilvl w:val="1"/>
          <w:numId w:val="7"/>
        </w:numPr>
        <w:spacing w:line="276" w:lineRule="auto"/>
        <w:jc w:val="both"/>
        <w:rPr>
          <w:b/>
          <w:bCs/>
        </w:rPr>
      </w:pPr>
      <w:r w:rsidRPr="00DE6164">
        <w:rPr>
          <w:b/>
          <w:bCs/>
        </w:rPr>
        <w:t>Were data collectors</w:t>
      </w:r>
      <w:r>
        <w:rPr>
          <w:b/>
          <w:bCs/>
        </w:rPr>
        <w:t>/outcome assessors</w:t>
      </w:r>
      <w:r w:rsidRPr="00DE6164">
        <w:rPr>
          <w:b/>
          <w:bCs/>
        </w:rPr>
        <w:t xml:space="preserve"> blinded?</w:t>
      </w:r>
    </w:p>
    <w:p w14:paraId="74B6D411" w14:textId="77777777" w:rsidR="005B742D" w:rsidRPr="00DE6164" w:rsidRDefault="005B742D" w:rsidP="005B742D">
      <w:pPr>
        <w:pStyle w:val="NoSpacing"/>
        <w:spacing w:line="276" w:lineRule="auto"/>
        <w:jc w:val="both"/>
      </w:pPr>
    </w:p>
    <w:p w14:paraId="24F28657" w14:textId="77777777" w:rsidR="005B742D" w:rsidRPr="00DE6164" w:rsidRDefault="005B742D" w:rsidP="005B742D">
      <w:pPr>
        <w:pStyle w:val="NoSpacing"/>
        <w:spacing w:line="276" w:lineRule="auto"/>
        <w:jc w:val="center"/>
      </w:pPr>
      <w:r w:rsidRPr="00DE6164">
        <w:t>Definitely yes</w:t>
      </w:r>
      <w:r w:rsidRPr="00DE6164">
        <w:tab/>
      </w:r>
      <w:r w:rsidRPr="00DE6164">
        <w:tab/>
        <w:t>Probably yes</w:t>
      </w:r>
      <w:r w:rsidRPr="00DE6164">
        <w:tab/>
      </w:r>
      <w:r w:rsidRPr="00DE6164">
        <w:tab/>
        <w:t>Probably no</w:t>
      </w:r>
      <w:r w:rsidRPr="00DE6164">
        <w:tab/>
      </w:r>
      <w:r w:rsidRPr="00DE6164">
        <w:tab/>
        <w:t>Definitely no</w:t>
      </w:r>
    </w:p>
    <w:p w14:paraId="07187C52" w14:textId="77777777" w:rsidR="005B742D" w:rsidRPr="00DE6164" w:rsidRDefault="005B742D" w:rsidP="005B742D">
      <w:pPr>
        <w:pStyle w:val="NoSpacing"/>
        <w:spacing w:line="276" w:lineRule="auto"/>
        <w:jc w:val="center"/>
      </w:pPr>
      <w:r w:rsidRPr="00DE6164">
        <w:t>(low risk of bias)</w:t>
      </w:r>
      <w:r w:rsidRPr="00DE6164">
        <w:tab/>
      </w:r>
      <w:r w:rsidRPr="00DE6164">
        <w:tab/>
      </w:r>
      <w:r w:rsidRPr="00DE6164">
        <w:tab/>
      </w:r>
      <w:r w:rsidRPr="00DE6164">
        <w:tab/>
      </w:r>
      <w:r w:rsidRPr="00DE6164">
        <w:tab/>
      </w:r>
      <w:r w:rsidRPr="00DE6164">
        <w:tab/>
      </w:r>
      <w:r w:rsidRPr="00DE6164">
        <w:tab/>
        <w:t>(high risk of bias)</w:t>
      </w:r>
    </w:p>
    <w:p w14:paraId="5165F88E" w14:textId="77777777" w:rsidR="005B742D" w:rsidRPr="00DE6164" w:rsidRDefault="005B742D" w:rsidP="005B742D">
      <w:pPr>
        <w:pStyle w:val="NoSpacing"/>
        <w:spacing w:line="276" w:lineRule="auto"/>
        <w:jc w:val="both"/>
      </w:pPr>
    </w:p>
    <w:p w14:paraId="4FFD4437" w14:textId="77777777" w:rsidR="005B742D" w:rsidRDefault="005B742D" w:rsidP="005B742D">
      <w:pPr>
        <w:pStyle w:val="NoSpacing"/>
        <w:spacing w:line="276" w:lineRule="auto"/>
        <w:jc w:val="both"/>
        <w:rPr>
          <w:u w:val="single"/>
        </w:rPr>
      </w:pPr>
    </w:p>
    <w:p w14:paraId="422EC9A6" w14:textId="77777777" w:rsidR="005B742D" w:rsidRDefault="005B742D" w:rsidP="005B742D">
      <w:pPr>
        <w:pStyle w:val="NoSpacing"/>
        <w:spacing w:line="276" w:lineRule="auto"/>
        <w:jc w:val="both"/>
      </w:pPr>
      <w:r w:rsidRPr="00813280">
        <w:rPr>
          <w:u w:val="single"/>
        </w:rPr>
        <w:t>Low risk of bias (“definitely yes”):</w:t>
      </w:r>
      <w:r>
        <w:t xml:space="preserve"> </w:t>
      </w:r>
    </w:p>
    <w:p w14:paraId="17FAACB7" w14:textId="77777777" w:rsidR="005B742D" w:rsidRDefault="005B742D" w:rsidP="005B742D">
      <w:pPr>
        <w:pStyle w:val="NoSpacing"/>
        <w:spacing w:line="276" w:lineRule="auto"/>
        <w:jc w:val="both"/>
      </w:pPr>
      <w:r>
        <w:t>Data were collected from medical records or other database and blinding of data collectors was reported.</w:t>
      </w:r>
    </w:p>
    <w:p w14:paraId="06C09FEE" w14:textId="77777777" w:rsidR="005B742D" w:rsidRDefault="005B742D" w:rsidP="005B742D">
      <w:pPr>
        <w:pStyle w:val="NoSpacing"/>
        <w:spacing w:line="276" w:lineRule="auto"/>
        <w:jc w:val="both"/>
      </w:pPr>
      <w:r>
        <w:t>In other situations, if data collectors did not know to which group study participants belong.</w:t>
      </w:r>
    </w:p>
    <w:p w14:paraId="26C430D3" w14:textId="77777777" w:rsidR="005B742D" w:rsidRDefault="005B742D" w:rsidP="005B742D">
      <w:pPr>
        <w:pStyle w:val="NoSpacing"/>
        <w:spacing w:line="276" w:lineRule="auto"/>
        <w:jc w:val="both"/>
      </w:pPr>
      <w:r w:rsidRPr="00813280">
        <w:rPr>
          <w:u w:val="single"/>
        </w:rPr>
        <w:t>Low risk of bias (“probably yes”):</w:t>
      </w:r>
      <w:r>
        <w:t xml:space="preserve"> </w:t>
      </w:r>
    </w:p>
    <w:p w14:paraId="4F91CD71" w14:textId="77777777" w:rsidR="005B742D" w:rsidRDefault="005B742D" w:rsidP="005B742D">
      <w:pPr>
        <w:pStyle w:val="NoSpacing"/>
        <w:spacing w:line="276" w:lineRule="auto"/>
        <w:jc w:val="both"/>
      </w:pPr>
      <w:r>
        <w:t>Data were collected from medical records or other database and blinding of data collectors was not reported.</w:t>
      </w:r>
    </w:p>
    <w:p w14:paraId="27834A22" w14:textId="77777777" w:rsidR="005B742D" w:rsidRPr="00813280" w:rsidRDefault="005B742D" w:rsidP="005B742D">
      <w:pPr>
        <w:pStyle w:val="NoSpacing"/>
        <w:spacing w:line="276" w:lineRule="auto"/>
        <w:jc w:val="both"/>
        <w:rPr>
          <w:u w:val="single"/>
        </w:rPr>
      </w:pPr>
      <w:r w:rsidRPr="00813280">
        <w:rPr>
          <w:u w:val="single"/>
        </w:rPr>
        <w:t xml:space="preserve">High risk of bias (“probably </w:t>
      </w:r>
      <w:r>
        <w:rPr>
          <w:u w:val="single"/>
        </w:rPr>
        <w:t>no</w:t>
      </w:r>
      <w:r w:rsidRPr="00813280">
        <w:rPr>
          <w:u w:val="single"/>
        </w:rPr>
        <w:t xml:space="preserve">”): </w:t>
      </w:r>
    </w:p>
    <w:p w14:paraId="72BFCB45" w14:textId="77777777" w:rsidR="005B742D" w:rsidRDefault="005B742D" w:rsidP="005B742D">
      <w:pPr>
        <w:pStyle w:val="NoSpacing"/>
        <w:spacing w:line="276" w:lineRule="auto"/>
        <w:jc w:val="both"/>
      </w:pPr>
      <w:r>
        <w:t>In trials where data were not collected from medical records or other database, if blinding was not reported.</w:t>
      </w:r>
    </w:p>
    <w:p w14:paraId="42E61CDD" w14:textId="77777777" w:rsidR="005B742D" w:rsidRDefault="005B742D" w:rsidP="005B742D">
      <w:pPr>
        <w:pStyle w:val="NoSpacing"/>
        <w:spacing w:line="276" w:lineRule="auto"/>
        <w:jc w:val="both"/>
      </w:pPr>
      <w:r w:rsidRPr="00813280">
        <w:rPr>
          <w:u w:val="single"/>
        </w:rPr>
        <w:t xml:space="preserve">High risk of bias (“definitely </w:t>
      </w:r>
      <w:r>
        <w:rPr>
          <w:u w:val="single"/>
        </w:rPr>
        <w:t>no</w:t>
      </w:r>
      <w:r w:rsidRPr="00813280">
        <w:rPr>
          <w:u w:val="single"/>
        </w:rPr>
        <w:t>”):</w:t>
      </w:r>
      <w:r>
        <w:t xml:space="preserve"> </w:t>
      </w:r>
    </w:p>
    <w:p w14:paraId="10EE1B70" w14:textId="77777777" w:rsidR="005B742D" w:rsidRDefault="005B742D" w:rsidP="005B742D">
      <w:pPr>
        <w:pStyle w:val="NoSpacing"/>
        <w:spacing w:line="276" w:lineRule="auto"/>
        <w:jc w:val="both"/>
      </w:pPr>
      <w:r>
        <w:t>Data were collected from medical records or other database and it was somehow stated that data collectors were not blinded or non-blinding is obvious other way.</w:t>
      </w:r>
    </w:p>
    <w:p w14:paraId="199F404D" w14:textId="77777777" w:rsidR="005B742D" w:rsidRDefault="005B742D" w:rsidP="005B742D">
      <w:pPr>
        <w:pStyle w:val="NoSpacing"/>
        <w:spacing w:line="276" w:lineRule="auto"/>
        <w:jc w:val="both"/>
      </w:pPr>
      <w:r>
        <w:t>In other situations, if non-blinding was reported.</w:t>
      </w:r>
    </w:p>
    <w:p w14:paraId="0D728EAF" w14:textId="77777777" w:rsidR="005B742D" w:rsidRDefault="005B742D" w:rsidP="005B742D">
      <w:pPr>
        <w:pStyle w:val="NoSpacing"/>
        <w:spacing w:line="276" w:lineRule="auto"/>
        <w:jc w:val="both"/>
      </w:pPr>
    </w:p>
    <w:p w14:paraId="7ED898B3" w14:textId="77777777" w:rsidR="005B742D" w:rsidRDefault="005B742D" w:rsidP="005B742D">
      <w:pPr>
        <w:pStyle w:val="NoSpacing"/>
        <w:spacing w:line="276" w:lineRule="auto"/>
        <w:jc w:val="both"/>
      </w:pPr>
      <w:r w:rsidRPr="00D84DA1">
        <w:t>If there were several ways of collecting the data, assess the way that primary outcome(s) was collected. If there was no reported primary outcome(s), primarily assess regarding the outcome of prevalence of low-</w:t>
      </w:r>
      <w:r w:rsidRPr="00D84DA1">
        <w:lastRenderedPageBreak/>
        <w:t>value care/total volume of care w</w:t>
      </w:r>
      <w:r>
        <w:t>as</w:t>
      </w:r>
      <w:r w:rsidRPr="00D84DA1">
        <w:t xml:space="preserve"> collected and secondarily assess regarding the outcome of intention/perception to reduce low-value care.</w:t>
      </w:r>
    </w:p>
    <w:p w14:paraId="56671605" w14:textId="77777777" w:rsidR="005B742D" w:rsidRPr="00DE6164" w:rsidRDefault="005B742D" w:rsidP="005B742D">
      <w:pPr>
        <w:pStyle w:val="NoSpacing"/>
        <w:spacing w:line="276" w:lineRule="auto"/>
        <w:jc w:val="both"/>
      </w:pPr>
    </w:p>
    <w:p w14:paraId="4BC4958F" w14:textId="77777777" w:rsidR="005B742D" w:rsidRPr="00DE6164" w:rsidRDefault="005B742D" w:rsidP="005B742D">
      <w:pPr>
        <w:pStyle w:val="NoSpacing"/>
        <w:numPr>
          <w:ilvl w:val="1"/>
          <w:numId w:val="7"/>
        </w:numPr>
        <w:spacing w:line="276" w:lineRule="auto"/>
        <w:jc w:val="both"/>
        <w:rPr>
          <w:b/>
          <w:bCs/>
        </w:rPr>
      </w:pPr>
      <w:r w:rsidRPr="00DE6164">
        <w:rPr>
          <w:b/>
          <w:bCs/>
        </w:rPr>
        <w:t>Were data analysts blinded?</w:t>
      </w:r>
    </w:p>
    <w:p w14:paraId="4FAA5D53" w14:textId="77777777" w:rsidR="005B742D" w:rsidRPr="00DE6164" w:rsidRDefault="005B742D" w:rsidP="005B742D">
      <w:pPr>
        <w:pStyle w:val="NoSpacing"/>
        <w:spacing w:line="276" w:lineRule="auto"/>
        <w:jc w:val="both"/>
      </w:pPr>
    </w:p>
    <w:p w14:paraId="55CB12D7" w14:textId="77777777" w:rsidR="005B742D" w:rsidRPr="00DE6164" w:rsidRDefault="005B742D" w:rsidP="005B742D">
      <w:pPr>
        <w:pStyle w:val="NoSpacing"/>
        <w:spacing w:line="276" w:lineRule="auto"/>
        <w:jc w:val="center"/>
      </w:pPr>
      <w:r w:rsidRPr="00DE6164">
        <w:t>Definitely yes</w:t>
      </w:r>
      <w:r w:rsidRPr="00DE6164">
        <w:tab/>
      </w:r>
      <w:r w:rsidRPr="00DE6164">
        <w:tab/>
        <w:t>Probably yes</w:t>
      </w:r>
      <w:r w:rsidRPr="00DE6164">
        <w:tab/>
      </w:r>
      <w:r w:rsidRPr="00DE6164">
        <w:tab/>
        <w:t>Probably no</w:t>
      </w:r>
      <w:r w:rsidRPr="00DE6164">
        <w:tab/>
      </w:r>
      <w:r w:rsidRPr="00DE6164">
        <w:tab/>
        <w:t>Definitely no</w:t>
      </w:r>
    </w:p>
    <w:p w14:paraId="6A9EAC34" w14:textId="77777777" w:rsidR="005B742D" w:rsidRPr="00DE6164" w:rsidRDefault="005B742D" w:rsidP="005B742D">
      <w:pPr>
        <w:pStyle w:val="NoSpacing"/>
        <w:spacing w:line="276" w:lineRule="auto"/>
        <w:jc w:val="center"/>
      </w:pPr>
      <w:r w:rsidRPr="00DE6164">
        <w:t>(low risk of bias)</w:t>
      </w:r>
      <w:r w:rsidRPr="00DE6164">
        <w:tab/>
      </w:r>
      <w:r w:rsidRPr="00DE6164">
        <w:tab/>
      </w:r>
      <w:r w:rsidRPr="00DE6164">
        <w:tab/>
      </w:r>
      <w:r w:rsidRPr="00DE6164">
        <w:tab/>
      </w:r>
      <w:r w:rsidRPr="00DE6164">
        <w:tab/>
      </w:r>
      <w:r w:rsidRPr="00DE6164">
        <w:tab/>
      </w:r>
      <w:r w:rsidRPr="00DE6164">
        <w:tab/>
        <w:t>(high risk of bias)</w:t>
      </w:r>
    </w:p>
    <w:p w14:paraId="64412885" w14:textId="77777777" w:rsidR="005B742D" w:rsidRPr="00DE6164" w:rsidRDefault="005B742D" w:rsidP="005B742D">
      <w:pPr>
        <w:pStyle w:val="NoSpacing"/>
        <w:spacing w:line="276" w:lineRule="auto"/>
        <w:jc w:val="both"/>
      </w:pPr>
    </w:p>
    <w:p w14:paraId="32BC6A28" w14:textId="77777777" w:rsidR="005B742D" w:rsidRDefault="005B742D" w:rsidP="00EB674C">
      <w:pPr>
        <w:pStyle w:val="NoSpacing"/>
        <w:spacing w:line="276" w:lineRule="auto"/>
        <w:jc w:val="both"/>
        <w:outlineLvl w:val="0"/>
      </w:pPr>
      <w:r w:rsidRPr="00DE6164">
        <w:t>Answer “Probably no” unless there is some specific indication implying that data analysts were blinded.</w:t>
      </w:r>
    </w:p>
    <w:p w14:paraId="01415355" w14:textId="77777777" w:rsidR="005B742D" w:rsidRDefault="005B742D" w:rsidP="005B742D">
      <w:pPr>
        <w:pStyle w:val="NoSpacing"/>
        <w:spacing w:line="276" w:lineRule="auto"/>
        <w:jc w:val="both"/>
      </w:pPr>
    </w:p>
    <w:p w14:paraId="42268C57" w14:textId="77777777" w:rsidR="005B742D" w:rsidRPr="00DE6164" w:rsidRDefault="005B742D" w:rsidP="005B742D">
      <w:pPr>
        <w:pStyle w:val="NoSpacing"/>
        <w:spacing w:line="276" w:lineRule="auto"/>
        <w:jc w:val="both"/>
      </w:pPr>
    </w:p>
    <w:p w14:paraId="5BE2C2BE" w14:textId="77777777" w:rsidR="005B742D" w:rsidRPr="00F92ED4" w:rsidRDefault="005B742D" w:rsidP="005B742D">
      <w:pPr>
        <w:pStyle w:val="NoSpacing"/>
        <w:numPr>
          <w:ilvl w:val="0"/>
          <w:numId w:val="7"/>
        </w:numPr>
        <w:spacing w:line="276" w:lineRule="auto"/>
        <w:jc w:val="both"/>
        <w:rPr>
          <w:b/>
          <w:bCs/>
        </w:rPr>
      </w:pPr>
      <w:r w:rsidRPr="00F92ED4">
        <w:rPr>
          <w:b/>
          <w:bCs/>
        </w:rPr>
        <w:t>Missing data (by primary outcome):</w:t>
      </w:r>
    </w:p>
    <w:p w14:paraId="2555CFDD" w14:textId="77777777" w:rsidR="005B742D" w:rsidRDefault="005B742D" w:rsidP="005B742D">
      <w:pPr>
        <w:pStyle w:val="NoSpacing"/>
        <w:spacing w:line="276" w:lineRule="auto"/>
        <w:jc w:val="both"/>
        <w:rPr>
          <w:b/>
          <w:bCs/>
        </w:rPr>
      </w:pPr>
    </w:p>
    <w:p w14:paraId="681406C8" w14:textId="77777777" w:rsidR="005B742D" w:rsidRPr="00897990" w:rsidRDefault="005B742D" w:rsidP="005B742D">
      <w:pPr>
        <w:pStyle w:val="NoSpacing"/>
        <w:spacing w:line="276" w:lineRule="auto"/>
        <w:jc w:val="center"/>
        <w:rPr>
          <w:sz w:val="24"/>
          <w:szCs w:val="24"/>
        </w:rPr>
      </w:pPr>
      <w:r w:rsidRPr="00897990">
        <w:rPr>
          <w:sz w:val="24"/>
          <w:szCs w:val="24"/>
        </w:rPr>
        <w:t>Definitely yes</w:t>
      </w:r>
      <w:r w:rsidRPr="00897990">
        <w:rPr>
          <w:sz w:val="24"/>
          <w:szCs w:val="24"/>
        </w:rPr>
        <w:tab/>
      </w:r>
      <w:r w:rsidRPr="00897990">
        <w:rPr>
          <w:sz w:val="24"/>
          <w:szCs w:val="24"/>
        </w:rPr>
        <w:tab/>
        <w:t>Probably yes</w:t>
      </w:r>
      <w:r w:rsidRPr="00897990">
        <w:rPr>
          <w:sz w:val="24"/>
          <w:szCs w:val="24"/>
        </w:rPr>
        <w:tab/>
      </w:r>
      <w:r w:rsidRPr="00897990">
        <w:rPr>
          <w:sz w:val="24"/>
          <w:szCs w:val="24"/>
        </w:rPr>
        <w:tab/>
        <w:t>Probably no</w:t>
      </w:r>
      <w:r w:rsidRPr="00897990">
        <w:rPr>
          <w:sz w:val="24"/>
          <w:szCs w:val="24"/>
        </w:rPr>
        <w:tab/>
      </w:r>
      <w:r w:rsidRPr="00897990">
        <w:rPr>
          <w:sz w:val="24"/>
          <w:szCs w:val="24"/>
        </w:rPr>
        <w:tab/>
        <w:t>Definitely no</w:t>
      </w:r>
    </w:p>
    <w:p w14:paraId="63551B05" w14:textId="77777777" w:rsidR="005B742D" w:rsidRPr="00897990" w:rsidRDefault="005B742D" w:rsidP="005B742D">
      <w:pPr>
        <w:pStyle w:val="NoSpacing"/>
        <w:spacing w:line="276" w:lineRule="auto"/>
        <w:jc w:val="center"/>
        <w:rPr>
          <w:sz w:val="24"/>
          <w:szCs w:val="24"/>
        </w:rPr>
      </w:pPr>
      <w:r w:rsidRPr="00897990">
        <w:rPr>
          <w:sz w:val="24"/>
          <w:szCs w:val="24"/>
        </w:rPr>
        <w:t>(high risk of bias)</w:t>
      </w:r>
      <w:r w:rsidRPr="00897990">
        <w:rPr>
          <w:sz w:val="24"/>
          <w:szCs w:val="24"/>
        </w:rPr>
        <w:tab/>
      </w:r>
      <w:r w:rsidRPr="00897990">
        <w:rPr>
          <w:sz w:val="24"/>
          <w:szCs w:val="24"/>
        </w:rPr>
        <w:tab/>
      </w:r>
      <w:r w:rsidRPr="00897990">
        <w:rPr>
          <w:sz w:val="24"/>
          <w:szCs w:val="24"/>
        </w:rPr>
        <w:tab/>
      </w:r>
      <w:r w:rsidRPr="00897990">
        <w:rPr>
          <w:sz w:val="24"/>
          <w:szCs w:val="24"/>
        </w:rPr>
        <w:tab/>
      </w:r>
      <w:r w:rsidRPr="00897990">
        <w:rPr>
          <w:sz w:val="24"/>
          <w:szCs w:val="24"/>
        </w:rPr>
        <w:tab/>
      </w:r>
      <w:r w:rsidRPr="00897990">
        <w:rPr>
          <w:sz w:val="24"/>
          <w:szCs w:val="24"/>
        </w:rPr>
        <w:tab/>
      </w:r>
      <w:r w:rsidRPr="00897990">
        <w:rPr>
          <w:sz w:val="24"/>
          <w:szCs w:val="24"/>
        </w:rPr>
        <w:tab/>
        <w:t>(low risk of bias)</w:t>
      </w:r>
    </w:p>
    <w:p w14:paraId="52FA6C07" w14:textId="77777777" w:rsidR="005B742D" w:rsidRPr="00897990" w:rsidRDefault="005B742D" w:rsidP="005B742D">
      <w:pPr>
        <w:rPr>
          <w:lang w:val="en-CA"/>
        </w:rPr>
      </w:pPr>
    </w:p>
    <w:p w14:paraId="6C0F20E2" w14:textId="77777777" w:rsidR="005B742D" w:rsidRPr="00897990" w:rsidRDefault="005B742D" w:rsidP="005B742D">
      <w:pPr>
        <w:rPr>
          <w:lang w:val="en-CA"/>
        </w:rPr>
      </w:pPr>
    </w:p>
    <w:p w14:paraId="1B6D5DDD" w14:textId="77777777" w:rsidR="005B742D" w:rsidRPr="00897990" w:rsidRDefault="005B742D" w:rsidP="005B742D">
      <w:pPr>
        <w:pStyle w:val="NoSpacing"/>
        <w:spacing w:line="276" w:lineRule="auto"/>
        <w:jc w:val="both"/>
        <w:rPr>
          <w:sz w:val="24"/>
          <w:szCs w:val="24"/>
        </w:rPr>
      </w:pPr>
      <w:r w:rsidRPr="00897990">
        <w:rPr>
          <w:sz w:val="24"/>
          <w:szCs w:val="24"/>
        </w:rPr>
        <w:t>Thresholds for risk of bias judgements. Respond:</w:t>
      </w:r>
    </w:p>
    <w:p w14:paraId="4DB6A028" w14:textId="77777777" w:rsidR="005B742D" w:rsidRPr="00897990" w:rsidRDefault="005B742D" w:rsidP="005B742D">
      <w:pPr>
        <w:rPr>
          <w:u w:val="single"/>
          <w:lang w:val="en-CA"/>
        </w:rPr>
      </w:pPr>
      <w:r w:rsidRPr="00897990">
        <w:rPr>
          <w:u w:val="single"/>
          <w:lang w:val="en-CA"/>
        </w:rPr>
        <w:t>“Definitely no”:</w:t>
      </w:r>
    </w:p>
    <w:p w14:paraId="722AF333" w14:textId="77777777" w:rsidR="005B742D" w:rsidRPr="00897990" w:rsidRDefault="005B742D" w:rsidP="005B742D">
      <w:pPr>
        <w:ind w:left="720"/>
        <w:rPr>
          <w:lang w:val="en-US"/>
        </w:rPr>
      </w:pPr>
      <w:r w:rsidRPr="00897990">
        <w:rPr>
          <w:lang w:val="en-US"/>
        </w:rPr>
        <w:t>Less than 5% of the primary outcome data is missing (low risk of bias)</w:t>
      </w:r>
    </w:p>
    <w:p w14:paraId="74C0CF1B" w14:textId="77777777" w:rsidR="005B742D" w:rsidRPr="00897990" w:rsidRDefault="005B742D" w:rsidP="005B742D">
      <w:pPr>
        <w:rPr>
          <w:u w:val="single"/>
          <w:lang w:val="en-CA"/>
        </w:rPr>
      </w:pPr>
    </w:p>
    <w:p w14:paraId="23D62816" w14:textId="77777777" w:rsidR="005B742D" w:rsidRPr="00897990" w:rsidRDefault="005B742D" w:rsidP="005B742D">
      <w:pPr>
        <w:rPr>
          <w:lang w:val="en-CA"/>
        </w:rPr>
      </w:pPr>
      <w:r w:rsidRPr="00897990">
        <w:rPr>
          <w:u w:val="single"/>
          <w:lang w:val="en-CA"/>
        </w:rPr>
        <w:t>“Probably no”:</w:t>
      </w:r>
      <w:r w:rsidRPr="00897990">
        <w:rPr>
          <w:lang w:val="en-CA"/>
        </w:rPr>
        <w:t xml:space="preserve"> </w:t>
      </w:r>
    </w:p>
    <w:p w14:paraId="69CC8F68" w14:textId="77777777" w:rsidR="005B742D" w:rsidRPr="00897990" w:rsidRDefault="005B742D" w:rsidP="005B742D">
      <w:pPr>
        <w:pStyle w:val="ListParagraph"/>
        <w:rPr>
          <w:lang w:val="en-CA"/>
        </w:rPr>
      </w:pPr>
      <w:r w:rsidRPr="00897990">
        <w:rPr>
          <w:lang w:val="en-CA"/>
        </w:rPr>
        <w:t>At least 5% but less than 10% of the outcome data is missing (low risk of bias)</w:t>
      </w:r>
    </w:p>
    <w:p w14:paraId="67A68A8E" w14:textId="77777777" w:rsidR="005B742D" w:rsidRPr="00897990" w:rsidRDefault="005B742D" w:rsidP="005B742D">
      <w:pPr>
        <w:rPr>
          <w:lang w:val="en-CA"/>
        </w:rPr>
      </w:pPr>
    </w:p>
    <w:p w14:paraId="7B1E5A80" w14:textId="77777777" w:rsidR="005B742D" w:rsidRPr="00897990" w:rsidRDefault="005B742D" w:rsidP="005B742D">
      <w:pPr>
        <w:rPr>
          <w:u w:val="single"/>
          <w:lang w:val="en-CA"/>
        </w:rPr>
      </w:pPr>
      <w:r w:rsidRPr="00897990">
        <w:rPr>
          <w:u w:val="single"/>
          <w:lang w:val="en-CA"/>
        </w:rPr>
        <w:t xml:space="preserve">“Probably yes”: </w:t>
      </w:r>
    </w:p>
    <w:p w14:paraId="5682D670" w14:textId="77777777" w:rsidR="005B742D" w:rsidRPr="00897990" w:rsidRDefault="005B742D" w:rsidP="005B742D">
      <w:pPr>
        <w:pStyle w:val="ListParagraph"/>
        <w:rPr>
          <w:lang w:val="en-CA"/>
        </w:rPr>
      </w:pPr>
      <w:r w:rsidRPr="00897990">
        <w:rPr>
          <w:lang w:val="en-CA"/>
        </w:rPr>
        <w:t>At least 10% but less than 20% of the outcome data is missing (high risk of bias)</w:t>
      </w:r>
    </w:p>
    <w:p w14:paraId="74695CED" w14:textId="77777777" w:rsidR="005B742D" w:rsidRPr="00897990" w:rsidRDefault="005B742D" w:rsidP="005B742D">
      <w:pPr>
        <w:pStyle w:val="ListParagraph"/>
        <w:rPr>
          <w:lang w:val="en-CA"/>
        </w:rPr>
      </w:pPr>
    </w:p>
    <w:p w14:paraId="091EF2ED" w14:textId="77777777" w:rsidR="005B742D" w:rsidRPr="00897990" w:rsidRDefault="005B742D" w:rsidP="005B742D">
      <w:pPr>
        <w:rPr>
          <w:u w:val="single"/>
          <w:lang w:val="en-CA"/>
        </w:rPr>
      </w:pPr>
      <w:r w:rsidRPr="00897990">
        <w:rPr>
          <w:u w:val="single"/>
          <w:lang w:val="en-CA"/>
        </w:rPr>
        <w:t xml:space="preserve">“Definitely yes”: </w:t>
      </w:r>
    </w:p>
    <w:p w14:paraId="035A2746" w14:textId="77777777" w:rsidR="005B742D" w:rsidRPr="00897990" w:rsidRDefault="005B742D" w:rsidP="005B742D">
      <w:pPr>
        <w:ind w:left="720"/>
        <w:rPr>
          <w:lang w:val="en-CA"/>
        </w:rPr>
      </w:pPr>
      <w:r w:rsidRPr="00897990">
        <w:rPr>
          <w:lang w:val="en-CA"/>
        </w:rPr>
        <w:t>At least 20% of the outcome data is missing (high risk of Bias)</w:t>
      </w:r>
    </w:p>
    <w:p w14:paraId="34A14C3F" w14:textId="77777777" w:rsidR="005B742D" w:rsidRPr="00897990" w:rsidRDefault="005B742D" w:rsidP="005B742D">
      <w:pPr>
        <w:rPr>
          <w:lang w:val="en-CA"/>
        </w:rPr>
      </w:pPr>
    </w:p>
    <w:p w14:paraId="2AF6DFFC" w14:textId="77777777" w:rsidR="005B742D" w:rsidRDefault="005B742D" w:rsidP="005B742D">
      <w:pPr>
        <w:pStyle w:val="NoSpacing"/>
        <w:spacing w:line="276" w:lineRule="auto"/>
        <w:jc w:val="both"/>
        <w:rPr>
          <w:sz w:val="24"/>
          <w:szCs w:val="24"/>
        </w:rPr>
      </w:pPr>
      <w:r>
        <w:rPr>
          <w:sz w:val="24"/>
          <w:szCs w:val="24"/>
        </w:rPr>
        <w:t>Preferably use</w:t>
      </w:r>
      <w:r w:rsidRPr="00897990">
        <w:rPr>
          <w:sz w:val="24"/>
          <w:szCs w:val="24"/>
        </w:rPr>
        <w:t xml:space="preserve"> the primary outcome </w:t>
      </w:r>
      <w:r>
        <w:rPr>
          <w:sz w:val="24"/>
          <w:szCs w:val="24"/>
        </w:rPr>
        <w:t>for</w:t>
      </w:r>
      <w:r w:rsidRPr="00897990">
        <w:rPr>
          <w:sz w:val="24"/>
          <w:szCs w:val="24"/>
        </w:rPr>
        <w:t xml:space="preserve"> asses</w:t>
      </w:r>
      <w:r>
        <w:rPr>
          <w:sz w:val="24"/>
          <w:szCs w:val="24"/>
        </w:rPr>
        <w:t>sment of</w:t>
      </w:r>
      <w:r w:rsidRPr="00897990">
        <w:rPr>
          <w:sz w:val="24"/>
          <w:szCs w:val="24"/>
        </w:rPr>
        <w:t xml:space="preserve"> missing data/drop outs. If there is no primary outcome,</w:t>
      </w:r>
      <w:r>
        <w:rPr>
          <w:sz w:val="24"/>
          <w:szCs w:val="24"/>
        </w:rPr>
        <w:t xml:space="preserve"> i) </w:t>
      </w:r>
      <w:r w:rsidRPr="00897990">
        <w:rPr>
          <w:sz w:val="24"/>
          <w:szCs w:val="24"/>
        </w:rPr>
        <w:t>primarily use the outcome(s) measuring total volume of care/prevalence of low-value care</w:t>
      </w:r>
      <w:r>
        <w:rPr>
          <w:sz w:val="24"/>
          <w:szCs w:val="24"/>
        </w:rPr>
        <w:t xml:space="preserve">; and ii) </w:t>
      </w:r>
      <w:r w:rsidRPr="00897990">
        <w:rPr>
          <w:sz w:val="24"/>
          <w:szCs w:val="24"/>
        </w:rPr>
        <w:t>secondarily outcome(s) measuring intention/perception/willingness to reduce low-value care.</w:t>
      </w:r>
      <w:r>
        <w:rPr>
          <w:sz w:val="24"/>
          <w:szCs w:val="24"/>
        </w:rPr>
        <w:t xml:space="preserve"> </w:t>
      </w:r>
    </w:p>
    <w:p w14:paraId="5BFB8AE1" w14:textId="77777777" w:rsidR="005B742D" w:rsidRDefault="005B742D" w:rsidP="005B742D">
      <w:pPr>
        <w:pStyle w:val="NoSpacing"/>
        <w:spacing w:line="276" w:lineRule="auto"/>
        <w:jc w:val="both"/>
        <w:rPr>
          <w:sz w:val="24"/>
          <w:szCs w:val="24"/>
        </w:rPr>
      </w:pPr>
    </w:p>
    <w:p w14:paraId="5C0BCCC0" w14:textId="77777777" w:rsidR="005B742D" w:rsidRPr="00897990" w:rsidRDefault="005B742D" w:rsidP="005B742D">
      <w:pPr>
        <w:pStyle w:val="NoSpacing"/>
        <w:spacing w:line="276" w:lineRule="auto"/>
        <w:jc w:val="both"/>
        <w:rPr>
          <w:sz w:val="24"/>
          <w:szCs w:val="24"/>
        </w:rPr>
      </w:pPr>
      <w:r>
        <w:rPr>
          <w:sz w:val="24"/>
          <w:szCs w:val="24"/>
        </w:rPr>
        <w:t>If there is one primary outcomes, use the proportion of missing data for judgment.</w:t>
      </w:r>
      <w:r w:rsidRPr="00897990">
        <w:rPr>
          <w:sz w:val="24"/>
          <w:szCs w:val="24"/>
        </w:rPr>
        <w:t xml:space="preserve"> </w:t>
      </w:r>
      <w:r>
        <w:rPr>
          <w:sz w:val="24"/>
          <w:szCs w:val="24"/>
        </w:rPr>
        <w:t>I</w:t>
      </w:r>
      <w:r w:rsidRPr="00897990">
        <w:rPr>
          <w:sz w:val="24"/>
          <w:szCs w:val="24"/>
        </w:rPr>
        <w:t xml:space="preserve">f there </w:t>
      </w:r>
      <w:r>
        <w:rPr>
          <w:sz w:val="24"/>
          <w:szCs w:val="24"/>
        </w:rPr>
        <w:t>are</w:t>
      </w:r>
      <w:r w:rsidRPr="00897990">
        <w:rPr>
          <w:sz w:val="24"/>
          <w:szCs w:val="24"/>
        </w:rPr>
        <w:t xml:space="preserve"> several primary outcomes </w:t>
      </w:r>
      <w:r>
        <w:rPr>
          <w:sz w:val="24"/>
          <w:szCs w:val="24"/>
        </w:rPr>
        <w:t>(</w:t>
      </w:r>
      <w:r w:rsidRPr="00897990">
        <w:rPr>
          <w:sz w:val="24"/>
          <w:szCs w:val="24"/>
        </w:rPr>
        <w:t>or if there is no primary outcome and other outcome types are used</w:t>
      </w:r>
      <w:r>
        <w:rPr>
          <w:sz w:val="24"/>
          <w:szCs w:val="24"/>
        </w:rPr>
        <w:t>), u</w:t>
      </w:r>
      <w:r w:rsidRPr="00897990">
        <w:rPr>
          <w:sz w:val="24"/>
          <w:szCs w:val="24"/>
        </w:rPr>
        <w:t>se median values of missing outcome data for outcome category.</w:t>
      </w:r>
    </w:p>
    <w:p w14:paraId="4BBADAFC" w14:textId="77777777" w:rsidR="005B742D" w:rsidRPr="00897990" w:rsidRDefault="005B742D" w:rsidP="005B742D">
      <w:pPr>
        <w:rPr>
          <w:lang w:val="en-CA"/>
        </w:rPr>
      </w:pPr>
    </w:p>
    <w:p w14:paraId="5A6FCB57" w14:textId="77777777" w:rsidR="005B742D" w:rsidRPr="00897990" w:rsidRDefault="005B742D" w:rsidP="005B742D">
      <w:pPr>
        <w:rPr>
          <w:lang w:val="en-CA"/>
        </w:rPr>
      </w:pPr>
      <w:r>
        <w:rPr>
          <w:lang w:val="en-CA"/>
        </w:rPr>
        <w:t xml:space="preserve">When judging missing data, please, remember to consider all levels of recruitment where missing data/drop outs are possible. </w:t>
      </w:r>
      <w:r w:rsidRPr="00897990">
        <w:rPr>
          <w:lang w:val="en-CA"/>
        </w:rPr>
        <w:t>If drop outs are highly unlikely in every level, answer “probably no” (in individually randomised trials this means only one level).</w:t>
      </w:r>
    </w:p>
    <w:p w14:paraId="0DD8A1A0" w14:textId="77777777" w:rsidR="005B742D" w:rsidRDefault="005B742D" w:rsidP="005B742D">
      <w:pPr>
        <w:rPr>
          <w:lang w:val="en-CA"/>
        </w:rPr>
      </w:pPr>
    </w:p>
    <w:p w14:paraId="4ABD2282" w14:textId="77777777" w:rsidR="005B742D" w:rsidRPr="00897990" w:rsidRDefault="005B742D" w:rsidP="005B742D">
      <w:pPr>
        <w:rPr>
          <w:lang w:val="en-CA"/>
        </w:rPr>
      </w:pPr>
      <w:r>
        <w:rPr>
          <w:lang w:val="en-CA"/>
        </w:rPr>
        <w:t>Drop outs are considered as highly unlikely when recruitment/allocation, intervention and outcome measurement happens within the same encounter.</w:t>
      </w:r>
    </w:p>
    <w:p w14:paraId="54E1B595" w14:textId="77777777" w:rsidR="005B742D" w:rsidRPr="00897990" w:rsidRDefault="005B742D" w:rsidP="005B742D">
      <w:pPr>
        <w:rPr>
          <w:lang w:val="en-US"/>
        </w:rPr>
      </w:pPr>
      <w:r w:rsidRPr="00897990">
        <w:rPr>
          <w:lang w:val="en-US"/>
        </w:rPr>
        <w:lastRenderedPageBreak/>
        <w:t xml:space="preserve">For example, </w:t>
      </w:r>
      <w:r w:rsidRPr="00897990">
        <w:rPr>
          <w:b/>
          <w:lang w:val="en-US"/>
        </w:rPr>
        <w:t>i)</w:t>
      </w:r>
      <w:r>
        <w:rPr>
          <w:b/>
          <w:lang w:val="en-US"/>
        </w:rPr>
        <w:t xml:space="preserve"> </w:t>
      </w:r>
      <w:r w:rsidRPr="00897990">
        <w:rPr>
          <w:lang w:val="en-US"/>
        </w:rPr>
        <w:t xml:space="preserve">patient </w:t>
      </w:r>
      <w:r>
        <w:rPr>
          <w:lang w:val="en-US"/>
        </w:rPr>
        <w:t>may</w:t>
      </w:r>
      <w:r w:rsidRPr="00897990">
        <w:rPr>
          <w:lang w:val="en-US"/>
        </w:rPr>
        <w:t xml:space="preserve"> be recruited</w:t>
      </w:r>
      <w:r>
        <w:rPr>
          <w:lang w:val="en-US"/>
        </w:rPr>
        <w:t xml:space="preserve">, </w:t>
      </w:r>
      <w:r w:rsidRPr="00897990">
        <w:rPr>
          <w:lang w:val="en-US"/>
        </w:rPr>
        <w:t xml:space="preserve">allocated, given the intervention and outcome </w:t>
      </w:r>
      <w:r>
        <w:rPr>
          <w:lang w:val="en-US"/>
        </w:rPr>
        <w:t>assessed/measured</w:t>
      </w:r>
      <w:r w:rsidRPr="00897990">
        <w:rPr>
          <w:lang w:val="en-US"/>
        </w:rPr>
        <w:t xml:space="preserve"> within </w:t>
      </w:r>
      <w:r>
        <w:rPr>
          <w:lang w:val="en-US"/>
        </w:rPr>
        <w:t xml:space="preserve">the </w:t>
      </w:r>
      <w:r w:rsidRPr="00897990">
        <w:rPr>
          <w:lang w:val="en-US"/>
        </w:rPr>
        <w:t>same visit to the health care center</w:t>
      </w:r>
      <w:r>
        <w:rPr>
          <w:lang w:val="en-US"/>
        </w:rPr>
        <w:t xml:space="preserve"> or</w:t>
      </w:r>
      <w:r w:rsidRPr="00897990">
        <w:rPr>
          <w:lang w:val="en-US"/>
        </w:rPr>
        <w:t xml:space="preserve"> </w:t>
      </w:r>
      <w:r w:rsidRPr="00897990">
        <w:rPr>
          <w:b/>
          <w:lang w:val="en-US"/>
        </w:rPr>
        <w:t>ii)</w:t>
      </w:r>
      <w:r w:rsidRPr="00897990">
        <w:rPr>
          <w:lang w:val="en-US"/>
        </w:rPr>
        <w:t xml:space="preserve"> physician </w:t>
      </w:r>
      <w:r>
        <w:rPr>
          <w:lang w:val="en-US"/>
        </w:rPr>
        <w:t xml:space="preserve">may be </w:t>
      </w:r>
      <w:r w:rsidRPr="00897990">
        <w:rPr>
          <w:lang w:val="en-US"/>
        </w:rPr>
        <w:t>recruited</w:t>
      </w:r>
      <w:r>
        <w:rPr>
          <w:lang w:val="en-US"/>
        </w:rPr>
        <w:t xml:space="preserve">, </w:t>
      </w:r>
      <w:r w:rsidRPr="00897990">
        <w:rPr>
          <w:lang w:val="en-US"/>
        </w:rPr>
        <w:t>allocated, intervention given and outcome measured within the same encounter (</w:t>
      </w:r>
      <w:r>
        <w:rPr>
          <w:lang w:val="en-US"/>
        </w:rPr>
        <w:t xml:space="preserve">e.g. </w:t>
      </w:r>
      <w:r w:rsidRPr="00897990">
        <w:rPr>
          <w:lang w:val="en-US"/>
        </w:rPr>
        <w:t>authors use survey to measure willingness to reduce use of low-value care after educational intervention and everything from allocation to measurement is done within the same encounter).</w:t>
      </w:r>
      <w:r>
        <w:rPr>
          <w:lang w:val="en-US"/>
        </w:rPr>
        <w:t xml:space="preserve"> In these situations, record as “probably no”.</w:t>
      </w:r>
    </w:p>
    <w:p w14:paraId="72000598" w14:textId="77777777" w:rsidR="005B742D" w:rsidRPr="00897990" w:rsidRDefault="005B742D" w:rsidP="005B742D">
      <w:pPr>
        <w:pStyle w:val="NoSpacing"/>
        <w:spacing w:line="276" w:lineRule="auto"/>
        <w:jc w:val="both"/>
        <w:rPr>
          <w:sz w:val="24"/>
          <w:szCs w:val="24"/>
        </w:rPr>
      </w:pPr>
    </w:p>
    <w:p w14:paraId="05E38AB7" w14:textId="77777777" w:rsidR="005B742D" w:rsidRPr="00897990" w:rsidRDefault="005B742D" w:rsidP="005B742D">
      <w:pPr>
        <w:pStyle w:val="NoSpacing"/>
        <w:spacing w:line="276" w:lineRule="auto"/>
        <w:jc w:val="both"/>
        <w:rPr>
          <w:sz w:val="24"/>
          <w:szCs w:val="24"/>
        </w:rPr>
      </w:pPr>
      <w:r w:rsidRPr="00897990">
        <w:rPr>
          <w:sz w:val="24"/>
          <w:szCs w:val="24"/>
        </w:rPr>
        <w:t>Drop outs that are included in the analysis (intention to treat principle) are not considered as missing outcome data. Sometimes authors use “intention to treat principle” in the analysis</w:t>
      </w:r>
      <w:r>
        <w:rPr>
          <w:sz w:val="24"/>
          <w:szCs w:val="24"/>
        </w:rPr>
        <w:t xml:space="preserve"> (and include participants that did drop out but could still be followed up to measure the outcomes)</w:t>
      </w:r>
      <w:r w:rsidRPr="00897990">
        <w:rPr>
          <w:sz w:val="24"/>
          <w:szCs w:val="24"/>
        </w:rPr>
        <w:t>, but there is still drop outs with missing outcome data that they can’t include in the analysis.</w:t>
      </w:r>
    </w:p>
    <w:p w14:paraId="054D3094" w14:textId="77777777" w:rsidR="005B742D" w:rsidRDefault="005B742D" w:rsidP="005B742D">
      <w:pPr>
        <w:pStyle w:val="NoSpacing"/>
        <w:spacing w:line="276" w:lineRule="auto"/>
        <w:jc w:val="both"/>
      </w:pPr>
    </w:p>
    <w:p w14:paraId="7D4D43AD" w14:textId="77777777" w:rsidR="005B742D" w:rsidRDefault="005B742D" w:rsidP="005B742D">
      <w:pPr>
        <w:pStyle w:val="NoSpacing"/>
        <w:spacing w:line="276" w:lineRule="auto"/>
        <w:jc w:val="both"/>
      </w:pPr>
    </w:p>
    <w:p w14:paraId="182A409B" w14:textId="77777777" w:rsidR="005B742D" w:rsidRDefault="005B742D" w:rsidP="005B742D">
      <w:pPr>
        <w:pStyle w:val="NoSpacing"/>
        <w:numPr>
          <w:ilvl w:val="0"/>
          <w:numId w:val="7"/>
        </w:numPr>
        <w:spacing w:line="276" w:lineRule="auto"/>
        <w:jc w:val="both"/>
        <w:outlineLvl w:val="0"/>
        <w:rPr>
          <w:b/>
        </w:rPr>
      </w:pPr>
      <w:r>
        <w:rPr>
          <w:b/>
        </w:rPr>
        <w:t>Were there baseline imbalances at the start of the trial?</w:t>
      </w:r>
    </w:p>
    <w:p w14:paraId="27FD3E6C" w14:textId="77777777" w:rsidR="005B742D" w:rsidRDefault="005B742D" w:rsidP="005B742D">
      <w:pPr>
        <w:pStyle w:val="NoSpacing"/>
        <w:spacing w:line="276" w:lineRule="auto"/>
        <w:jc w:val="both"/>
        <w:outlineLvl w:val="0"/>
        <w:rPr>
          <w:b/>
        </w:rPr>
      </w:pPr>
    </w:p>
    <w:p w14:paraId="39506CFB" w14:textId="77777777" w:rsidR="005B742D" w:rsidRPr="00DE6164" w:rsidRDefault="005B742D" w:rsidP="005B742D">
      <w:pPr>
        <w:pStyle w:val="NoSpacing"/>
        <w:spacing w:line="276" w:lineRule="auto"/>
        <w:jc w:val="center"/>
      </w:pPr>
      <w:r w:rsidRPr="00DE6164">
        <w:t>Definitely yes</w:t>
      </w:r>
      <w:r w:rsidRPr="00DE6164">
        <w:tab/>
      </w:r>
      <w:r w:rsidRPr="00DE6164">
        <w:tab/>
        <w:t>Probably yes</w:t>
      </w:r>
      <w:r w:rsidRPr="00DE6164">
        <w:tab/>
      </w:r>
      <w:r w:rsidRPr="00DE6164">
        <w:tab/>
        <w:t>Probably no</w:t>
      </w:r>
      <w:r w:rsidRPr="00DE6164">
        <w:tab/>
      </w:r>
      <w:r w:rsidRPr="00DE6164">
        <w:tab/>
        <w:t>Definitely no</w:t>
      </w:r>
    </w:p>
    <w:p w14:paraId="5D71B86A" w14:textId="77777777" w:rsidR="005B742D" w:rsidRPr="00E617B8" w:rsidRDefault="005B742D" w:rsidP="005B742D">
      <w:pPr>
        <w:pStyle w:val="NoSpacing"/>
        <w:spacing w:line="276" w:lineRule="auto"/>
        <w:jc w:val="center"/>
      </w:pPr>
      <w:r w:rsidRPr="00DE6164">
        <w:t>(high risk of bias)</w:t>
      </w:r>
      <w:r w:rsidRPr="00DE6164">
        <w:tab/>
      </w:r>
      <w:r w:rsidRPr="00DE6164">
        <w:tab/>
      </w:r>
      <w:r w:rsidRPr="00DE6164">
        <w:tab/>
      </w:r>
      <w:r w:rsidRPr="00DE6164">
        <w:tab/>
      </w:r>
      <w:r w:rsidRPr="00DE6164">
        <w:tab/>
      </w:r>
      <w:r w:rsidRPr="00DE6164">
        <w:tab/>
      </w:r>
      <w:r w:rsidRPr="00DE6164">
        <w:tab/>
        <w:t>(</w:t>
      </w:r>
      <w:r>
        <w:t>low</w:t>
      </w:r>
      <w:r w:rsidRPr="00DE6164">
        <w:t xml:space="preserve"> risk of bias)</w:t>
      </w:r>
    </w:p>
    <w:p w14:paraId="6EBCB58A" w14:textId="77777777" w:rsidR="005B742D" w:rsidRDefault="005B742D" w:rsidP="005B742D">
      <w:pPr>
        <w:pStyle w:val="NoSpacing"/>
        <w:spacing w:line="276" w:lineRule="auto"/>
        <w:jc w:val="both"/>
        <w:outlineLvl w:val="0"/>
        <w:rPr>
          <w:b/>
        </w:rPr>
      </w:pPr>
    </w:p>
    <w:p w14:paraId="588D52B6" w14:textId="77777777" w:rsidR="005B742D" w:rsidRDefault="005B742D" w:rsidP="005B742D">
      <w:pPr>
        <w:rPr>
          <w:lang w:val="en-CA"/>
        </w:rPr>
      </w:pPr>
      <w:r w:rsidRPr="00DF0B21">
        <w:rPr>
          <w:lang w:val="en-CA"/>
        </w:rPr>
        <w:t>Consider baseline estimates of (primary) outcome and age</w:t>
      </w:r>
      <w:r>
        <w:rPr>
          <w:lang w:val="en-CA"/>
        </w:rPr>
        <w:t>/work experience</w:t>
      </w:r>
      <w:r w:rsidRPr="00DF0B21">
        <w:rPr>
          <w:lang w:val="en-CA"/>
        </w:rPr>
        <w:t xml:space="preserve"> between intervention and control groups</w:t>
      </w:r>
      <w:r>
        <w:rPr>
          <w:lang w:val="en-CA"/>
        </w:rPr>
        <w:t>.</w:t>
      </w:r>
    </w:p>
    <w:p w14:paraId="40AAF964" w14:textId="77777777" w:rsidR="005B742D" w:rsidRDefault="005B742D" w:rsidP="005B742D">
      <w:pPr>
        <w:rPr>
          <w:lang w:val="en-CA"/>
        </w:rPr>
      </w:pPr>
    </w:p>
    <w:p w14:paraId="7A2E5308" w14:textId="77777777" w:rsidR="005B742D" w:rsidRDefault="005B742D" w:rsidP="005B742D">
      <w:pPr>
        <w:pStyle w:val="NoSpacing"/>
        <w:spacing w:line="276" w:lineRule="auto"/>
        <w:jc w:val="both"/>
      </w:pPr>
      <w:r>
        <w:t>Thresholds for risk of bias judgements. Respond:</w:t>
      </w:r>
    </w:p>
    <w:p w14:paraId="5E3454B6" w14:textId="77777777" w:rsidR="005B742D" w:rsidRDefault="005B742D" w:rsidP="005B742D">
      <w:pPr>
        <w:rPr>
          <w:lang w:val="en-CA"/>
        </w:rPr>
      </w:pPr>
      <w:r w:rsidRPr="00DF0B21">
        <w:rPr>
          <w:u w:val="single"/>
          <w:lang w:val="en-CA"/>
        </w:rPr>
        <w:t>“</w:t>
      </w:r>
      <w:r>
        <w:rPr>
          <w:u w:val="single"/>
          <w:lang w:val="en-CA"/>
        </w:rPr>
        <w:t>definitely</w:t>
      </w:r>
      <w:r w:rsidRPr="00DF0B21">
        <w:rPr>
          <w:u w:val="single"/>
          <w:lang w:val="en-CA"/>
        </w:rPr>
        <w:t xml:space="preserve"> no”: </w:t>
      </w:r>
      <w:r w:rsidRPr="00DF0B21">
        <w:rPr>
          <w:lang w:val="en-CA"/>
        </w:rPr>
        <w:t xml:space="preserve">Relative difference (compared to control group) </w:t>
      </w:r>
      <w:r>
        <w:rPr>
          <w:lang w:val="en-CA"/>
        </w:rPr>
        <w:t>is</w:t>
      </w:r>
      <w:r w:rsidRPr="00DF0B21">
        <w:rPr>
          <w:lang w:val="en-CA"/>
        </w:rPr>
        <w:t xml:space="preserve"> less than </w:t>
      </w:r>
      <w:r>
        <w:rPr>
          <w:lang w:val="en-CA"/>
        </w:rPr>
        <w:t>5</w:t>
      </w:r>
      <w:r w:rsidRPr="00DF0B21">
        <w:rPr>
          <w:lang w:val="en-CA"/>
        </w:rPr>
        <w:t>%</w:t>
      </w:r>
      <w:r>
        <w:rPr>
          <w:lang w:val="en-CA"/>
        </w:rPr>
        <w:t xml:space="preserve"> (low risk of bias)</w:t>
      </w:r>
    </w:p>
    <w:p w14:paraId="18A2BF3C" w14:textId="77777777" w:rsidR="005B742D" w:rsidRDefault="005B742D" w:rsidP="005B742D">
      <w:pPr>
        <w:rPr>
          <w:lang w:val="en-CA"/>
        </w:rPr>
      </w:pPr>
      <w:r w:rsidRPr="00DF0B21">
        <w:rPr>
          <w:u w:val="single"/>
          <w:lang w:val="en-CA"/>
        </w:rPr>
        <w:t xml:space="preserve">“probably no”: </w:t>
      </w:r>
      <w:r w:rsidRPr="00DF0B21">
        <w:rPr>
          <w:lang w:val="en-CA"/>
        </w:rPr>
        <w:t xml:space="preserve">Relative difference (compared to control group) at least </w:t>
      </w:r>
      <w:r>
        <w:rPr>
          <w:lang w:val="en-CA"/>
        </w:rPr>
        <w:t>5</w:t>
      </w:r>
      <w:r w:rsidRPr="00DF0B21">
        <w:rPr>
          <w:lang w:val="en-CA"/>
        </w:rPr>
        <w:t xml:space="preserve">% but less than </w:t>
      </w:r>
      <w:r>
        <w:rPr>
          <w:lang w:val="en-CA"/>
        </w:rPr>
        <w:t>10</w:t>
      </w:r>
      <w:r w:rsidRPr="00DF0B21">
        <w:rPr>
          <w:lang w:val="en-CA"/>
        </w:rPr>
        <w:t>%</w:t>
      </w:r>
    </w:p>
    <w:p w14:paraId="368F109A" w14:textId="77777777" w:rsidR="005B742D" w:rsidRPr="00DF0B21" w:rsidRDefault="005B742D" w:rsidP="005B742D">
      <w:pPr>
        <w:rPr>
          <w:lang w:val="en-CA"/>
        </w:rPr>
      </w:pPr>
      <w:r w:rsidRPr="00DF0B21">
        <w:rPr>
          <w:u w:val="single"/>
          <w:lang w:val="en-CA"/>
        </w:rPr>
        <w:t>“probably yes”:</w:t>
      </w:r>
      <w:r w:rsidRPr="00DF0B21">
        <w:rPr>
          <w:lang w:val="en-CA"/>
        </w:rPr>
        <w:t xml:space="preserve"> Relative difference (compared to control group) at least 10% but less than 20%</w:t>
      </w:r>
    </w:p>
    <w:p w14:paraId="297CB971" w14:textId="77777777" w:rsidR="005B742D" w:rsidRPr="00DF0B21" w:rsidRDefault="005B742D" w:rsidP="005B742D">
      <w:pPr>
        <w:rPr>
          <w:lang w:val="en-CA"/>
        </w:rPr>
      </w:pPr>
      <w:r w:rsidRPr="00DF0B21">
        <w:rPr>
          <w:u w:val="single"/>
          <w:lang w:val="en-CA"/>
        </w:rPr>
        <w:t>“definitely yes”:</w:t>
      </w:r>
      <w:r w:rsidRPr="00DF0B21">
        <w:rPr>
          <w:lang w:val="en-CA"/>
        </w:rPr>
        <w:t xml:space="preserve"> Relative difference (compared to control group) at least 20%</w:t>
      </w:r>
      <w:r>
        <w:rPr>
          <w:lang w:val="en-CA"/>
        </w:rPr>
        <w:t xml:space="preserve"> (high risk of bias)</w:t>
      </w:r>
    </w:p>
    <w:p w14:paraId="30E2E132" w14:textId="77777777" w:rsidR="005B742D" w:rsidRDefault="005B742D" w:rsidP="005B742D">
      <w:pPr>
        <w:rPr>
          <w:lang w:val="en-CA"/>
        </w:rPr>
      </w:pPr>
    </w:p>
    <w:p w14:paraId="0AE5F709" w14:textId="77777777" w:rsidR="005B742D" w:rsidRDefault="005B742D" w:rsidP="005B742D">
      <w:pPr>
        <w:rPr>
          <w:lang w:val="en-CA"/>
        </w:rPr>
      </w:pPr>
      <w:r>
        <w:rPr>
          <w:lang w:val="en-CA"/>
        </w:rPr>
        <w:t>Examples of relative difference:</w:t>
      </w:r>
    </w:p>
    <w:p w14:paraId="3342CCC4" w14:textId="77777777" w:rsidR="005B742D" w:rsidRDefault="005B742D" w:rsidP="005B742D">
      <w:pPr>
        <w:rPr>
          <w:lang w:val="en-CA"/>
        </w:rPr>
      </w:pPr>
      <w:r w:rsidRPr="00DF0B21">
        <w:rPr>
          <w:lang w:val="en-CA"/>
        </w:rPr>
        <w:t>if use of antibiotics 80% in intervention and 60% in control group relative difference here is not 20% but it is 33%</w:t>
      </w:r>
    </w:p>
    <w:p w14:paraId="24B65365" w14:textId="77777777" w:rsidR="005B742D" w:rsidRDefault="005B742D" w:rsidP="005B742D">
      <w:pPr>
        <w:rPr>
          <w:lang w:val="en-CA"/>
        </w:rPr>
      </w:pPr>
      <w:r w:rsidRPr="00DF0B21">
        <w:rPr>
          <w:lang w:val="en-CA"/>
        </w:rPr>
        <w:t>if median age is 68 years in intervention and 60 years in control group, relative difference is here 13%</w:t>
      </w:r>
    </w:p>
    <w:p w14:paraId="01AA1B84" w14:textId="77777777" w:rsidR="005B742D" w:rsidRDefault="005B742D" w:rsidP="005B742D">
      <w:pPr>
        <w:rPr>
          <w:lang w:val="en-CA"/>
        </w:rPr>
      </w:pPr>
    </w:p>
    <w:p w14:paraId="75EE57EA" w14:textId="77777777" w:rsidR="005B742D" w:rsidRDefault="005B742D" w:rsidP="005B742D">
      <w:pPr>
        <w:rPr>
          <w:lang w:val="en-CA"/>
        </w:rPr>
      </w:pPr>
      <w:r>
        <w:rPr>
          <w:lang w:val="en-CA"/>
        </w:rPr>
        <w:t>If not reported, answer “probably yes”. An exception is, however, when cluster unit is team or institution AND the number of clusters is over 20 OR if trial is individually randomized/cluster unit individual professional AND number of clusters/individuals is over 100. In this case answer “probably no”.</w:t>
      </w:r>
    </w:p>
    <w:p w14:paraId="53AF985B" w14:textId="77777777" w:rsidR="005B742D" w:rsidRDefault="005B742D" w:rsidP="005B742D">
      <w:pPr>
        <w:rPr>
          <w:lang w:val="en-CA"/>
        </w:rPr>
      </w:pPr>
    </w:p>
    <w:p w14:paraId="1274B31A" w14:textId="77777777" w:rsidR="005B742D" w:rsidRPr="009C3FC5" w:rsidRDefault="005B742D" w:rsidP="005B742D">
      <w:pPr>
        <w:pStyle w:val="NoSpacing"/>
        <w:spacing w:line="276" w:lineRule="auto"/>
        <w:jc w:val="both"/>
      </w:pPr>
      <w:r w:rsidRPr="009C3FC5">
        <w:t xml:space="preserve">If there are more than 1 primary outcome, we will use the median value (of proportion of missing data). If no outcome is clearly reported as primary outcome, we will use the median value (of proportion of missing data) of all outcomes that measure prevalence of low value care use. If there are no outcomes reported measuring prevalence of low value care use, we will use the median value (of proportion of missing data) of </w:t>
      </w:r>
      <w:r>
        <w:t xml:space="preserve">outcomes that measure </w:t>
      </w:r>
      <w:r w:rsidRPr="00D84DA1">
        <w:t>intention/perception to reduce low-value care.</w:t>
      </w:r>
    </w:p>
    <w:p w14:paraId="2207B055" w14:textId="77777777" w:rsidR="005B742D" w:rsidRDefault="005B742D" w:rsidP="005B742D">
      <w:pPr>
        <w:pStyle w:val="NoSpacing"/>
        <w:spacing w:line="276" w:lineRule="auto"/>
        <w:jc w:val="both"/>
        <w:rPr>
          <w:b/>
        </w:rPr>
      </w:pPr>
    </w:p>
    <w:p w14:paraId="1C047616" w14:textId="77777777" w:rsidR="005B742D" w:rsidRDefault="005B742D" w:rsidP="005B742D">
      <w:pPr>
        <w:pStyle w:val="NoSpacing"/>
        <w:numPr>
          <w:ilvl w:val="0"/>
          <w:numId w:val="7"/>
        </w:numPr>
        <w:spacing w:line="276" w:lineRule="auto"/>
        <w:jc w:val="both"/>
        <w:rPr>
          <w:b/>
        </w:rPr>
      </w:pPr>
      <w:r>
        <w:rPr>
          <w:b/>
        </w:rPr>
        <w:t>Other risk of bias?</w:t>
      </w:r>
    </w:p>
    <w:p w14:paraId="7232EF39" w14:textId="77777777" w:rsidR="005B742D" w:rsidRDefault="005B742D" w:rsidP="005B742D">
      <w:pPr>
        <w:pStyle w:val="NoSpacing"/>
        <w:numPr>
          <w:ilvl w:val="1"/>
          <w:numId w:val="7"/>
        </w:numPr>
        <w:spacing w:line="276" w:lineRule="auto"/>
        <w:jc w:val="both"/>
        <w:rPr>
          <w:b/>
        </w:rPr>
      </w:pPr>
      <w:r>
        <w:rPr>
          <w:b/>
        </w:rPr>
        <w:t>choose at least one</w:t>
      </w:r>
    </w:p>
    <w:p w14:paraId="2710579E" w14:textId="77777777" w:rsidR="005B742D" w:rsidRDefault="005B742D" w:rsidP="005B742D">
      <w:pPr>
        <w:pStyle w:val="NoSpacing"/>
        <w:numPr>
          <w:ilvl w:val="2"/>
          <w:numId w:val="7"/>
        </w:numPr>
        <w:spacing w:line="276" w:lineRule="auto"/>
        <w:jc w:val="both"/>
        <w:rPr>
          <w:b/>
        </w:rPr>
      </w:pPr>
      <w:r>
        <w:rPr>
          <w:b/>
        </w:rPr>
        <w:t>Contamination</w:t>
      </w:r>
    </w:p>
    <w:p w14:paraId="38FE1041" w14:textId="77777777" w:rsidR="005B742D" w:rsidRDefault="005B742D" w:rsidP="005B742D">
      <w:pPr>
        <w:pStyle w:val="NoSpacing"/>
        <w:numPr>
          <w:ilvl w:val="2"/>
          <w:numId w:val="7"/>
        </w:numPr>
        <w:spacing w:line="276" w:lineRule="auto"/>
        <w:jc w:val="both"/>
        <w:rPr>
          <w:b/>
        </w:rPr>
      </w:pPr>
      <w:r>
        <w:rPr>
          <w:b/>
        </w:rPr>
        <w:lastRenderedPageBreak/>
        <w:t>Selective reporting</w:t>
      </w:r>
    </w:p>
    <w:p w14:paraId="05C26EE0" w14:textId="77777777" w:rsidR="005B742D" w:rsidRDefault="005B742D" w:rsidP="005B742D">
      <w:pPr>
        <w:pStyle w:val="NoSpacing"/>
        <w:numPr>
          <w:ilvl w:val="2"/>
          <w:numId w:val="7"/>
        </w:numPr>
        <w:spacing w:line="276" w:lineRule="auto"/>
        <w:jc w:val="both"/>
        <w:rPr>
          <w:b/>
        </w:rPr>
      </w:pPr>
      <w:r>
        <w:rPr>
          <w:b/>
        </w:rPr>
        <w:t>Other</w:t>
      </w:r>
    </w:p>
    <w:p w14:paraId="0F243203" w14:textId="77777777" w:rsidR="00531912" w:rsidRPr="00EB674C" w:rsidRDefault="005B742D" w:rsidP="00EB674C">
      <w:pPr>
        <w:pStyle w:val="NoSpacing"/>
        <w:numPr>
          <w:ilvl w:val="2"/>
          <w:numId w:val="7"/>
        </w:numPr>
        <w:spacing w:line="276" w:lineRule="auto"/>
        <w:jc w:val="both"/>
        <w:rPr>
          <w:b/>
        </w:rPr>
      </w:pPr>
      <w:r>
        <w:rPr>
          <w:b/>
        </w:rPr>
        <w:t>No</w:t>
      </w:r>
    </w:p>
    <w:p w14:paraId="652DD1FD" w14:textId="77777777" w:rsidR="002E4DCF" w:rsidRDefault="002E4DCF" w:rsidP="004B3D37">
      <w:pPr>
        <w:rPr>
          <w:rFonts w:ascii="Calibri" w:hAnsi="Calibri"/>
          <w:b/>
          <w:sz w:val="28"/>
          <w:szCs w:val="28"/>
          <w:lang w:val="en-US"/>
        </w:rPr>
      </w:pPr>
    </w:p>
    <w:p w14:paraId="0E87C675" w14:textId="7B0741AE" w:rsidR="004B3D37" w:rsidRPr="004B3D37" w:rsidRDefault="004B3D37" w:rsidP="004B3D37">
      <w:pPr>
        <w:rPr>
          <w:rFonts w:ascii="Calibri" w:hAnsi="Calibri"/>
          <w:sz w:val="28"/>
          <w:szCs w:val="28"/>
          <w:lang w:val="en-US"/>
        </w:rPr>
      </w:pPr>
      <w:r w:rsidRPr="004B3D37">
        <w:rPr>
          <w:rFonts w:ascii="Calibri" w:hAnsi="Calibri"/>
          <w:b/>
          <w:sz w:val="28"/>
          <w:szCs w:val="28"/>
          <w:lang w:val="en-US"/>
        </w:rPr>
        <w:t xml:space="preserve">eMethods </w:t>
      </w:r>
      <w:r w:rsidR="00D021FD">
        <w:rPr>
          <w:rFonts w:ascii="Calibri" w:hAnsi="Calibri"/>
          <w:b/>
          <w:sz w:val="28"/>
          <w:szCs w:val="28"/>
          <w:lang w:val="en-US"/>
        </w:rPr>
        <w:t>3</w:t>
      </w:r>
      <w:r w:rsidRPr="004B3D37">
        <w:rPr>
          <w:rFonts w:ascii="Calibri" w:hAnsi="Calibri"/>
          <w:b/>
          <w:sz w:val="28"/>
          <w:szCs w:val="28"/>
          <w:lang w:val="en-US"/>
        </w:rPr>
        <w:t>.</w:t>
      </w:r>
      <w:r w:rsidRPr="004B3D37">
        <w:rPr>
          <w:rFonts w:ascii="Calibri" w:hAnsi="Calibri"/>
          <w:sz w:val="28"/>
          <w:szCs w:val="28"/>
          <w:lang w:val="en-US"/>
        </w:rPr>
        <w:t xml:space="preserve"> Refined version of intervention taxonomy for de-implementation interventions</w:t>
      </w:r>
    </w:p>
    <w:p w14:paraId="4EEAE4F0" w14:textId="77777777" w:rsidR="00422CCD" w:rsidRPr="004B3D37" w:rsidRDefault="00422CCD" w:rsidP="00422CCD">
      <w:pPr>
        <w:rPr>
          <w:lang w:val="en-US"/>
        </w:rPr>
      </w:pPr>
    </w:p>
    <w:p w14:paraId="245DBA02" w14:textId="706B0C9A" w:rsidR="00422CCD" w:rsidRPr="00CF1591" w:rsidRDefault="00422CCD" w:rsidP="00422CCD">
      <w:pPr>
        <w:rPr>
          <w:i/>
          <w:lang w:val="en-US"/>
        </w:rPr>
      </w:pPr>
      <w:r w:rsidRPr="00CF1591">
        <w:rPr>
          <w:i/>
          <w:lang w:val="en-US"/>
        </w:rPr>
        <w:t>With the refined de-implementation intervention taxonomy</w:t>
      </w:r>
      <w:r w:rsidR="002E4DCF">
        <w:rPr>
          <w:i/>
          <w:lang w:val="en-US"/>
        </w:rPr>
        <w:t>,</w:t>
      </w:r>
      <w:r w:rsidRPr="00CF1591">
        <w:rPr>
          <w:i/>
          <w:lang w:val="en-US"/>
        </w:rPr>
        <w:t xml:space="preserve"> we aim to provide categorization in a way that de-implementation interventions are comparable and comprehensively show the spectrum of intervention types that have been studied. To achieve this</w:t>
      </w:r>
      <w:r w:rsidR="002E4DCF">
        <w:rPr>
          <w:i/>
          <w:lang w:val="en-US"/>
        </w:rPr>
        <w:t>,</w:t>
      </w:r>
      <w:r w:rsidRPr="00CF1591">
        <w:rPr>
          <w:i/>
          <w:lang w:val="en-US"/>
        </w:rPr>
        <w:t xml:space="preserve"> we 1)</w:t>
      </w:r>
      <w:r>
        <w:rPr>
          <w:i/>
          <w:lang w:val="en-US"/>
        </w:rPr>
        <w:t xml:space="preserve"> </w:t>
      </w:r>
      <w:r w:rsidRPr="00CF1591">
        <w:rPr>
          <w:i/>
          <w:lang w:val="en-US"/>
        </w:rPr>
        <w:t>eliminated unnecessary overlaps between intervention categories, 2)</w:t>
      </w:r>
      <w:r>
        <w:rPr>
          <w:i/>
          <w:lang w:val="en-US"/>
        </w:rPr>
        <w:t xml:space="preserve"> </w:t>
      </w:r>
      <w:r w:rsidRPr="00CF1591">
        <w:rPr>
          <w:i/>
          <w:lang w:val="en-US"/>
        </w:rPr>
        <w:t>separated interventions to several categories if there were clear justifications to do so and 3)</w:t>
      </w:r>
      <w:r w:rsidR="002E4DCF">
        <w:rPr>
          <w:i/>
          <w:lang w:val="en-US"/>
        </w:rPr>
        <w:t xml:space="preserve"> </w:t>
      </w:r>
      <w:r w:rsidRPr="00CF1591">
        <w:rPr>
          <w:i/>
          <w:lang w:val="en-US"/>
        </w:rPr>
        <w:t>made clarifications to existing categories if they were not suitable to describe current de-implementation literature.</w:t>
      </w:r>
    </w:p>
    <w:p w14:paraId="3AB5AB01" w14:textId="77777777" w:rsidR="00422CCD" w:rsidRPr="00CF1591" w:rsidRDefault="00422CCD" w:rsidP="00422CCD">
      <w:pPr>
        <w:rPr>
          <w:b/>
          <w:lang w:val="en-US"/>
        </w:rPr>
      </w:pPr>
    </w:p>
    <w:p w14:paraId="666E1BC1" w14:textId="77777777" w:rsidR="00422CCD" w:rsidRPr="00CF1591" w:rsidRDefault="00422CCD" w:rsidP="00422CCD">
      <w:pPr>
        <w:rPr>
          <w:b/>
          <w:lang w:val="en-US"/>
        </w:rPr>
      </w:pPr>
      <w:r w:rsidRPr="00CF1591">
        <w:rPr>
          <w:b/>
          <w:lang w:val="en-US"/>
        </w:rPr>
        <w:t>Audit and feedback</w:t>
      </w:r>
    </w:p>
    <w:p w14:paraId="292BA583" w14:textId="77777777" w:rsidR="00422CCD" w:rsidRPr="00CF1591" w:rsidRDefault="00422CCD" w:rsidP="00422CCD">
      <w:pPr>
        <w:autoSpaceDE w:val="0"/>
        <w:autoSpaceDN w:val="0"/>
        <w:adjustRightInd w:val="0"/>
        <w:rPr>
          <w:color w:val="000000" w:themeColor="text1"/>
          <w:lang w:val="en-US"/>
        </w:rPr>
      </w:pPr>
      <w:r w:rsidRPr="00CF1591">
        <w:rPr>
          <w:lang w:val="en-US"/>
        </w:rPr>
        <w:t xml:space="preserve">A summary of health workers’ performance over a period of time, given to them in a written, electronic or verbal format. The summary may include recommendations for clinical action </w:t>
      </w:r>
      <w:r w:rsidRPr="00CF1591">
        <w:rPr>
          <w:color w:val="000000" w:themeColor="text1"/>
          <w:lang w:val="en-US"/>
        </w:rPr>
        <w:t>or comparing individual/unit performance to peers.</w:t>
      </w:r>
    </w:p>
    <w:p w14:paraId="0A7969BC" w14:textId="77777777" w:rsidR="00422CCD" w:rsidRPr="00CF1591" w:rsidRDefault="00422CCD" w:rsidP="00422CCD">
      <w:pPr>
        <w:autoSpaceDE w:val="0"/>
        <w:autoSpaceDN w:val="0"/>
        <w:adjustRightInd w:val="0"/>
        <w:rPr>
          <w:lang w:val="en-US"/>
        </w:rPr>
      </w:pPr>
    </w:p>
    <w:p w14:paraId="6EDA0E49" w14:textId="77777777" w:rsidR="00422CCD" w:rsidRPr="00CF1591" w:rsidRDefault="00422CCD" w:rsidP="00422CCD">
      <w:pPr>
        <w:autoSpaceDE w:val="0"/>
        <w:autoSpaceDN w:val="0"/>
        <w:adjustRightInd w:val="0"/>
        <w:rPr>
          <w:b/>
          <w:lang w:val="en-US"/>
        </w:rPr>
      </w:pPr>
      <w:r w:rsidRPr="00CF1591">
        <w:rPr>
          <w:b/>
          <w:lang w:val="en-US"/>
        </w:rPr>
        <w:t xml:space="preserve">Alerts </w:t>
      </w:r>
    </w:p>
    <w:p w14:paraId="3E63012D" w14:textId="77777777" w:rsidR="00422CCD" w:rsidRPr="00CF1591" w:rsidRDefault="00422CCD" w:rsidP="00422CCD">
      <w:pPr>
        <w:autoSpaceDE w:val="0"/>
        <w:autoSpaceDN w:val="0"/>
        <w:adjustRightInd w:val="0"/>
        <w:rPr>
          <w:lang w:val="en-US"/>
        </w:rPr>
      </w:pPr>
      <w:r w:rsidRPr="00CF1591">
        <w:rPr>
          <w:lang w:val="en-US"/>
        </w:rPr>
        <w:t>Manual or computerized system that alerts healthcare personnel when specific criteria in patients’ care, treatment or clinical outlook fulfill. Including added information in electronic health record systems that is meant to prompt health care workers to certain decisions.</w:t>
      </w:r>
    </w:p>
    <w:p w14:paraId="77310285" w14:textId="77777777" w:rsidR="00422CCD" w:rsidRPr="00CF1591" w:rsidRDefault="00422CCD" w:rsidP="00422CCD">
      <w:pPr>
        <w:autoSpaceDE w:val="0"/>
        <w:autoSpaceDN w:val="0"/>
        <w:adjustRightInd w:val="0"/>
        <w:rPr>
          <w:lang w:val="en-US"/>
        </w:rPr>
      </w:pPr>
    </w:p>
    <w:p w14:paraId="2E3AAD17" w14:textId="77777777" w:rsidR="00422CCD" w:rsidRPr="00CF1591" w:rsidRDefault="00422CCD" w:rsidP="00422CCD">
      <w:pPr>
        <w:autoSpaceDE w:val="0"/>
        <w:autoSpaceDN w:val="0"/>
        <w:adjustRightInd w:val="0"/>
        <w:rPr>
          <w:b/>
          <w:lang w:val="en-US"/>
        </w:rPr>
      </w:pPr>
      <w:r w:rsidRPr="00CF1591">
        <w:rPr>
          <w:b/>
          <w:lang w:val="en-US"/>
        </w:rPr>
        <w:t>Treatment algorithm</w:t>
      </w:r>
    </w:p>
    <w:p w14:paraId="1C0F201A" w14:textId="77777777" w:rsidR="00422CCD" w:rsidRPr="00CF1591" w:rsidRDefault="00422CCD" w:rsidP="00422CCD">
      <w:pPr>
        <w:autoSpaceDE w:val="0"/>
        <w:autoSpaceDN w:val="0"/>
        <w:adjustRightInd w:val="0"/>
        <w:rPr>
          <w:lang w:val="en-US"/>
        </w:rPr>
      </w:pPr>
      <w:r w:rsidRPr="00CF1591">
        <w:rPr>
          <w:lang w:val="en-US"/>
        </w:rPr>
        <w:t>Manual or computerized treatment algorithm that helps health care workers with diagnosis and treatment choices.</w:t>
      </w:r>
    </w:p>
    <w:p w14:paraId="0B4F49A2" w14:textId="77777777" w:rsidR="00422CCD" w:rsidRPr="00CF1591" w:rsidRDefault="00422CCD" w:rsidP="00422CCD">
      <w:pPr>
        <w:autoSpaceDE w:val="0"/>
        <w:autoSpaceDN w:val="0"/>
        <w:adjustRightInd w:val="0"/>
        <w:rPr>
          <w:lang w:val="en-US"/>
        </w:rPr>
      </w:pPr>
    </w:p>
    <w:p w14:paraId="7BC88A90" w14:textId="77777777" w:rsidR="00422CCD" w:rsidRPr="00CF1591" w:rsidRDefault="00422CCD" w:rsidP="00422CCD">
      <w:pPr>
        <w:autoSpaceDE w:val="0"/>
        <w:autoSpaceDN w:val="0"/>
        <w:adjustRightInd w:val="0"/>
        <w:rPr>
          <w:b/>
          <w:lang w:val="en-US"/>
        </w:rPr>
      </w:pPr>
      <w:r w:rsidRPr="00CF1591">
        <w:rPr>
          <w:b/>
          <w:lang w:val="en-US"/>
        </w:rPr>
        <w:t>Communities of practice</w:t>
      </w:r>
    </w:p>
    <w:p w14:paraId="5778B7CA" w14:textId="77777777" w:rsidR="00422CCD" w:rsidRPr="00CF1591" w:rsidRDefault="00422CCD" w:rsidP="00422CCD">
      <w:pPr>
        <w:autoSpaceDE w:val="0"/>
        <w:autoSpaceDN w:val="0"/>
        <w:adjustRightInd w:val="0"/>
        <w:rPr>
          <w:lang w:val="en-US"/>
        </w:rPr>
      </w:pPr>
      <w:r w:rsidRPr="00CF1591">
        <w:rPr>
          <w:lang w:val="en-US"/>
        </w:rPr>
        <w:t>Groups of people with a common interest who deepen their knowledge and expertise in this area by interacting on an ongoing basis.</w:t>
      </w:r>
    </w:p>
    <w:p w14:paraId="4D2F956D" w14:textId="77777777" w:rsidR="00422CCD" w:rsidRPr="00CF1591" w:rsidRDefault="00422CCD" w:rsidP="00422CCD">
      <w:pPr>
        <w:autoSpaceDE w:val="0"/>
        <w:autoSpaceDN w:val="0"/>
        <w:adjustRightInd w:val="0"/>
        <w:rPr>
          <w:lang w:val="en-US"/>
        </w:rPr>
      </w:pPr>
    </w:p>
    <w:p w14:paraId="358456A8" w14:textId="77777777" w:rsidR="00422CCD" w:rsidRPr="00CF1591" w:rsidRDefault="00422CCD" w:rsidP="00422CCD">
      <w:pPr>
        <w:autoSpaceDE w:val="0"/>
        <w:autoSpaceDN w:val="0"/>
        <w:adjustRightInd w:val="0"/>
        <w:rPr>
          <w:b/>
          <w:lang w:val="en-US"/>
        </w:rPr>
      </w:pPr>
      <w:r w:rsidRPr="00CF1591">
        <w:rPr>
          <w:b/>
          <w:lang w:val="en-US"/>
        </w:rPr>
        <w:t>Continuous quality improvement</w:t>
      </w:r>
    </w:p>
    <w:p w14:paraId="30FD3FA0" w14:textId="77777777" w:rsidR="00422CCD" w:rsidRPr="00CF1591" w:rsidRDefault="00422CCD" w:rsidP="00422CCD">
      <w:pPr>
        <w:autoSpaceDE w:val="0"/>
        <w:autoSpaceDN w:val="0"/>
        <w:adjustRightInd w:val="0"/>
        <w:rPr>
          <w:lang w:val="en-US"/>
        </w:rPr>
      </w:pPr>
      <w:r w:rsidRPr="00CF1591">
        <w:rPr>
          <w:lang w:val="en-US"/>
        </w:rPr>
        <w:t>An iterative process to review and improve care that includes involvement of healthcare teams, analysis of a process or system, a structured process improvement method or problem-solving approach, and use of data analysis to assess changes.</w:t>
      </w:r>
    </w:p>
    <w:p w14:paraId="7E7EB9BC" w14:textId="77777777" w:rsidR="00422CCD" w:rsidRPr="00CF1591" w:rsidRDefault="00422CCD" w:rsidP="00422CCD">
      <w:pPr>
        <w:autoSpaceDE w:val="0"/>
        <w:autoSpaceDN w:val="0"/>
        <w:adjustRightInd w:val="0"/>
        <w:rPr>
          <w:lang w:val="en-US"/>
        </w:rPr>
      </w:pPr>
    </w:p>
    <w:p w14:paraId="5EA84E9E" w14:textId="77777777" w:rsidR="00422CCD" w:rsidRPr="00CF1591" w:rsidRDefault="00422CCD" w:rsidP="00422CCD">
      <w:pPr>
        <w:autoSpaceDE w:val="0"/>
        <w:autoSpaceDN w:val="0"/>
        <w:adjustRightInd w:val="0"/>
        <w:rPr>
          <w:b/>
          <w:lang w:val="en-US"/>
        </w:rPr>
      </w:pPr>
      <w:r w:rsidRPr="00CF1591">
        <w:rPr>
          <w:b/>
          <w:lang w:val="en-US"/>
        </w:rPr>
        <w:t>Educational materials</w:t>
      </w:r>
    </w:p>
    <w:p w14:paraId="79DCDDD5" w14:textId="55CF6309" w:rsidR="00422CCD" w:rsidRPr="00CF1591" w:rsidRDefault="00422CCD" w:rsidP="00422CCD">
      <w:pPr>
        <w:autoSpaceDE w:val="0"/>
        <w:autoSpaceDN w:val="0"/>
        <w:adjustRightInd w:val="0"/>
        <w:rPr>
          <w:lang w:val="en-US"/>
        </w:rPr>
      </w:pPr>
      <w:r w:rsidRPr="00CF1591">
        <w:rPr>
          <w:lang w:val="en-US"/>
        </w:rPr>
        <w:t>Distribution to individuals, or groups, of educational materials to support clinical care, i.e., any intervention in which knowledge is distributed. For example</w:t>
      </w:r>
      <w:r w:rsidR="002E4DCF">
        <w:rPr>
          <w:lang w:val="en-US"/>
        </w:rPr>
        <w:t>,</w:t>
      </w:r>
      <w:r w:rsidRPr="00CF1591">
        <w:rPr>
          <w:lang w:val="en-US"/>
        </w:rPr>
        <w:t xml:space="preserve"> this may be facilitated by the internet, learning critical appraisal skills; skills for electronic retrieval of information, diagnostic formulation; question formulation. </w:t>
      </w:r>
    </w:p>
    <w:p w14:paraId="29373DCD" w14:textId="77777777" w:rsidR="00422CCD" w:rsidRPr="00CF1591" w:rsidRDefault="00422CCD" w:rsidP="00422CCD">
      <w:pPr>
        <w:autoSpaceDE w:val="0"/>
        <w:autoSpaceDN w:val="0"/>
        <w:adjustRightInd w:val="0"/>
        <w:rPr>
          <w:lang w:val="en-US"/>
        </w:rPr>
      </w:pPr>
    </w:p>
    <w:p w14:paraId="474A9A0B" w14:textId="77777777" w:rsidR="00422CCD" w:rsidRPr="00CF1591" w:rsidRDefault="00422CCD" w:rsidP="00422CCD">
      <w:pPr>
        <w:autoSpaceDE w:val="0"/>
        <w:autoSpaceDN w:val="0"/>
        <w:adjustRightInd w:val="0"/>
        <w:rPr>
          <w:b/>
          <w:lang w:val="en-US"/>
        </w:rPr>
      </w:pPr>
      <w:r w:rsidRPr="00CF1591">
        <w:rPr>
          <w:b/>
          <w:lang w:val="en-US"/>
        </w:rPr>
        <w:t>Educational meetings for individuals</w:t>
      </w:r>
    </w:p>
    <w:p w14:paraId="14047728" w14:textId="77777777" w:rsidR="00422CCD" w:rsidRPr="00CF1591" w:rsidRDefault="00422CCD" w:rsidP="00422CCD">
      <w:pPr>
        <w:autoSpaceDE w:val="0"/>
        <w:autoSpaceDN w:val="0"/>
        <w:adjustRightInd w:val="0"/>
        <w:rPr>
          <w:lang w:val="en-US"/>
        </w:rPr>
      </w:pPr>
      <w:r w:rsidRPr="00CF1591">
        <w:rPr>
          <w:lang w:val="en-US"/>
        </w:rPr>
        <w:t>All educational meeting targeted on individuals. Including face-to-face visits and phone calls.</w:t>
      </w:r>
    </w:p>
    <w:p w14:paraId="0A5C073C" w14:textId="77777777" w:rsidR="00422CCD" w:rsidRPr="00CF1591" w:rsidRDefault="00422CCD" w:rsidP="00422CCD">
      <w:pPr>
        <w:autoSpaceDE w:val="0"/>
        <w:autoSpaceDN w:val="0"/>
        <w:adjustRightInd w:val="0"/>
        <w:rPr>
          <w:lang w:val="en-US"/>
        </w:rPr>
      </w:pPr>
    </w:p>
    <w:p w14:paraId="078E4A23" w14:textId="77777777" w:rsidR="00422CCD" w:rsidRPr="00CF1591" w:rsidRDefault="00422CCD" w:rsidP="00422CCD">
      <w:pPr>
        <w:autoSpaceDE w:val="0"/>
        <w:autoSpaceDN w:val="0"/>
        <w:adjustRightInd w:val="0"/>
        <w:rPr>
          <w:b/>
          <w:lang w:val="en-US"/>
        </w:rPr>
      </w:pPr>
      <w:r w:rsidRPr="00CF1591">
        <w:rPr>
          <w:b/>
          <w:lang w:val="en-US"/>
        </w:rPr>
        <w:t>Educational meetings for groups</w:t>
      </w:r>
    </w:p>
    <w:p w14:paraId="78BEE32C" w14:textId="77777777" w:rsidR="00422CCD" w:rsidRPr="00CF1591" w:rsidRDefault="00422CCD" w:rsidP="00422CCD">
      <w:pPr>
        <w:autoSpaceDE w:val="0"/>
        <w:autoSpaceDN w:val="0"/>
        <w:adjustRightInd w:val="0"/>
        <w:rPr>
          <w:lang w:val="en-US"/>
        </w:rPr>
      </w:pPr>
      <w:r w:rsidRPr="00CF1591">
        <w:rPr>
          <w:lang w:val="en-US"/>
        </w:rPr>
        <w:lastRenderedPageBreak/>
        <w:t>All educational meetings targeted on groups. Including online and face-to-face meetings, courses, workshops, conferences or other educational meetings, outreach visits and academic detailing. In educational meetings, participants have possibility to interact with the educator.</w:t>
      </w:r>
    </w:p>
    <w:p w14:paraId="4E1E139B" w14:textId="77777777" w:rsidR="00422CCD" w:rsidRPr="00CF1591" w:rsidRDefault="00422CCD" w:rsidP="00422CCD">
      <w:pPr>
        <w:autoSpaceDE w:val="0"/>
        <w:autoSpaceDN w:val="0"/>
        <w:adjustRightInd w:val="0"/>
        <w:rPr>
          <w:lang w:val="en-US"/>
        </w:rPr>
      </w:pPr>
    </w:p>
    <w:p w14:paraId="72E30EA0" w14:textId="77777777" w:rsidR="00422CCD" w:rsidRPr="00CF1591" w:rsidRDefault="00422CCD" w:rsidP="00422CCD">
      <w:pPr>
        <w:autoSpaceDE w:val="0"/>
        <w:autoSpaceDN w:val="0"/>
        <w:adjustRightInd w:val="0"/>
        <w:rPr>
          <w:b/>
          <w:lang w:val="en-US"/>
        </w:rPr>
      </w:pPr>
      <w:r>
        <w:rPr>
          <w:b/>
          <w:lang w:val="en-US"/>
        </w:rPr>
        <w:t xml:space="preserve">Developing of </w:t>
      </w:r>
      <w:r w:rsidRPr="00CF1591">
        <w:rPr>
          <w:b/>
          <w:lang w:val="en-US"/>
        </w:rPr>
        <w:t>Clinical practice guidelines</w:t>
      </w:r>
    </w:p>
    <w:p w14:paraId="0BB510DB" w14:textId="77777777" w:rsidR="00422CCD" w:rsidRPr="00422CCD" w:rsidRDefault="00422CCD" w:rsidP="00422CCD">
      <w:pPr>
        <w:autoSpaceDE w:val="0"/>
        <w:autoSpaceDN w:val="0"/>
        <w:adjustRightInd w:val="0"/>
        <w:rPr>
          <w:lang w:val="en-US"/>
        </w:rPr>
      </w:pPr>
      <w:r w:rsidRPr="00CF1591">
        <w:rPr>
          <w:lang w:val="en-US"/>
        </w:rPr>
        <w:t>Clinical guidelines are systematically developed statements to assist healthcare providers and patients to decide on appropriate health care for specific clinical circumstances'(US IOM).</w:t>
      </w:r>
    </w:p>
    <w:p w14:paraId="3C54576F" w14:textId="77777777" w:rsidR="00422CCD" w:rsidRPr="00CF1591" w:rsidRDefault="00422CCD" w:rsidP="00422CCD">
      <w:pPr>
        <w:autoSpaceDE w:val="0"/>
        <w:autoSpaceDN w:val="0"/>
        <w:adjustRightInd w:val="0"/>
        <w:rPr>
          <w:b/>
          <w:lang w:val="en-US"/>
        </w:rPr>
      </w:pPr>
    </w:p>
    <w:p w14:paraId="0AAB07CE" w14:textId="77777777" w:rsidR="00422CCD" w:rsidRPr="00CF1591" w:rsidRDefault="00422CCD" w:rsidP="00422CCD">
      <w:pPr>
        <w:autoSpaceDE w:val="0"/>
        <w:autoSpaceDN w:val="0"/>
        <w:adjustRightInd w:val="0"/>
        <w:rPr>
          <w:b/>
          <w:lang w:val="en-US"/>
        </w:rPr>
      </w:pPr>
      <w:r w:rsidRPr="00CF1591">
        <w:rPr>
          <w:b/>
          <w:lang w:val="en-US"/>
        </w:rPr>
        <w:t>Local consensus process</w:t>
      </w:r>
    </w:p>
    <w:p w14:paraId="5E573271" w14:textId="77777777" w:rsidR="00422CCD" w:rsidRPr="00CF1591" w:rsidRDefault="00422CCD" w:rsidP="00422CCD">
      <w:pPr>
        <w:autoSpaceDE w:val="0"/>
        <w:autoSpaceDN w:val="0"/>
        <w:adjustRightInd w:val="0"/>
        <w:rPr>
          <w:rFonts w:ascii="Calibri" w:hAnsi="Calibri"/>
          <w:lang w:val="en-US"/>
        </w:rPr>
      </w:pPr>
      <w:r w:rsidRPr="00CF1591">
        <w:rPr>
          <w:rFonts w:ascii="Calibri" w:hAnsi="Calibri"/>
          <w:lang w:val="en-US"/>
        </w:rPr>
        <w:t>Formal or informal local consensus processes, for example agreeing a clinical protocol to manage a patient group, adapting a guideline for a local health system or promoting the implementation of guidelines. Including local development of guidelines, care protocols, decision supports and making commitment to follow guidelines/other clinical decision rules.</w:t>
      </w:r>
    </w:p>
    <w:p w14:paraId="5236F343" w14:textId="77777777" w:rsidR="00422CCD" w:rsidRPr="00CF1591" w:rsidRDefault="00422CCD" w:rsidP="00422CCD">
      <w:pPr>
        <w:autoSpaceDE w:val="0"/>
        <w:autoSpaceDN w:val="0"/>
        <w:adjustRightInd w:val="0"/>
        <w:rPr>
          <w:rFonts w:ascii="Calibri" w:hAnsi="Calibri"/>
          <w:b/>
          <w:lang w:val="en-US"/>
        </w:rPr>
      </w:pPr>
    </w:p>
    <w:p w14:paraId="211F45DB" w14:textId="77777777" w:rsidR="00422CCD" w:rsidRPr="00CF1591" w:rsidRDefault="00422CCD" w:rsidP="00422CCD">
      <w:pPr>
        <w:autoSpaceDE w:val="0"/>
        <w:autoSpaceDN w:val="0"/>
        <w:adjustRightInd w:val="0"/>
        <w:rPr>
          <w:rFonts w:ascii="Calibri" w:hAnsi="Calibri"/>
          <w:b/>
          <w:lang w:val="en-US"/>
        </w:rPr>
      </w:pPr>
      <w:r w:rsidRPr="00CF1591">
        <w:rPr>
          <w:rFonts w:ascii="Calibri" w:hAnsi="Calibri"/>
          <w:b/>
          <w:lang w:val="en-US"/>
        </w:rPr>
        <w:t>Local opinion leaders</w:t>
      </w:r>
    </w:p>
    <w:p w14:paraId="47C7A758" w14:textId="77777777" w:rsidR="00422CCD" w:rsidRPr="00CF1591" w:rsidRDefault="00422CCD" w:rsidP="00422CCD">
      <w:pPr>
        <w:autoSpaceDE w:val="0"/>
        <w:autoSpaceDN w:val="0"/>
        <w:adjustRightInd w:val="0"/>
        <w:rPr>
          <w:lang w:val="en-US"/>
        </w:rPr>
      </w:pPr>
      <w:r w:rsidRPr="00CF1591">
        <w:rPr>
          <w:lang w:val="en-US"/>
        </w:rPr>
        <w:t>The identification and use of identifiable local opinion leaders to promote good clinical practice.</w:t>
      </w:r>
    </w:p>
    <w:p w14:paraId="516BAB11" w14:textId="77777777" w:rsidR="00422CCD" w:rsidRPr="00CF1591" w:rsidRDefault="00422CCD" w:rsidP="00422CCD">
      <w:pPr>
        <w:autoSpaceDE w:val="0"/>
        <w:autoSpaceDN w:val="0"/>
        <w:adjustRightInd w:val="0"/>
        <w:rPr>
          <w:lang w:val="en-US"/>
        </w:rPr>
      </w:pPr>
    </w:p>
    <w:p w14:paraId="2A8E8BAF" w14:textId="77777777" w:rsidR="00422CCD" w:rsidRPr="00CF1591" w:rsidRDefault="00422CCD" w:rsidP="00422CCD">
      <w:pPr>
        <w:autoSpaceDE w:val="0"/>
        <w:autoSpaceDN w:val="0"/>
        <w:adjustRightInd w:val="0"/>
        <w:rPr>
          <w:rFonts w:ascii="Calibri" w:hAnsi="Calibri"/>
          <w:b/>
          <w:lang w:val="en-US"/>
        </w:rPr>
      </w:pPr>
      <w:r w:rsidRPr="00CF1591">
        <w:rPr>
          <w:rFonts w:ascii="Calibri" w:hAnsi="Calibri"/>
          <w:b/>
          <w:lang w:val="en-US"/>
        </w:rPr>
        <w:t>Managerial supervision</w:t>
      </w:r>
    </w:p>
    <w:p w14:paraId="3991909E" w14:textId="77777777" w:rsidR="00422CCD" w:rsidRPr="00CF1591" w:rsidRDefault="00422CCD" w:rsidP="00422CCD">
      <w:pPr>
        <w:autoSpaceDE w:val="0"/>
        <w:autoSpaceDN w:val="0"/>
        <w:adjustRightInd w:val="0"/>
        <w:rPr>
          <w:rFonts w:ascii="Calibri" w:hAnsi="Calibri"/>
          <w:lang w:val="en-US"/>
        </w:rPr>
      </w:pPr>
      <w:r w:rsidRPr="00CF1591">
        <w:rPr>
          <w:rFonts w:ascii="Calibri" w:hAnsi="Calibri"/>
          <w:lang w:val="en-US"/>
        </w:rPr>
        <w:t>Supervision visits by health staff. Including consultation.</w:t>
      </w:r>
    </w:p>
    <w:p w14:paraId="2065C149" w14:textId="77777777" w:rsidR="00422CCD" w:rsidRPr="00CF1591" w:rsidRDefault="00422CCD" w:rsidP="00422CCD">
      <w:pPr>
        <w:autoSpaceDE w:val="0"/>
        <w:autoSpaceDN w:val="0"/>
        <w:adjustRightInd w:val="0"/>
        <w:rPr>
          <w:rFonts w:ascii="Calibri" w:hAnsi="Calibri"/>
          <w:b/>
          <w:lang w:val="en-US"/>
        </w:rPr>
      </w:pPr>
    </w:p>
    <w:p w14:paraId="7AB4D6B9" w14:textId="77777777" w:rsidR="00422CCD" w:rsidRPr="00CF1591" w:rsidRDefault="00422CCD" w:rsidP="00422CCD">
      <w:pPr>
        <w:autoSpaceDE w:val="0"/>
        <w:autoSpaceDN w:val="0"/>
        <w:adjustRightInd w:val="0"/>
        <w:rPr>
          <w:rFonts w:ascii="Calibri" w:hAnsi="Calibri"/>
          <w:b/>
          <w:lang w:val="en-US"/>
        </w:rPr>
      </w:pPr>
      <w:r w:rsidRPr="00CF1591">
        <w:rPr>
          <w:rFonts w:ascii="Calibri" w:hAnsi="Calibri"/>
          <w:b/>
          <w:lang w:val="en-US"/>
        </w:rPr>
        <w:t>Patient-mediated interventions</w:t>
      </w:r>
    </w:p>
    <w:p w14:paraId="069E62CF" w14:textId="77777777" w:rsidR="00422CCD" w:rsidRPr="00CF1591" w:rsidRDefault="00422CCD" w:rsidP="00422CCD">
      <w:pPr>
        <w:autoSpaceDE w:val="0"/>
        <w:autoSpaceDN w:val="0"/>
        <w:adjustRightInd w:val="0"/>
        <w:rPr>
          <w:rFonts w:ascii="Calibri" w:hAnsi="Calibri"/>
          <w:lang w:val="en-US"/>
        </w:rPr>
      </w:pPr>
      <w:r w:rsidRPr="00CF1591">
        <w:rPr>
          <w:rFonts w:ascii="Calibri" w:hAnsi="Calibri"/>
          <w:lang w:val="en-US"/>
        </w:rPr>
        <w:t>Any intervention aimed at changing the performance of healthcare professionals through interactions with patients, or information provided by patients. Including Shared decision making.</w:t>
      </w:r>
    </w:p>
    <w:p w14:paraId="05414C63" w14:textId="77777777" w:rsidR="00422CCD" w:rsidRPr="00CF1591" w:rsidRDefault="00422CCD" w:rsidP="00422CCD">
      <w:pPr>
        <w:autoSpaceDE w:val="0"/>
        <w:autoSpaceDN w:val="0"/>
        <w:adjustRightInd w:val="0"/>
        <w:rPr>
          <w:rFonts w:ascii="Calibri" w:hAnsi="Calibri"/>
          <w:b/>
          <w:lang w:val="en-US"/>
        </w:rPr>
      </w:pPr>
    </w:p>
    <w:p w14:paraId="351C1362" w14:textId="77777777" w:rsidR="00422CCD" w:rsidRPr="00CF1591" w:rsidRDefault="00422CCD" w:rsidP="00422CCD">
      <w:pPr>
        <w:autoSpaceDE w:val="0"/>
        <w:autoSpaceDN w:val="0"/>
        <w:adjustRightInd w:val="0"/>
        <w:rPr>
          <w:rFonts w:ascii="Calibri" w:hAnsi="Calibri"/>
          <w:b/>
          <w:lang w:val="en-US"/>
        </w:rPr>
      </w:pPr>
      <w:r w:rsidRPr="00CF1591">
        <w:rPr>
          <w:rFonts w:ascii="Calibri" w:hAnsi="Calibri"/>
          <w:b/>
          <w:lang w:val="en-US"/>
        </w:rPr>
        <w:t>Public release of performance data</w:t>
      </w:r>
    </w:p>
    <w:p w14:paraId="112070E5" w14:textId="77777777" w:rsidR="00422CCD" w:rsidRPr="00CF1591" w:rsidRDefault="00422CCD" w:rsidP="00422CCD">
      <w:pPr>
        <w:autoSpaceDE w:val="0"/>
        <w:autoSpaceDN w:val="0"/>
        <w:adjustRightInd w:val="0"/>
        <w:rPr>
          <w:rFonts w:ascii="Calibri" w:hAnsi="Calibri"/>
          <w:lang w:val="en-US"/>
        </w:rPr>
      </w:pPr>
      <w:r w:rsidRPr="00CF1591">
        <w:rPr>
          <w:rFonts w:ascii="Calibri" w:hAnsi="Calibri"/>
          <w:lang w:val="en-US"/>
        </w:rPr>
        <w:t>Informing the public about healthcare providers by the release of performance data in written or electronic form.</w:t>
      </w:r>
    </w:p>
    <w:p w14:paraId="2497AFF3" w14:textId="77777777" w:rsidR="00422CCD" w:rsidRPr="00CF1591" w:rsidRDefault="00422CCD" w:rsidP="00422CCD">
      <w:pPr>
        <w:autoSpaceDE w:val="0"/>
        <w:autoSpaceDN w:val="0"/>
        <w:adjustRightInd w:val="0"/>
        <w:rPr>
          <w:rFonts w:ascii="Calibri" w:hAnsi="Calibri"/>
          <w:lang w:val="en-US"/>
        </w:rPr>
      </w:pPr>
    </w:p>
    <w:p w14:paraId="6A45BDF0" w14:textId="77777777" w:rsidR="00422CCD" w:rsidRPr="00CF1591" w:rsidRDefault="00422CCD" w:rsidP="00422CCD">
      <w:pPr>
        <w:autoSpaceDE w:val="0"/>
        <w:autoSpaceDN w:val="0"/>
        <w:adjustRightInd w:val="0"/>
        <w:rPr>
          <w:rFonts w:ascii="Calibri" w:hAnsi="Calibri"/>
          <w:b/>
          <w:lang w:val="en-US"/>
        </w:rPr>
      </w:pPr>
      <w:r w:rsidRPr="00CF1591">
        <w:rPr>
          <w:rFonts w:ascii="Calibri" w:hAnsi="Calibri"/>
          <w:b/>
          <w:lang w:val="en-US"/>
        </w:rPr>
        <w:t>Routine patient-reported outcome measures</w:t>
      </w:r>
    </w:p>
    <w:p w14:paraId="10949707" w14:textId="77777777" w:rsidR="00422CCD" w:rsidRPr="00CF1591" w:rsidRDefault="00422CCD" w:rsidP="00422CCD">
      <w:pPr>
        <w:autoSpaceDE w:val="0"/>
        <w:autoSpaceDN w:val="0"/>
        <w:adjustRightInd w:val="0"/>
        <w:rPr>
          <w:rFonts w:ascii="Calibri" w:hAnsi="Calibri"/>
          <w:lang w:val="en-US"/>
        </w:rPr>
      </w:pPr>
      <w:r w:rsidRPr="00CF1591">
        <w:rPr>
          <w:rFonts w:ascii="Calibri" w:hAnsi="Calibri"/>
          <w:lang w:val="en-US"/>
        </w:rPr>
        <w:t>Routine administration and reporting of patient-reported outcome measures to providers and/or patients.</w:t>
      </w:r>
    </w:p>
    <w:p w14:paraId="2F729E2B" w14:textId="77777777" w:rsidR="00422CCD" w:rsidRPr="00CF1591" w:rsidRDefault="00422CCD" w:rsidP="00422CCD">
      <w:pPr>
        <w:autoSpaceDE w:val="0"/>
        <w:autoSpaceDN w:val="0"/>
        <w:adjustRightInd w:val="0"/>
        <w:rPr>
          <w:rFonts w:ascii="Calibri" w:hAnsi="Calibri"/>
          <w:lang w:val="en-US"/>
        </w:rPr>
      </w:pPr>
    </w:p>
    <w:p w14:paraId="5B2A9B0E" w14:textId="77777777" w:rsidR="00422CCD" w:rsidRPr="00CF1591" w:rsidRDefault="00422CCD" w:rsidP="00422CCD">
      <w:pPr>
        <w:autoSpaceDE w:val="0"/>
        <w:autoSpaceDN w:val="0"/>
        <w:adjustRightInd w:val="0"/>
        <w:rPr>
          <w:rFonts w:ascii="Calibri" w:hAnsi="Calibri"/>
          <w:b/>
          <w:lang w:val="en-US"/>
        </w:rPr>
      </w:pPr>
      <w:r w:rsidRPr="00CF1591">
        <w:rPr>
          <w:rFonts w:ascii="Calibri" w:hAnsi="Calibri"/>
          <w:b/>
          <w:lang w:val="en-US"/>
        </w:rPr>
        <w:t>Financial incentives for health care workers</w:t>
      </w:r>
    </w:p>
    <w:p w14:paraId="0C8B5436" w14:textId="77777777" w:rsidR="00422CCD" w:rsidRPr="00CF1591" w:rsidRDefault="00422CCD" w:rsidP="00422CCD">
      <w:pPr>
        <w:autoSpaceDE w:val="0"/>
        <w:autoSpaceDN w:val="0"/>
        <w:adjustRightInd w:val="0"/>
        <w:rPr>
          <w:rFonts w:ascii="Calibri" w:hAnsi="Calibri"/>
          <w:lang w:val="en-US"/>
        </w:rPr>
      </w:pPr>
      <w:r w:rsidRPr="00CF1591">
        <w:rPr>
          <w:rFonts w:ascii="Calibri" w:hAnsi="Calibri"/>
          <w:lang w:val="en-US"/>
        </w:rPr>
        <w:t>Money or financial benefit given to health care workers to prompt certain action.</w:t>
      </w:r>
    </w:p>
    <w:p w14:paraId="582A5336" w14:textId="77777777" w:rsidR="00422CCD" w:rsidRPr="00CF1591" w:rsidRDefault="00422CCD" w:rsidP="00422CCD">
      <w:pPr>
        <w:autoSpaceDE w:val="0"/>
        <w:autoSpaceDN w:val="0"/>
        <w:adjustRightInd w:val="0"/>
        <w:rPr>
          <w:rFonts w:ascii="Calibri" w:hAnsi="Calibri"/>
          <w:b/>
          <w:lang w:val="en-US"/>
        </w:rPr>
      </w:pPr>
    </w:p>
    <w:p w14:paraId="6AC73646" w14:textId="77777777" w:rsidR="00422CCD" w:rsidRPr="00CF1591" w:rsidRDefault="00422CCD" w:rsidP="00422CCD">
      <w:pPr>
        <w:autoSpaceDE w:val="0"/>
        <w:autoSpaceDN w:val="0"/>
        <w:adjustRightInd w:val="0"/>
        <w:rPr>
          <w:rFonts w:ascii="Calibri" w:hAnsi="Calibri"/>
          <w:b/>
          <w:lang w:val="en-US"/>
        </w:rPr>
      </w:pPr>
      <w:r w:rsidRPr="00CF1591">
        <w:rPr>
          <w:rFonts w:ascii="Calibri" w:hAnsi="Calibri"/>
          <w:b/>
          <w:lang w:val="en-US"/>
        </w:rPr>
        <w:t>Financial incentives for patients</w:t>
      </w:r>
    </w:p>
    <w:p w14:paraId="777A1EB3" w14:textId="77777777" w:rsidR="00422CCD" w:rsidRPr="00CF1591" w:rsidRDefault="00422CCD" w:rsidP="00422CCD">
      <w:pPr>
        <w:autoSpaceDE w:val="0"/>
        <w:autoSpaceDN w:val="0"/>
        <w:adjustRightInd w:val="0"/>
        <w:rPr>
          <w:rFonts w:ascii="Calibri" w:hAnsi="Calibri"/>
          <w:lang w:val="en-US"/>
        </w:rPr>
      </w:pPr>
      <w:r w:rsidRPr="00CF1591">
        <w:rPr>
          <w:rFonts w:ascii="Calibri" w:hAnsi="Calibri"/>
          <w:lang w:val="en-US"/>
        </w:rPr>
        <w:t>Money or other financial benefit given to patients to prompt certain action.</w:t>
      </w:r>
    </w:p>
    <w:p w14:paraId="22F8C239" w14:textId="77777777" w:rsidR="00422CCD" w:rsidRPr="00CF1591" w:rsidRDefault="00422CCD" w:rsidP="00422CCD">
      <w:pPr>
        <w:autoSpaceDE w:val="0"/>
        <w:autoSpaceDN w:val="0"/>
        <w:adjustRightInd w:val="0"/>
        <w:rPr>
          <w:rFonts w:ascii="Calibri" w:hAnsi="Calibri"/>
          <w:b/>
          <w:lang w:val="en-US"/>
        </w:rPr>
      </w:pPr>
    </w:p>
    <w:p w14:paraId="3C3FCEA9" w14:textId="77777777" w:rsidR="00422CCD" w:rsidRPr="00CF1591" w:rsidRDefault="00422CCD" w:rsidP="00422CCD">
      <w:pPr>
        <w:autoSpaceDE w:val="0"/>
        <w:autoSpaceDN w:val="0"/>
        <w:adjustRightInd w:val="0"/>
        <w:rPr>
          <w:rFonts w:ascii="Calibri" w:hAnsi="Calibri"/>
          <w:b/>
          <w:lang w:val="en-US"/>
        </w:rPr>
      </w:pPr>
      <w:r w:rsidRPr="00CF1591">
        <w:rPr>
          <w:rFonts w:ascii="Calibri" w:hAnsi="Calibri"/>
          <w:b/>
          <w:lang w:val="en-US"/>
        </w:rPr>
        <w:t>Tailored interventions</w:t>
      </w:r>
    </w:p>
    <w:p w14:paraId="76E80DF2" w14:textId="77777777" w:rsidR="00422CCD" w:rsidRPr="00CF1591" w:rsidRDefault="00422CCD" w:rsidP="00422CCD">
      <w:pPr>
        <w:autoSpaceDE w:val="0"/>
        <w:autoSpaceDN w:val="0"/>
        <w:adjustRightInd w:val="0"/>
        <w:rPr>
          <w:rFonts w:ascii="Calibri" w:hAnsi="Calibri"/>
          <w:lang w:val="en-US"/>
        </w:rPr>
      </w:pPr>
      <w:r w:rsidRPr="00CF1591">
        <w:rPr>
          <w:rFonts w:ascii="Calibri" w:hAnsi="Calibri"/>
          <w:lang w:val="en-US"/>
        </w:rPr>
        <w:t>Context has been considered in planning and selection of the interventions used. Including assessment of barriers to change and including participants from the intervention target group in planning the intervention.</w:t>
      </w:r>
    </w:p>
    <w:p w14:paraId="3F6BF3FA" w14:textId="77777777" w:rsidR="00422CCD" w:rsidRPr="00CF1591" w:rsidRDefault="00422CCD" w:rsidP="00422CCD">
      <w:pPr>
        <w:autoSpaceDE w:val="0"/>
        <w:autoSpaceDN w:val="0"/>
        <w:adjustRightInd w:val="0"/>
        <w:rPr>
          <w:rFonts w:ascii="Calibri" w:hAnsi="Calibri"/>
          <w:b/>
          <w:lang w:val="en-US"/>
        </w:rPr>
      </w:pPr>
    </w:p>
    <w:p w14:paraId="2B7B896D" w14:textId="77777777" w:rsidR="00422CCD" w:rsidRPr="00CF1591" w:rsidRDefault="00422CCD" w:rsidP="00422CCD">
      <w:pPr>
        <w:autoSpaceDE w:val="0"/>
        <w:autoSpaceDN w:val="0"/>
        <w:adjustRightInd w:val="0"/>
        <w:rPr>
          <w:rFonts w:ascii="Calibri" w:hAnsi="Calibri"/>
          <w:b/>
          <w:lang w:val="en-US"/>
        </w:rPr>
      </w:pPr>
      <w:r w:rsidRPr="00CF1591">
        <w:rPr>
          <w:rFonts w:ascii="Calibri" w:hAnsi="Calibri"/>
          <w:b/>
          <w:lang w:val="en-US"/>
        </w:rPr>
        <w:t>Educational meetings for patients</w:t>
      </w:r>
    </w:p>
    <w:p w14:paraId="3D53D8A4" w14:textId="77777777" w:rsidR="00422CCD" w:rsidRPr="00CF1591" w:rsidRDefault="00422CCD" w:rsidP="00422CCD">
      <w:pPr>
        <w:autoSpaceDE w:val="0"/>
        <w:autoSpaceDN w:val="0"/>
        <w:adjustRightInd w:val="0"/>
        <w:rPr>
          <w:rFonts w:ascii="Calibri" w:hAnsi="Calibri"/>
          <w:lang w:val="en-US"/>
        </w:rPr>
      </w:pPr>
      <w:r w:rsidRPr="00CF1591">
        <w:rPr>
          <w:rFonts w:ascii="Calibri" w:hAnsi="Calibri"/>
          <w:lang w:val="en-US"/>
        </w:rPr>
        <w:t>Individual or group educational sessions for patients. In educational meetings, participants have possibility to interact with the educator.</w:t>
      </w:r>
    </w:p>
    <w:p w14:paraId="54AACE57" w14:textId="77777777" w:rsidR="00422CCD" w:rsidRPr="00CF1591" w:rsidRDefault="00422CCD" w:rsidP="00422CCD">
      <w:pPr>
        <w:autoSpaceDE w:val="0"/>
        <w:autoSpaceDN w:val="0"/>
        <w:adjustRightInd w:val="0"/>
        <w:rPr>
          <w:rFonts w:ascii="Calibri" w:hAnsi="Calibri"/>
          <w:lang w:val="en-US"/>
        </w:rPr>
      </w:pPr>
    </w:p>
    <w:p w14:paraId="37BAB360" w14:textId="77777777" w:rsidR="00422CCD" w:rsidRPr="00CF1591" w:rsidRDefault="00422CCD" w:rsidP="00422CCD">
      <w:pPr>
        <w:autoSpaceDE w:val="0"/>
        <w:autoSpaceDN w:val="0"/>
        <w:adjustRightInd w:val="0"/>
        <w:rPr>
          <w:rFonts w:ascii="Calibri" w:hAnsi="Calibri"/>
          <w:b/>
          <w:lang w:val="en-US"/>
        </w:rPr>
      </w:pPr>
      <w:r w:rsidRPr="00CF1591">
        <w:rPr>
          <w:rFonts w:ascii="Calibri" w:hAnsi="Calibri"/>
          <w:b/>
          <w:lang w:val="en-US"/>
        </w:rPr>
        <w:t>Educational material for patients</w:t>
      </w:r>
    </w:p>
    <w:p w14:paraId="10804691" w14:textId="77777777" w:rsidR="00422CCD" w:rsidRDefault="00422CCD" w:rsidP="00422CCD">
      <w:pPr>
        <w:autoSpaceDE w:val="0"/>
        <w:autoSpaceDN w:val="0"/>
        <w:adjustRightInd w:val="0"/>
        <w:rPr>
          <w:rFonts w:ascii="Calibri" w:hAnsi="Calibri"/>
          <w:lang w:val="en-US"/>
        </w:rPr>
      </w:pPr>
      <w:r w:rsidRPr="00CF1591">
        <w:rPr>
          <w:rFonts w:ascii="Calibri" w:hAnsi="Calibri"/>
          <w:lang w:val="en-US"/>
        </w:rPr>
        <w:lastRenderedPageBreak/>
        <w:t>Educational material distributed/shown to patients. Including web-based and paper-based material.</w:t>
      </w:r>
    </w:p>
    <w:p w14:paraId="241FD03D" w14:textId="77777777" w:rsidR="00422CCD" w:rsidRDefault="00422CCD" w:rsidP="00422CCD">
      <w:pPr>
        <w:autoSpaceDE w:val="0"/>
        <w:autoSpaceDN w:val="0"/>
        <w:adjustRightInd w:val="0"/>
        <w:rPr>
          <w:rFonts w:ascii="Calibri" w:hAnsi="Calibri"/>
          <w:lang w:val="en-US"/>
        </w:rPr>
      </w:pPr>
    </w:p>
    <w:p w14:paraId="73848A66" w14:textId="77777777" w:rsidR="00422CCD" w:rsidRDefault="00422CCD" w:rsidP="00422CCD">
      <w:pPr>
        <w:autoSpaceDE w:val="0"/>
        <w:autoSpaceDN w:val="0"/>
        <w:adjustRightInd w:val="0"/>
        <w:rPr>
          <w:rFonts w:ascii="Calibri" w:hAnsi="Calibri"/>
          <w:b/>
          <w:lang w:val="en-US"/>
        </w:rPr>
      </w:pPr>
      <w:r>
        <w:rPr>
          <w:rFonts w:ascii="Calibri" w:hAnsi="Calibri"/>
          <w:b/>
          <w:lang w:val="en-US"/>
        </w:rPr>
        <w:t>Public interventions</w:t>
      </w:r>
    </w:p>
    <w:p w14:paraId="3EBE6DE1" w14:textId="77777777" w:rsidR="00422CCD" w:rsidRPr="00F4645E" w:rsidRDefault="00422CCD" w:rsidP="00422CCD">
      <w:pPr>
        <w:autoSpaceDE w:val="0"/>
        <w:autoSpaceDN w:val="0"/>
        <w:adjustRightInd w:val="0"/>
        <w:rPr>
          <w:rFonts w:ascii="Calibri" w:hAnsi="Calibri"/>
          <w:lang w:val="en-US"/>
        </w:rPr>
      </w:pPr>
      <w:r>
        <w:rPr>
          <w:rFonts w:ascii="Calibri" w:hAnsi="Calibri"/>
          <w:lang w:val="en-US"/>
        </w:rPr>
        <w:t>Interventions targeted to public. Including TV or radio campaigns.</w:t>
      </w:r>
    </w:p>
    <w:p w14:paraId="2A8A3046" w14:textId="77777777" w:rsidR="00422CCD" w:rsidRPr="00422CCD" w:rsidRDefault="00422CCD" w:rsidP="00422CCD">
      <w:pPr>
        <w:rPr>
          <w:lang w:val="en-US"/>
        </w:rPr>
      </w:pPr>
    </w:p>
    <w:p w14:paraId="126AB79D" w14:textId="77777777" w:rsidR="00531912" w:rsidRPr="00422CCD" w:rsidRDefault="00531912" w:rsidP="00531912">
      <w:pPr>
        <w:rPr>
          <w:lang w:val="en-US"/>
        </w:rPr>
      </w:pPr>
    </w:p>
    <w:p w14:paraId="4F60C3F3" w14:textId="36C17069" w:rsidR="003852CD" w:rsidRPr="003852CD" w:rsidRDefault="003852CD" w:rsidP="00531912">
      <w:pPr>
        <w:rPr>
          <w:rFonts w:ascii="Source Sans Pro" w:hAnsi="Source Sans Pro"/>
          <w:color w:val="333333"/>
          <w:sz w:val="28"/>
          <w:szCs w:val="28"/>
          <w:lang w:val="en-US"/>
        </w:rPr>
      </w:pPr>
      <w:r w:rsidRPr="003852CD">
        <w:rPr>
          <w:rFonts w:ascii="Calibri" w:hAnsi="Calibri"/>
          <w:b/>
          <w:sz w:val="28"/>
          <w:szCs w:val="28"/>
          <w:lang w:val="en-US"/>
        </w:rPr>
        <w:t xml:space="preserve">eMethods </w:t>
      </w:r>
      <w:r w:rsidR="00D021FD">
        <w:rPr>
          <w:rFonts w:ascii="Calibri" w:hAnsi="Calibri"/>
          <w:b/>
          <w:sz w:val="28"/>
          <w:szCs w:val="28"/>
          <w:lang w:val="en-US"/>
        </w:rPr>
        <w:t>4</w:t>
      </w:r>
      <w:r w:rsidRPr="003852CD">
        <w:rPr>
          <w:rFonts w:ascii="Calibri" w:hAnsi="Calibri"/>
          <w:b/>
          <w:sz w:val="28"/>
          <w:szCs w:val="28"/>
          <w:lang w:val="en-US"/>
        </w:rPr>
        <w:t xml:space="preserve">. </w:t>
      </w:r>
      <w:r w:rsidRPr="003852CD">
        <w:rPr>
          <w:rFonts w:ascii="Calibri" w:hAnsi="Calibri"/>
          <w:sz w:val="28"/>
          <w:szCs w:val="28"/>
          <w:lang w:val="en-US"/>
        </w:rPr>
        <w:t>Rationale for refined intervention taxonomy</w:t>
      </w:r>
      <w:r w:rsidRPr="003852CD">
        <w:rPr>
          <w:rFonts w:ascii="Source Sans Pro" w:hAnsi="Source Sans Pro"/>
          <w:color w:val="333333"/>
          <w:sz w:val="28"/>
          <w:szCs w:val="28"/>
          <w:lang w:val="en-US"/>
        </w:rPr>
        <w:t xml:space="preserve"> </w:t>
      </w:r>
    </w:p>
    <w:p w14:paraId="1EC77FE7" w14:textId="3311DD3A" w:rsidR="00531912" w:rsidRDefault="00531912" w:rsidP="00531912">
      <w:pPr>
        <w:rPr>
          <w:rFonts w:ascii="Source Sans Pro" w:hAnsi="Source Sans Pro"/>
          <w:color w:val="333333"/>
          <w:lang w:val="en-US"/>
        </w:rPr>
      </w:pPr>
      <w:r w:rsidRPr="00B82DC8">
        <w:rPr>
          <w:rFonts w:ascii="Source Sans Pro" w:hAnsi="Source Sans Pro"/>
          <w:color w:val="333333"/>
          <w:lang w:val="en-US"/>
        </w:rPr>
        <w:t>The EPOC taxonomy of health systems interventions</w:t>
      </w:r>
      <w:r>
        <w:rPr>
          <w:rFonts w:ascii="Source Sans Pro" w:hAnsi="Source Sans Pro"/>
          <w:color w:val="333333"/>
          <w:lang w:val="en-US"/>
        </w:rPr>
        <w:t xml:space="preserve"> have lastly been revised in 2015. The research area of de-implementation has evolved a lot in recent years and the revised taxonomy does not represent well the current de-implementation research literature. All interventions can’t be categorized with the current taxonomy and some interventions unnecessarily overlap in several categories. </w:t>
      </w:r>
    </w:p>
    <w:p w14:paraId="66828D91" w14:textId="77777777" w:rsidR="00531912" w:rsidRDefault="00531912" w:rsidP="00531912">
      <w:pPr>
        <w:rPr>
          <w:lang w:val="en-US"/>
        </w:rPr>
      </w:pPr>
    </w:p>
    <w:p w14:paraId="397DECE9" w14:textId="77777777" w:rsidR="00531912" w:rsidRPr="00B82DC8" w:rsidRDefault="00531912" w:rsidP="00531912">
      <w:pPr>
        <w:rPr>
          <w:b/>
          <w:lang w:val="en-US"/>
        </w:rPr>
      </w:pPr>
      <w:r>
        <w:rPr>
          <w:b/>
          <w:lang w:val="en-US"/>
        </w:rPr>
        <w:t>Aim</w:t>
      </w:r>
    </w:p>
    <w:p w14:paraId="2EF67C70" w14:textId="2F4D93D0" w:rsidR="00531912" w:rsidRDefault="00531912" w:rsidP="00531912">
      <w:pPr>
        <w:rPr>
          <w:lang w:val="en-US"/>
        </w:rPr>
      </w:pPr>
      <w:r w:rsidRPr="00B82DC8">
        <w:rPr>
          <w:lang w:val="en-US"/>
        </w:rPr>
        <w:t>With the refined de-implementation intervention taxonomy</w:t>
      </w:r>
      <w:r w:rsidR="002E4DCF">
        <w:rPr>
          <w:lang w:val="en-US"/>
        </w:rPr>
        <w:t>,</w:t>
      </w:r>
      <w:r w:rsidRPr="00B82DC8">
        <w:rPr>
          <w:lang w:val="en-US"/>
        </w:rPr>
        <w:t xml:space="preserve"> we aim to provide categorization in a way that de-implementation interventions are comparable and comprehensively show the spectrum of intervention types that have been studied. To achieve this we 1)</w:t>
      </w:r>
      <w:r w:rsidR="002E4DCF">
        <w:rPr>
          <w:lang w:val="en-US"/>
        </w:rPr>
        <w:t xml:space="preserve"> </w:t>
      </w:r>
      <w:r w:rsidRPr="00B82DC8">
        <w:rPr>
          <w:lang w:val="en-US"/>
        </w:rPr>
        <w:t>eliminated unnecessary overlaps between intervention categories, 2)</w:t>
      </w:r>
      <w:r w:rsidR="00640035">
        <w:rPr>
          <w:lang w:val="en-US"/>
        </w:rPr>
        <w:t xml:space="preserve"> </w:t>
      </w:r>
      <w:r w:rsidRPr="00B82DC8">
        <w:rPr>
          <w:lang w:val="en-US"/>
        </w:rPr>
        <w:t>separated interventions to several categories if there were clear justifications to do so and 3)made clarifications to existing categories if they was not suitable to describe current de-implementation literature.</w:t>
      </w:r>
    </w:p>
    <w:p w14:paraId="4110ADB4" w14:textId="77777777" w:rsidR="00531912" w:rsidRDefault="00531912" w:rsidP="00531912">
      <w:pPr>
        <w:rPr>
          <w:lang w:val="en-US"/>
        </w:rPr>
      </w:pPr>
    </w:p>
    <w:p w14:paraId="37E4A423" w14:textId="77777777" w:rsidR="00531912" w:rsidRPr="00B82DC8" w:rsidRDefault="00531912" w:rsidP="00531912">
      <w:pPr>
        <w:rPr>
          <w:b/>
          <w:lang w:val="en-US"/>
        </w:rPr>
      </w:pPr>
      <w:r w:rsidRPr="00B82DC8">
        <w:rPr>
          <w:b/>
          <w:lang w:val="en-US"/>
        </w:rPr>
        <w:t>Combined categories</w:t>
      </w:r>
    </w:p>
    <w:p w14:paraId="5979B312" w14:textId="08FF48DD" w:rsidR="00531912" w:rsidRDefault="00531912" w:rsidP="00531912">
      <w:pPr>
        <w:rPr>
          <w:lang w:val="en-US"/>
        </w:rPr>
      </w:pPr>
      <w:r>
        <w:rPr>
          <w:lang w:val="en-US"/>
        </w:rPr>
        <w:t>The EPOC taxonomy had 4 categories for educational session interventions for health care staff: educational games, educational meetings, educational outreach visits (or academic detailing), interprofessional education. Although, educational games could also include other types of interventions than educational sessions, it is mostly included in educational sessions. After going assessing intervention types in our sample, major proportion of educational interventions</w:t>
      </w:r>
      <w:r w:rsidR="002E4DCF">
        <w:rPr>
          <w:lang w:val="en-US"/>
        </w:rPr>
        <w:t xml:space="preserve"> </w:t>
      </w:r>
      <w:r>
        <w:rPr>
          <w:lang w:val="en-US"/>
        </w:rPr>
        <w:t xml:space="preserve">(and components of interventions) could be categorized into both educational meetings and educational outreach visits. We also did not find any reason why specifically educational games or interprofessional education should be the intervention types that are separated from broader group of educational interventions. Educational interventions are very heterogenous group of interventions and separate taxonomy for educational implementation/de-implementation interventions would be justified. </w:t>
      </w:r>
    </w:p>
    <w:p w14:paraId="2CD7AA02" w14:textId="77777777" w:rsidR="00531912" w:rsidRDefault="00531912" w:rsidP="00531912">
      <w:pPr>
        <w:rPr>
          <w:lang w:val="en-US"/>
        </w:rPr>
      </w:pPr>
    </w:p>
    <w:p w14:paraId="68A1DADA" w14:textId="77777777" w:rsidR="00531912" w:rsidRDefault="00531912" w:rsidP="00531912">
      <w:pPr>
        <w:rPr>
          <w:lang w:val="en-US"/>
        </w:rPr>
      </w:pPr>
      <w:r>
        <w:rPr>
          <w:lang w:val="en-US"/>
        </w:rPr>
        <w:t xml:space="preserve">Considering reasons above, we decided to divide educational session interventions in 2 groups: one-on-one educational meetings and group educational meetings. This categorization was also used by Mazza et al. in their guideline implementation taxonomy (1) </w:t>
      </w:r>
    </w:p>
    <w:p w14:paraId="2455CC04" w14:textId="77777777" w:rsidR="00531912" w:rsidRDefault="00531912" w:rsidP="00531912">
      <w:pPr>
        <w:rPr>
          <w:lang w:val="en-US"/>
        </w:rPr>
      </w:pPr>
    </w:p>
    <w:p w14:paraId="0A8081BC" w14:textId="77777777" w:rsidR="00531912" w:rsidRDefault="00531912" w:rsidP="00531912">
      <w:pPr>
        <w:rPr>
          <w:lang w:val="en-US"/>
        </w:rPr>
      </w:pPr>
      <w:r w:rsidRPr="00B82DC8">
        <w:rPr>
          <w:lang w:val="en-US"/>
        </w:rPr>
        <w:t xml:space="preserve">Reminders </w:t>
      </w:r>
      <w:r>
        <w:rPr>
          <w:lang w:val="en-US"/>
        </w:rPr>
        <w:t>category were also very heterogenous group. It could be separated into 2 different groups: decision supports and alerts(reminders). Interventions in which decision support are once distributed differ fundamentally from intervention types where systematic alerts prompt health care workers to certain decision when prespecified clinical incidents emerge. “clinical incident reporting” was included in alert category. It was rarely used and we considered the idea to be very close to “alert” type of interventions.</w:t>
      </w:r>
    </w:p>
    <w:p w14:paraId="7EFDB953" w14:textId="77777777" w:rsidR="00531912" w:rsidRDefault="00531912" w:rsidP="00531912">
      <w:pPr>
        <w:rPr>
          <w:lang w:val="en-US"/>
        </w:rPr>
      </w:pPr>
    </w:p>
    <w:p w14:paraId="66BB8F8C" w14:textId="77777777" w:rsidR="00531912" w:rsidRDefault="00531912" w:rsidP="00531912">
      <w:pPr>
        <w:rPr>
          <w:lang w:val="en-US"/>
        </w:rPr>
      </w:pPr>
      <w:r>
        <w:rPr>
          <w:lang w:val="en-US"/>
        </w:rPr>
        <w:t xml:space="preserve">“Monitoring the performance of the delivery of healthcare” was combined with audit and feedback because it unnecessarily overlaps with “audit and feedback” category and was not used as separate category in our sample. This could be more useful with more specified definition, but it was not relevant in our sample. </w:t>
      </w:r>
    </w:p>
    <w:p w14:paraId="447EEB5D" w14:textId="77777777" w:rsidR="00531912" w:rsidRDefault="00531912" w:rsidP="00531912">
      <w:pPr>
        <w:rPr>
          <w:lang w:val="en-US"/>
        </w:rPr>
      </w:pPr>
    </w:p>
    <w:p w14:paraId="54183224" w14:textId="61DEFC4C" w:rsidR="00531912" w:rsidRDefault="002E4DCF" w:rsidP="00531912">
      <w:pPr>
        <w:rPr>
          <w:b/>
          <w:lang w:val="en-US"/>
        </w:rPr>
      </w:pPr>
      <w:r>
        <w:rPr>
          <w:b/>
          <w:lang w:val="en-US"/>
        </w:rPr>
        <w:t>Updated Definitions</w:t>
      </w:r>
    </w:p>
    <w:p w14:paraId="3F48635F" w14:textId="77777777" w:rsidR="00531912" w:rsidRDefault="00531912" w:rsidP="00531912">
      <w:pPr>
        <w:rPr>
          <w:lang w:val="en-US"/>
        </w:rPr>
      </w:pPr>
      <w:r>
        <w:rPr>
          <w:lang w:val="en-US"/>
        </w:rPr>
        <w:t xml:space="preserve">Definition of “patient-mediated interventions” we updated to only include interventions were information were provided by patients or interactions with patients were promoted. </w:t>
      </w:r>
    </w:p>
    <w:p w14:paraId="57191A9D" w14:textId="77777777" w:rsidR="00531912" w:rsidRDefault="00531912" w:rsidP="00531912">
      <w:pPr>
        <w:rPr>
          <w:lang w:val="en-US"/>
        </w:rPr>
      </w:pPr>
    </w:p>
    <w:p w14:paraId="791ED079" w14:textId="77777777" w:rsidR="00531912" w:rsidRDefault="00531912" w:rsidP="00531912">
      <w:pPr>
        <w:rPr>
          <w:lang w:val="en-US"/>
        </w:rPr>
      </w:pPr>
      <w:r>
        <w:rPr>
          <w:lang w:val="en-US"/>
        </w:rPr>
        <w:t>We updated “managerial supervision” to include any type of consultation interventions.</w:t>
      </w:r>
    </w:p>
    <w:p w14:paraId="2E30B130" w14:textId="77777777" w:rsidR="00531912" w:rsidRDefault="00531912" w:rsidP="00531912">
      <w:pPr>
        <w:rPr>
          <w:lang w:val="en-US"/>
        </w:rPr>
      </w:pPr>
    </w:p>
    <w:p w14:paraId="1D0A4266" w14:textId="77777777" w:rsidR="00531912" w:rsidRDefault="00531912" w:rsidP="00531912">
      <w:pPr>
        <w:rPr>
          <w:rFonts w:ascii="Calibri" w:hAnsi="Calibri"/>
          <w:lang w:val="en-US"/>
        </w:rPr>
      </w:pPr>
      <w:r>
        <w:rPr>
          <w:lang w:val="en-US"/>
        </w:rPr>
        <w:t>We updated “Local consensus process” definition by adding “</w:t>
      </w:r>
      <w:r w:rsidRPr="00B82DC8">
        <w:rPr>
          <w:rFonts w:ascii="Calibri" w:hAnsi="Calibri"/>
          <w:lang w:val="en-US"/>
        </w:rPr>
        <w:t>Including local development of guidelines, care protocols, decision supports and making commitment to follow guidelines/other clinical decision rules.</w:t>
      </w:r>
      <w:r>
        <w:rPr>
          <w:rFonts w:ascii="Calibri" w:hAnsi="Calibri"/>
          <w:lang w:val="en-US"/>
        </w:rPr>
        <w:t>”</w:t>
      </w:r>
    </w:p>
    <w:p w14:paraId="2DA2133B" w14:textId="77777777" w:rsidR="00531912" w:rsidRDefault="00531912" w:rsidP="00531912">
      <w:pPr>
        <w:rPr>
          <w:lang w:val="en-US"/>
        </w:rPr>
      </w:pPr>
    </w:p>
    <w:p w14:paraId="3DC87F8C" w14:textId="77777777" w:rsidR="00531912" w:rsidRDefault="00531912" w:rsidP="00531912">
      <w:pPr>
        <w:rPr>
          <w:lang w:val="en-US"/>
        </w:rPr>
      </w:pPr>
      <w:r>
        <w:rPr>
          <w:lang w:val="en-US"/>
        </w:rPr>
        <w:t>We updated “tailored interventions” definition to “</w:t>
      </w:r>
      <w:r w:rsidRPr="00B82DC8">
        <w:rPr>
          <w:rFonts w:ascii="Calibri" w:hAnsi="Calibri"/>
          <w:lang w:val="en-US"/>
        </w:rPr>
        <w:t>Intervention context has been considered in planning and selection of the interventions used. Including assessment of barriers to change and including participants from the intervention target group in planning the</w:t>
      </w:r>
      <w:r>
        <w:rPr>
          <w:rFonts w:ascii="Calibri" w:hAnsi="Calibri"/>
          <w:lang w:val="en-US"/>
        </w:rPr>
        <w:t xml:space="preserve"> intervention”. Previous definition definition only included interventions where barriers for change was assessed. We did not consider this to be the only way of considering the context for the intervention and therefore the definition is now broader. </w:t>
      </w:r>
    </w:p>
    <w:p w14:paraId="4FD1F1C7" w14:textId="77777777" w:rsidR="00531912" w:rsidRDefault="00531912" w:rsidP="00531912">
      <w:pPr>
        <w:rPr>
          <w:lang w:val="en-US"/>
        </w:rPr>
      </w:pPr>
    </w:p>
    <w:p w14:paraId="443549EA" w14:textId="77777777" w:rsidR="00531912" w:rsidRPr="00B82DC8" w:rsidRDefault="00531912" w:rsidP="00531912">
      <w:pPr>
        <w:rPr>
          <w:b/>
          <w:lang w:val="en-US"/>
        </w:rPr>
      </w:pPr>
      <w:r w:rsidRPr="00B82DC8">
        <w:rPr>
          <w:b/>
          <w:lang w:val="en-US"/>
        </w:rPr>
        <w:t>New categories</w:t>
      </w:r>
    </w:p>
    <w:p w14:paraId="4B61820E" w14:textId="77777777" w:rsidR="00531912" w:rsidRDefault="00531912" w:rsidP="00531912">
      <w:pPr>
        <w:rPr>
          <w:lang w:val="en-US"/>
        </w:rPr>
      </w:pPr>
      <w:r>
        <w:rPr>
          <w:lang w:val="en-US"/>
        </w:rPr>
        <w:t>We added 2 new categories for interventions where educational content were provider to patients: educational meetings for patients and educational material for patients.</w:t>
      </w:r>
    </w:p>
    <w:p w14:paraId="76C72A13" w14:textId="77777777" w:rsidR="00531912" w:rsidRDefault="00531912" w:rsidP="00531912">
      <w:pPr>
        <w:rPr>
          <w:lang w:val="en-US"/>
        </w:rPr>
      </w:pPr>
      <w:r>
        <w:rPr>
          <w:lang w:val="en-US"/>
        </w:rPr>
        <w:t>We added 2 new categories for financial incentives: financial incentives for health care professionals and financial incentives for patients.</w:t>
      </w:r>
    </w:p>
    <w:p w14:paraId="51A616AF" w14:textId="77777777" w:rsidR="00531912" w:rsidRDefault="00531912" w:rsidP="00531912">
      <w:pPr>
        <w:rPr>
          <w:lang w:val="en-US"/>
        </w:rPr>
      </w:pPr>
    </w:p>
    <w:p w14:paraId="6BC1141C" w14:textId="77777777" w:rsidR="00531912" w:rsidRDefault="00531912" w:rsidP="00531912">
      <w:pPr>
        <w:rPr>
          <w:b/>
          <w:lang w:val="en-US"/>
        </w:rPr>
      </w:pPr>
      <w:r>
        <w:rPr>
          <w:b/>
          <w:lang w:val="en-US"/>
        </w:rPr>
        <w:t>Limitations</w:t>
      </w:r>
    </w:p>
    <w:p w14:paraId="692D5C86" w14:textId="77777777" w:rsidR="00531912" w:rsidRPr="00531912" w:rsidRDefault="00531912" w:rsidP="00531912">
      <w:pPr>
        <w:rPr>
          <w:lang w:val="en-US"/>
        </w:rPr>
      </w:pPr>
      <w:r>
        <w:rPr>
          <w:lang w:val="en-US"/>
        </w:rPr>
        <w:t xml:space="preserve">Our categorization represents the spectrum and types of the interventions in de-implementation literature, but it is not well suited to detailed analysis on what works in de-implementations as most categories include heterogenous types of interventions inside them. </w:t>
      </w:r>
    </w:p>
    <w:p w14:paraId="0C435F51" w14:textId="77777777" w:rsidR="00531912" w:rsidRPr="00B82DC8" w:rsidRDefault="00531912" w:rsidP="00531912">
      <w:pPr>
        <w:rPr>
          <w:lang w:val="en-US"/>
        </w:rPr>
      </w:pPr>
    </w:p>
    <w:p w14:paraId="0FAC69B7" w14:textId="77777777" w:rsidR="00531912" w:rsidRDefault="00531912" w:rsidP="00531912">
      <w:pPr>
        <w:rPr>
          <w:b/>
          <w:lang w:val="en-US"/>
        </w:rPr>
      </w:pPr>
    </w:p>
    <w:p w14:paraId="6460494D" w14:textId="77777777" w:rsidR="00531912" w:rsidRDefault="00531912" w:rsidP="00531912">
      <w:pPr>
        <w:rPr>
          <w:b/>
          <w:lang w:val="en-US"/>
        </w:rPr>
      </w:pPr>
    </w:p>
    <w:p w14:paraId="5CE8F52C" w14:textId="77777777" w:rsidR="00531912" w:rsidRPr="004B7DF2" w:rsidRDefault="00531912" w:rsidP="00531912">
      <w:pPr>
        <w:pStyle w:val="ListParagraph"/>
        <w:numPr>
          <w:ilvl w:val="0"/>
          <w:numId w:val="1"/>
        </w:numPr>
        <w:rPr>
          <w:lang w:val="en-US"/>
        </w:rPr>
      </w:pPr>
      <w:r w:rsidRPr="00B82DC8">
        <w:rPr>
          <w:rFonts w:ascii="Arial" w:hAnsi="Arial" w:cs="Arial"/>
          <w:color w:val="303030"/>
          <w:sz w:val="20"/>
          <w:szCs w:val="20"/>
          <w:shd w:val="clear" w:color="auto" w:fill="FFFFFF"/>
          <w:lang w:val="en-US"/>
        </w:rPr>
        <w:t>Mazza D, Bairstow P, Buchan H, et al. Refining a taxonomy for guideline implementation: results of an exercise in abstract classification. </w:t>
      </w:r>
      <w:r w:rsidRPr="00852CA1">
        <w:rPr>
          <w:rFonts w:ascii="Arial" w:hAnsi="Arial" w:cs="Arial"/>
          <w:i/>
          <w:iCs/>
          <w:color w:val="303030"/>
          <w:sz w:val="20"/>
          <w:szCs w:val="20"/>
          <w:lang w:val="en-US"/>
        </w:rPr>
        <w:t>Implement Sci</w:t>
      </w:r>
      <w:r w:rsidRPr="00852CA1">
        <w:rPr>
          <w:rFonts w:ascii="Arial" w:hAnsi="Arial" w:cs="Arial"/>
          <w:color w:val="303030"/>
          <w:sz w:val="20"/>
          <w:szCs w:val="20"/>
          <w:shd w:val="clear" w:color="auto" w:fill="FFFFFF"/>
          <w:lang w:val="en-US"/>
        </w:rPr>
        <w:t xml:space="preserve">. 2013;8:32. </w:t>
      </w:r>
      <w:r w:rsidRPr="004B7DF2">
        <w:rPr>
          <w:rFonts w:ascii="Arial" w:hAnsi="Arial" w:cs="Arial"/>
          <w:color w:val="303030"/>
          <w:sz w:val="20"/>
          <w:szCs w:val="20"/>
          <w:shd w:val="clear" w:color="auto" w:fill="FFFFFF"/>
          <w:lang w:val="en-US"/>
        </w:rPr>
        <w:t>Published 2013 Mar 15. doi:10.1186/1748-5908-8-32</w:t>
      </w:r>
    </w:p>
    <w:p w14:paraId="70128FE5" w14:textId="77777777" w:rsidR="00531912" w:rsidRPr="004B7DF2" w:rsidRDefault="00531912">
      <w:pPr>
        <w:rPr>
          <w:b/>
          <w:lang w:val="en-US"/>
        </w:rPr>
      </w:pPr>
    </w:p>
    <w:p w14:paraId="13272826" w14:textId="77777777" w:rsidR="00F04D7F" w:rsidRPr="004B7DF2" w:rsidRDefault="00F04D7F" w:rsidP="00422CCD">
      <w:pPr>
        <w:pStyle w:val="Heading2"/>
        <w:rPr>
          <w:lang w:val="en-US"/>
        </w:rPr>
      </w:pPr>
    </w:p>
    <w:p w14:paraId="603BF944" w14:textId="77777777" w:rsidR="00EB674C" w:rsidRPr="004B7DF2" w:rsidRDefault="00EB674C" w:rsidP="00EB674C">
      <w:pPr>
        <w:rPr>
          <w:lang w:val="en-US"/>
        </w:rPr>
      </w:pPr>
    </w:p>
    <w:p w14:paraId="77D6A022" w14:textId="77777777" w:rsidR="00EB674C" w:rsidRPr="004B7DF2" w:rsidRDefault="00EB674C" w:rsidP="00EB674C">
      <w:pPr>
        <w:rPr>
          <w:lang w:val="en-US"/>
        </w:rPr>
      </w:pPr>
    </w:p>
    <w:p w14:paraId="7FCA30E8" w14:textId="77777777" w:rsidR="00EB674C" w:rsidRPr="004B7DF2" w:rsidRDefault="00EB674C" w:rsidP="00EB674C">
      <w:pPr>
        <w:rPr>
          <w:lang w:val="en-US"/>
        </w:rPr>
      </w:pPr>
    </w:p>
    <w:p w14:paraId="0AC33E87" w14:textId="77777777" w:rsidR="00EB674C" w:rsidRPr="004B7DF2" w:rsidRDefault="00EB674C" w:rsidP="00EB674C">
      <w:pPr>
        <w:rPr>
          <w:lang w:val="en-US"/>
        </w:rPr>
      </w:pPr>
    </w:p>
    <w:p w14:paraId="7F427976" w14:textId="77777777" w:rsidR="00EB674C" w:rsidRPr="004B7DF2" w:rsidRDefault="00EB674C" w:rsidP="00EB674C">
      <w:pPr>
        <w:rPr>
          <w:lang w:val="en-US"/>
        </w:rPr>
      </w:pPr>
    </w:p>
    <w:p w14:paraId="343A9B74" w14:textId="77777777" w:rsidR="00EB674C" w:rsidRPr="004B7DF2" w:rsidRDefault="00EB674C" w:rsidP="00EB674C">
      <w:pPr>
        <w:rPr>
          <w:lang w:val="en-US"/>
        </w:rPr>
      </w:pPr>
    </w:p>
    <w:p w14:paraId="476A8715" w14:textId="77777777" w:rsidR="00EB674C" w:rsidRPr="004B7DF2" w:rsidRDefault="00EB674C" w:rsidP="00EB674C">
      <w:pPr>
        <w:rPr>
          <w:lang w:val="en-US"/>
        </w:rPr>
      </w:pPr>
    </w:p>
    <w:p w14:paraId="5CCD1794" w14:textId="77777777" w:rsidR="00EB674C" w:rsidRPr="004B7DF2" w:rsidRDefault="00EB674C" w:rsidP="00EB674C">
      <w:pPr>
        <w:rPr>
          <w:lang w:val="en-US"/>
        </w:rPr>
      </w:pPr>
    </w:p>
    <w:p w14:paraId="430E78A2" w14:textId="77777777" w:rsidR="00EB674C" w:rsidRPr="004B7DF2" w:rsidRDefault="00EB674C" w:rsidP="00EB674C">
      <w:pPr>
        <w:rPr>
          <w:lang w:val="en-US"/>
        </w:rPr>
      </w:pPr>
    </w:p>
    <w:p w14:paraId="1D36BFF6" w14:textId="77777777" w:rsidR="00EB674C" w:rsidRPr="004B7DF2" w:rsidRDefault="00EB674C" w:rsidP="00EB674C">
      <w:pPr>
        <w:rPr>
          <w:lang w:val="en-US"/>
        </w:rPr>
      </w:pPr>
    </w:p>
    <w:p w14:paraId="586F036D" w14:textId="77777777" w:rsidR="00EB674C" w:rsidRPr="004B7DF2" w:rsidRDefault="00EB674C" w:rsidP="00EB674C">
      <w:pPr>
        <w:rPr>
          <w:lang w:val="en-US"/>
        </w:rPr>
      </w:pPr>
    </w:p>
    <w:p w14:paraId="1F0CB084" w14:textId="77777777" w:rsidR="00EB674C" w:rsidRPr="004B7DF2" w:rsidRDefault="00EB674C" w:rsidP="00EB674C">
      <w:pPr>
        <w:rPr>
          <w:lang w:val="en-US"/>
        </w:rPr>
      </w:pPr>
    </w:p>
    <w:p w14:paraId="10F08C7B" w14:textId="77777777" w:rsidR="001112AB" w:rsidRDefault="001112AB" w:rsidP="004B3D37">
      <w:pPr>
        <w:rPr>
          <w:rFonts w:ascii="Calibri" w:hAnsi="Calibri"/>
          <w:b/>
          <w:sz w:val="28"/>
          <w:szCs w:val="28"/>
          <w:lang w:val="en-US"/>
        </w:rPr>
      </w:pPr>
    </w:p>
    <w:p w14:paraId="6E96A652" w14:textId="77777777" w:rsidR="001112AB" w:rsidRDefault="001112AB" w:rsidP="004B3D37">
      <w:pPr>
        <w:rPr>
          <w:rFonts w:ascii="Calibri" w:hAnsi="Calibri"/>
          <w:b/>
          <w:sz w:val="28"/>
          <w:szCs w:val="28"/>
          <w:lang w:val="en-US"/>
        </w:rPr>
      </w:pPr>
    </w:p>
    <w:p w14:paraId="1845DD19" w14:textId="77777777" w:rsidR="001112AB" w:rsidRDefault="001112AB" w:rsidP="004B3D37">
      <w:pPr>
        <w:rPr>
          <w:rFonts w:ascii="Calibri" w:hAnsi="Calibri"/>
          <w:b/>
          <w:sz w:val="28"/>
          <w:szCs w:val="28"/>
          <w:lang w:val="en-US"/>
        </w:rPr>
      </w:pPr>
    </w:p>
    <w:p w14:paraId="65F45B2A" w14:textId="77777777" w:rsidR="001112AB" w:rsidRDefault="001112AB" w:rsidP="004B3D37">
      <w:pPr>
        <w:rPr>
          <w:rFonts w:ascii="Calibri" w:hAnsi="Calibri"/>
          <w:b/>
          <w:sz w:val="28"/>
          <w:szCs w:val="28"/>
          <w:lang w:val="en-US"/>
        </w:rPr>
      </w:pPr>
    </w:p>
    <w:p w14:paraId="23E639BA" w14:textId="77777777" w:rsidR="001112AB" w:rsidRDefault="001112AB" w:rsidP="004B3D37">
      <w:pPr>
        <w:rPr>
          <w:rFonts w:ascii="Calibri" w:hAnsi="Calibri"/>
          <w:b/>
          <w:sz w:val="28"/>
          <w:szCs w:val="28"/>
          <w:lang w:val="en-US"/>
        </w:rPr>
      </w:pPr>
    </w:p>
    <w:p w14:paraId="308C4278" w14:textId="77777777" w:rsidR="001112AB" w:rsidRDefault="001112AB" w:rsidP="004B3D37">
      <w:pPr>
        <w:rPr>
          <w:rFonts w:ascii="Calibri" w:hAnsi="Calibri"/>
          <w:b/>
          <w:sz w:val="28"/>
          <w:szCs w:val="28"/>
          <w:lang w:val="en-US"/>
        </w:rPr>
      </w:pPr>
    </w:p>
    <w:p w14:paraId="08838C8D" w14:textId="2CC0912A" w:rsidR="004B3D37" w:rsidRPr="004B3D37" w:rsidRDefault="004B3D37" w:rsidP="004B3D37">
      <w:pPr>
        <w:rPr>
          <w:rFonts w:ascii="Calibri" w:hAnsi="Calibri"/>
          <w:sz w:val="28"/>
          <w:szCs w:val="28"/>
          <w:lang w:val="en-US"/>
        </w:rPr>
      </w:pPr>
      <w:r w:rsidRPr="004B3D37">
        <w:rPr>
          <w:rFonts w:ascii="Calibri" w:hAnsi="Calibri"/>
          <w:b/>
          <w:sz w:val="28"/>
          <w:szCs w:val="28"/>
          <w:lang w:val="en-US"/>
        </w:rPr>
        <w:t xml:space="preserve">eMethods </w:t>
      </w:r>
      <w:r w:rsidR="00A16D7D">
        <w:rPr>
          <w:rFonts w:ascii="Calibri" w:hAnsi="Calibri"/>
          <w:b/>
          <w:sz w:val="28"/>
          <w:szCs w:val="28"/>
          <w:lang w:val="en-US"/>
        </w:rPr>
        <w:t>5</w:t>
      </w:r>
      <w:r w:rsidRPr="004B3D37">
        <w:rPr>
          <w:rFonts w:ascii="Calibri" w:hAnsi="Calibri"/>
          <w:b/>
          <w:sz w:val="28"/>
          <w:szCs w:val="28"/>
          <w:lang w:val="en-US"/>
        </w:rPr>
        <w:t xml:space="preserve">. </w:t>
      </w:r>
      <w:r w:rsidRPr="004B3D37">
        <w:rPr>
          <w:rFonts w:ascii="Calibri" w:hAnsi="Calibri"/>
          <w:sz w:val="28"/>
          <w:szCs w:val="28"/>
          <w:lang w:val="en-US"/>
        </w:rPr>
        <w:t>Rationale for outcome hierarchy of effectiveness outcomes in de-implementation</w:t>
      </w:r>
    </w:p>
    <w:p w14:paraId="590661A1" w14:textId="77777777" w:rsidR="00F04D7F" w:rsidRPr="00F04D7F" w:rsidRDefault="00F04D7F" w:rsidP="00F04D7F">
      <w:pPr>
        <w:rPr>
          <w:b/>
          <w:lang w:val="en-US"/>
        </w:rPr>
      </w:pPr>
    </w:p>
    <w:p w14:paraId="64DC5153" w14:textId="77777777" w:rsidR="00F04D7F" w:rsidRDefault="00F04D7F" w:rsidP="00F04D7F">
      <w:pPr>
        <w:rPr>
          <w:lang w:val="en-US"/>
        </w:rPr>
      </w:pPr>
      <w:r w:rsidRPr="00EB0D74">
        <w:rPr>
          <w:lang w:val="en-US"/>
        </w:rPr>
        <w:t>We developed outcome hierarchy for effectiveness</w:t>
      </w:r>
      <w:r>
        <w:rPr>
          <w:lang w:val="en-US"/>
        </w:rPr>
        <w:t xml:space="preserve"> outcomes in de-implementation research. There is no standard way of doing the categorization. We used Kirkpatrick levels in the development (1). There is one categorization for de-implementation outcomes by Prusaczyk et al. (which divides outcomes to 8 categories: acceptability, adoption, appropriateness, cost, feasibility, fidelity, penetration, sustainability), but does not categorize effectiveness outcomes used in de-implementation literature (2).</w:t>
      </w:r>
    </w:p>
    <w:p w14:paraId="7328D64F" w14:textId="77777777" w:rsidR="00F04D7F" w:rsidRDefault="00F04D7F" w:rsidP="00F04D7F">
      <w:pPr>
        <w:rPr>
          <w:lang w:val="en-US"/>
        </w:rPr>
      </w:pPr>
    </w:p>
    <w:p w14:paraId="00B289E4" w14:textId="77777777" w:rsidR="00F04D7F" w:rsidRDefault="00F04D7F" w:rsidP="00F04D7F">
      <w:pPr>
        <w:rPr>
          <w:lang w:val="en-US"/>
        </w:rPr>
      </w:pPr>
      <w:r>
        <w:rPr>
          <w:lang w:val="en-US"/>
        </w:rPr>
        <w:t>Kirkpatrick levels have been developed for educational interventions. As de-implementation interventions also include other types of interventions, we modified it to fit the whole de-implementation literature and to concentrate in effectiveness of the interventions.</w:t>
      </w:r>
    </w:p>
    <w:p w14:paraId="5C60A699" w14:textId="77777777" w:rsidR="00F04D7F" w:rsidRDefault="00F04D7F" w:rsidP="00F04D7F">
      <w:pPr>
        <w:rPr>
          <w:lang w:val="en-US"/>
        </w:rPr>
      </w:pPr>
    </w:p>
    <w:p w14:paraId="02E43353" w14:textId="77777777" w:rsidR="00F04D7F" w:rsidRDefault="00F04D7F" w:rsidP="00F04D7F">
      <w:pPr>
        <w:rPr>
          <w:lang w:val="en-US"/>
        </w:rPr>
      </w:pPr>
      <w:r>
        <w:rPr>
          <w:lang w:val="en-US"/>
        </w:rPr>
        <w:t>We excluded category for modifications of knowledge/skills as it was not related to all types of de-implementation interventions and it is not often measured in RCT setting. Categories 2a and 3 were combined into one category (intention/perception to reduce use of clinical practice).</w:t>
      </w:r>
    </w:p>
    <w:p w14:paraId="079199C6" w14:textId="77777777" w:rsidR="00F04D7F" w:rsidRDefault="00F04D7F">
      <w:pPr>
        <w:rPr>
          <w:b/>
          <w:lang w:val="en-US"/>
        </w:rPr>
      </w:pPr>
    </w:p>
    <w:p w14:paraId="77C4F142" w14:textId="77777777" w:rsidR="00F04D7F" w:rsidRPr="00F04D7F" w:rsidRDefault="00F04D7F" w:rsidP="00F04D7F">
      <w:pPr>
        <w:pStyle w:val="ListParagraph"/>
        <w:numPr>
          <w:ilvl w:val="0"/>
          <w:numId w:val="8"/>
        </w:numPr>
        <w:spacing w:after="160" w:line="259" w:lineRule="auto"/>
        <w:rPr>
          <w:rFonts w:asciiTheme="majorHAnsi" w:hAnsiTheme="majorHAnsi" w:cstheme="majorHAnsi"/>
          <w:lang w:val="en-US"/>
        </w:rPr>
      </w:pPr>
      <w:r w:rsidRPr="00816DB2">
        <w:rPr>
          <w:rFonts w:asciiTheme="majorHAnsi" w:hAnsiTheme="majorHAnsi" w:cstheme="majorHAnsi"/>
          <w:color w:val="212121"/>
          <w:shd w:val="clear" w:color="auto" w:fill="FFFFFF"/>
          <w:lang w:val="en-US"/>
        </w:rPr>
        <w:t xml:space="preserve">Yardley S, Dornan T. Kirkpatrick's levels and education 'evidence'. </w:t>
      </w:r>
      <w:r w:rsidRPr="0002485D">
        <w:rPr>
          <w:rFonts w:asciiTheme="majorHAnsi" w:hAnsiTheme="majorHAnsi" w:cstheme="majorHAnsi"/>
          <w:color w:val="212121"/>
          <w:shd w:val="clear" w:color="auto" w:fill="FFFFFF"/>
          <w:lang w:val="en-US"/>
        </w:rPr>
        <w:t>Med Educ. 2012 Jan;46(1):97-106. doi: 10.1111/j.1365-2923.2011.04076.x. PMID: 22150201</w:t>
      </w:r>
      <w:r>
        <w:rPr>
          <w:rFonts w:asciiTheme="majorHAnsi" w:hAnsiTheme="majorHAnsi" w:cstheme="majorHAnsi"/>
          <w:color w:val="212121"/>
          <w:shd w:val="clear" w:color="auto" w:fill="FFFFFF"/>
          <w:lang w:val="en-US"/>
        </w:rPr>
        <w:t>.</w:t>
      </w:r>
    </w:p>
    <w:p w14:paraId="596867E1" w14:textId="77777777" w:rsidR="00F04D7F" w:rsidRDefault="00F04D7F" w:rsidP="00F04D7F">
      <w:pPr>
        <w:pStyle w:val="ListParagraph"/>
        <w:numPr>
          <w:ilvl w:val="0"/>
          <w:numId w:val="8"/>
        </w:numPr>
        <w:shd w:val="clear" w:color="auto" w:fill="FFFFFF"/>
        <w:spacing w:after="120"/>
        <w:rPr>
          <w:rFonts w:ascii="Segoe UI" w:hAnsi="Segoe UI" w:cs="Segoe UI"/>
          <w:color w:val="333333"/>
          <w:lang w:val="en-US"/>
        </w:rPr>
      </w:pPr>
      <w:r w:rsidRPr="00F04D7F">
        <w:rPr>
          <w:rFonts w:ascii="Segoe UI" w:hAnsi="Segoe UI" w:cs="Segoe UI"/>
          <w:color w:val="333333"/>
          <w:lang w:val="en-US"/>
        </w:rPr>
        <w:t>Prusaczyk, B., Swindle, T. &amp; Curran, G. Defining and conceptualizing outcomes for de-implementation: key distinctions from implementation outcomes. </w:t>
      </w:r>
      <w:r w:rsidRPr="00F04D7F">
        <w:rPr>
          <w:rFonts w:ascii="Segoe UI" w:hAnsi="Segoe UI" w:cs="Segoe UI"/>
          <w:i/>
          <w:iCs/>
          <w:color w:val="333333"/>
          <w:lang w:val="en-US"/>
        </w:rPr>
        <w:t>Implement Sci Commun</w:t>
      </w:r>
      <w:r w:rsidRPr="00F04D7F">
        <w:rPr>
          <w:rFonts w:ascii="Segoe UI" w:hAnsi="Segoe UI" w:cs="Segoe UI"/>
          <w:color w:val="333333"/>
          <w:lang w:val="en-US"/>
        </w:rPr>
        <w:t> </w:t>
      </w:r>
      <w:r w:rsidRPr="00F04D7F">
        <w:rPr>
          <w:rFonts w:ascii="Segoe UI" w:hAnsi="Segoe UI" w:cs="Segoe UI"/>
          <w:b/>
          <w:bCs/>
          <w:color w:val="333333"/>
          <w:lang w:val="en-US"/>
        </w:rPr>
        <w:t>1, </w:t>
      </w:r>
      <w:r w:rsidRPr="00F04D7F">
        <w:rPr>
          <w:rFonts w:ascii="Segoe UI" w:hAnsi="Segoe UI" w:cs="Segoe UI"/>
          <w:color w:val="333333"/>
          <w:lang w:val="en-US"/>
        </w:rPr>
        <w:t xml:space="preserve">43 (2020). </w:t>
      </w:r>
      <w:hyperlink r:id="rId11" w:history="1">
        <w:r w:rsidR="00EB674C" w:rsidRPr="006A74F5">
          <w:rPr>
            <w:rStyle w:val="Hyperlink"/>
            <w:rFonts w:ascii="Segoe UI" w:hAnsi="Segoe UI" w:cs="Segoe UI"/>
            <w:lang w:val="en-US"/>
          </w:rPr>
          <w:t>https://doi.org/10.1186/s43058-020-00035-3</w:t>
        </w:r>
      </w:hyperlink>
    </w:p>
    <w:p w14:paraId="1565F77C" w14:textId="77777777" w:rsidR="00EB674C" w:rsidRDefault="00EB674C" w:rsidP="00EB674C">
      <w:pPr>
        <w:shd w:val="clear" w:color="auto" w:fill="FFFFFF"/>
        <w:spacing w:after="120"/>
        <w:rPr>
          <w:rFonts w:ascii="Segoe UI" w:hAnsi="Segoe UI" w:cs="Segoe UI"/>
          <w:color w:val="333333"/>
          <w:lang w:val="en-US"/>
        </w:rPr>
      </w:pPr>
    </w:p>
    <w:p w14:paraId="03D4143C" w14:textId="77777777" w:rsidR="00EB674C" w:rsidRPr="00EB674C" w:rsidRDefault="00EB674C" w:rsidP="00EB674C">
      <w:pPr>
        <w:shd w:val="clear" w:color="auto" w:fill="FFFFFF"/>
        <w:spacing w:after="120"/>
        <w:rPr>
          <w:rFonts w:ascii="Segoe UI" w:hAnsi="Segoe UI" w:cs="Segoe UI"/>
          <w:color w:val="333333"/>
          <w:lang w:val="en-US"/>
        </w:rPr>
      </w:pPr>
    </w:p>
    <w:p w14:paraId="7A190082" w14:textId="54A57A2D" w:rsidR="00F04D7F" w:rsidRDefault="00F04D7F" w:rsidP="00F04D7F">
      <w:pPr>
        <w:rPr>
          <w:lang w:val="en-US"/>
        </w:rPr>
      </w:pPr>
    </w:p>
    <w:p w14:paraId="6B4CF1E7" w14:textId="1EEA734C" w:rsidR="004B7DF2" w:rsidRDefault="004B7DF2" w:rsidP="00F04D7F">
      <w:pPr>
        <w:rPr>
          <w:lang w:val="en-US"/>
        </w:rPr>
      </w:pPr>
    </w:p>
    <w:p w14:paraId="2355F7CA" w14:textId="340FB74E" w:rsidR="004B7DF2" w:rsidRDefault="004B7DF2" w:rsidP="00F04D7F">
      <w:pPr>
        <w:rPr>
          <w:lang w:val="en-US"/>
        </w:rPr>
      </w:pPr>
    </w:p>
    <w:p w14:paraId="59F80AA5" w14:textId="1BBD3795" w:rsidR="004B7DF2" w:rsidRDefault="004B7DF2" w:rsidP="00F04D7F">
      <w:pPr>
        <w:rPr>
          <w:lang w:val="en-US"/>
        </w:rPr>
      </w:pPr>
    </w:p>
    <w:p w14:paraId="450A0839" w14:textId="2CEA5C48" w:rsidR="004B7DF2" w:rsidRDefault="004B7DF2" w:rsidP="00F04D7F">
      <w:pPr>
        <w:rPr>
          <w:lang w:val="en-US"/>
        </w:rPr>
      </w:pPr>
    </w:p>
    <w:p w14:paraId="35E30D60" w14:textId="6284DFD5" w:rsidR="004B7DF2" w:rsidRDefault="004B7DF2" w:rsidP="00F04D7F">
      <w:pPr>
        <w:rPr>
          <w:lang w:val="en-US"/>
        </w:rPr>
      </w:pPr>
    </w:p>
    <w:p w14:paraId="1E8BE4EB" w14:textId="77D9CC7B" w:rsidR="004B7DF2" w:rsidRDefault="004B7DF2" w:rsidP="00F04D7F">
      <w:pPr>
        <w:rPr>
          <w:lang w:val="en-US"/>
        </w:rPr>
      </w:pPr>
    </w:p>
    <w:p w14:paraId="798684F7" w14:textId="38A7E25B" w:rsidR="004B7DF2" w:rsidRDefault="004B7DF2" w:rsidP="00F04D7F">
      <w:pPr>
        <w:rPr>
          <w:lang w:val="en-US"/>
        </w:rPr>
      </w:pPr>
    </w:p>
    <w:p w14:paraId="1BA382D2" w14:textId="6ADE69E2" w:rsidR="004B7DF2" w:rsidRDefault="004B7DF2" w:rsidP="00F04D7F">
      <w:pPr>
        <w:rPr>
          <w:lang w:val="en-US"/>
        </w:rPr>
      </w:pPr>
    </w:p>
    <w:p w14:paraId="7190FAC2" w14:textId="61F0E7D3" w:rsidR="004B7DF2" w:rsidRDefault="004B7DF2" w:rsidP="00F04D7F">
      <w:pPr>
        <w:rPr>
          <w:lang w:val="en-US"/>
        </w:rPr>
      </w:pPr>
    </w:p>
    <w:p w14:paraId="71FA7386" w14:textId="302ECEC5" w:rsidR="004B7DF2" w:rsidRDefault="004B7DF2" w:rsidP="00F04D7F">
      <w:pPr>
        <w:rPr>
          <w:lang w:val="en-US"/>
        </w:rPr>
      </w:pPr>
    </w:p>
    <w:p w14:paraId="0EBF3569" w14:textId="5870A874" w:rsidR="004B7DF2" w:rsidRDefault="004B7DF2" w:rsidP="00F04D7F">
      <w:pPr>
        <w:rPr>
          <w:lang w:val="en-US"/>
        </w:rPr>
      </w:pPr>
    </w:p>
    <w:p w14:paraId="74FB4387" w14:textId="665A86A1" w:rsidR="004B7DF2" w:rsidRDefault="004B7DF2" w:rsidP="00F04D7F">
      <w:pPr>
        <w:rPr>
          <w:lang w:val="en-US"/>
        </w:rPr>
      </w:pPr>
    </w:p>
    <w:p w14:paraId="39EBC09B" w14:textId="2448C64A" w:rsidR="004B7DF2" w:rsidRDefault="004B7DF2" w:rsidP="00F04D7F">
      <w:pPr>
        <w:rPr>
          <w:lang w:val="en-US"/>
        </w:rPr>
      </w:pPr>
    </w:p>
    <w:p w14:paraId="16EBBF68" w14:textId="6D1AA6EF" w:rsidR="004B7DF2" w:rsidRDefault="004B7DF2" w:rsidP="00F04D7F">
      <w:pPr>
        <w:rPr>
          <w:lang w:val="en-US"/>
        </w:rPr>
      </w:pPr>
    </w:p>
    <w:p w14:paraId="32831AD5" w14:textId="6AA92888" w:rsidR="004B7DF2" w:rsidRDefault="004B7DF2" w:rsidP="00F04D7F">
      <w:pPr>
        <w:rPr>
          <w:lang w:val="en-US"/>
        </w:rPr>
      </w:pPr>
    </w:p>
    <w:p w14:paraId="7684CA5C" w14:textId="5F542D45" w:rsidR="004B7DF2" w:rsidRDefault="004B7DF2" w:rsidP="00F04D7F">
      <w:pPr>
        <w:rPr>
          <w:lang w:val="en-US"/>
        </w:rPr>
      </w:pPr>
    </w:p>
    <w:p w14:paraId="3B59A807" w14:textId="798FE6F6" w:rsidR="004B7DF2" w:rsidRDefault="004B7DF2" w:rsidP="00F04D7F">
      <w:pPr>
        <w:rPr>
          <w:lang w:val="en-US"/>
        </w:rPr>
      </w:pPr>
    </w:p>
    <w:p w14:paraId="209C6414" w14:textId="2AB81EB8" w:rsidR="004B7DF2" w:rsidRDefault="004B7DF2" w:rsidP="00F04D7F">
      <w:pPr>
        <w:rPr>
          <w:lang w:val="en-US"/>
        </w:rPr>
      </w:pPr>
    </w:p>
    <w:p w14:paraId="747F4F4F" w14:textId="53127B11" w:rsidR="004B7DF2" w:rsidRDefault="004B7DF2" w:rsidP="00F04D7F">
      <w:pPr>
        <w:rPr>
          <w:lang w:val="en-US"/>
        </w:rPr>
      </w:pPr>
    </w:p>
    <w:p w14:paraId="07080E46" w14:textId="5B1857C3" w:rsidR="004B7DF2" w:rsidRDefault="004B7DF2" w:rsidP="00F04D7F">
      <w:pPr>
        <w:rPr>
          <w:lang w:val="en-US"/>
        </w:rPr>
      </w:pPr>
    </w:p>
    <w:p w14:paraId="4FEBC6DB" w14:textId="2338926E" w:rsidR="004B7DF2" w:rsidRDefault="004B7DF2" w:rsidP="00F04D7F">
      <w:pPr>
        <w:rPr>
          <w:lang w:val="en-US"/>
        </w:rPr>
      </w:pPr>
    </w:p>
    <w:p w14:paraId="0C9D4F8E" w14:textId="77777777" w:rsidR="001413D1" w:rsidRDefault="001413D1" w:rsidP="00F04D7F">
      <w:pPr>
        <w:rPr>
          <w:lang w:val="en-US"/>
        </w:rPr>
        <w:sectPr w:rsidR="001413D1" w:rsidSect="00BD62DD">
          <w:footerReference w:type="even" r:id="rId12"/>
          <w:footerReference w:type="default" r:id="rId13"/>
          <w:pgSz w:w="11900" w:h="16840"/>
          <w:pgMar w:top="1417" w:right="1134" w:bottom="1417" w:left="1134" w:header="708" w:footer="708" w:gutter="0"/>
          <w:cols w:space="708"/>
          <w:docGrid w:linePitch="360"/>
        </w:sectPr>
      </w:pPr>
    </w:p>
    <w:p w14:paraId="1D1A89F9" w14:textId="61230A79" w:rsidR="001413D1" w:rsidRPr="004B3D37" w:rsidRDefault="004B3D37" w:rsidP="001413D1">
      <w:pPr>
        <w:rPr>
          <w:sz w:val="28"/>
          <w:szCs w:val="28"/>
          <w:lang w:val="en-US"/>
        </w:rPr>
      </w:pPr>
      <w:r w:rsidRPr="004B3D37">
        <w:rPr>
          <w:rFonts w:ascii="Calibri" w:hAnsi="Calibri"/>
          <w:b/>
          <w:sz w:val="28"/>
          <w:szCs w:val="28"/>
          <w:lang w:val="en-US"/>
        </w:rPr>
        <w:lastRenderedPageBreak/>
        <w:t xml:space="preserve">eMethods </w:t>
      </w:r>
      <w:r w:rsidR="00A16D7D">
        <w:rPr>
          <w:rFonts w:ascii="Calibri" w:hAnsi="Calibri"/>
          <w:b/>
          <w:sz w:val="28"/>
          <w:szCs w:val="28"/>
          <w:lang w:val="en-US"/>
        </w:rPr>
        <w:t>6</w:t>
      </w:r>
      <w:r w:rsidRPr="004B3D37">
        <w:rPr>
          <w:rFonts w:ascii="Calibri" w:hAnsi="Calibri"/>
          <w:b/>
          <w:sz w:val="28"/>
          <w:szCs w:val="28"/>
          <w:lang w:val="en-US"/>
        </w:rPr>
        <w:t xml:space="preserve">. </w:t>
      </w:r>
      <w:r w:rsidRPr="004B3D37">
        <w:rPr>
          <w:rFonts w:ascii="Calibri" w:hAnsi="Calibri"/>
          <w:sz w:val="28"/>
          <w:szCs w:val="28"/>
          <w:lang w:val="en-US"/>
        </w:rPr>
        <w:t>Identified scoping and systematic reviews of de-implementation</w:t>
      </w:r>
    </w:p>
    <w:tbl>
      <w:tblPr>
        <w:tblW w:w="9632" w:type="dxa"/>
        <w:tblLook w:val="04A0" w:firstRow="1" w:lastRow="0" w:firstColumn="1" w:lastColumn="0" w:noHBand="0" w:noVBand="1"/>
      </w:tblPr>
      <w:tblGrid>
        <w:gridCol w:w="9632"/>
      </w:tblGrid>
      <w:tr w:rsidR="001413D1" w:rsidRPr="001413D1" w14:paraId="47272AF8" w14:textId="77777777" w:rsidTr="001413D1">
        <w:trPr>
          <w:trHeight w:val="320"/>
        </w:trPr>
        <w:tc>
          <w:tcPr>
            <w:tcW w:w="9632" w:type="dxa"/>
            <w:tcBorders>
              <w:top w:val="nil"/>
              <w:left w:val="nil"/>
              <w:bottom w:val="nil"/>
              <w:right w:val="nil"/>
            </w:tcBorders>
            <w:shd w:val="clear" w:color="auto" w:fill="auto"/>
            <w:noWrap/>
            <w:vAlign w:val="bottom"/>
            <w:hideMark/>
          </w:tcPr>
          <w:p w14:paraId="67446D6F" w14:textId="77777777" w:rsidR="001413D1" w:rsidRPr="001413D1" w:rsidRDefault="001413D1" w:rsidP="001413D1">
            <w:pPr>
              <w:rPr>
                <w:rFonts w:ascii="Helvetica Neue" w:hAnsi="Helvetica Neue" w:cs="Calibri"/>
                <w:color w:val="212121"/>
              </w:rPr>
            </w:pPr>
            <w:r w:rsidRPr="001413D1">
              <w:rPr>
                <w:rFonts w:ascii="Helvetica Neue" w:hAnsi="Helvetica Neue" w:cs="Calibri"/>
                <w:color w:val="212121"/>
                <w:lang w:val="en-US"/>
              </w:rPr>
              <w:t>Chaudhuri D, Montgomery A, Gulenchyn K, Mitchell M, Joseph P. Effectiveness of Quality Improvement Interventions at Reducing Inappropriate Cardiac Imaging: A Systematic Review and Meta-Analysis. </w:t>
            </w:r>
            <w:r w:rsidRPr="001413D1">
              <w:rPr>
                <w:rFonts w:ascii="Helvetica Neue" w:hAnsi="Helvetica Neue" w:cs="Calibri"/>
                <w:i/>
                <w:iCs/>
                <w:color w:val="212121"/>
              </w:rPr>
              <w:t>Circ Cardiovasc Qual Outcomes</w:t>
            </w:r>
            <w:r w:rsidRPr="001413D1">
              <w:rPr>
                <w:rFonts w:ascii="Helvetica Neue" w:hAnsi="Helvetica Neue" w:cs="Calibri"/>
                <w:color w:val="212121"/>
              </w:rPr>
              <w:t>. 2016;9(1):7-13. doi:10.1161/CIRCOUTCOMES.115.001836</w:t>
            </w:r>
          </w:p>
        </w:tc>
      </w:tr>
      <w:tr w:rsidR="001413D1" w:rsidRPr="001413D1" w14:paraId="04848B0A" w14:textId="77777777" w:rsidTr="001413D1">
        <w:trPr>
          <w:trHeight w:val="320"/>
        </w:trPr>
        <w:tc>
          <w:tcPr>
            <w:tcW w:w="9632" w:type="dxa"/>
            <w:tcBorders>
              <w:top w:val="nil"/>
              <w:left w:val="nil"/>
              <w:bottom w:val="nil"/>
              <w:right w:val="nil"/>
            </w:tcBorders>
            <w:shd w:val="clear" w:color="auto" w:fill="auto"/>
            <w:noWrap/>
            <w:vAlign w:val="bottom"/>
            <w:hideMark/>
          </w:tcPr>
          <w:p w14:paraId="44A8384C" w14:textId="77777777" w:rsidR="001413D1" w:rsidRPr="001413D1" w:rsidRDefault="001413D1" w:rsidP="001413D1">
            <w:pPr>
              <w:rPr>
                <w:rFonts w:ascii="Calibri" w:hAnsi="Calibri" w:cs="Calibri"/>
                <w:color w:val="000000"/>
              </w:rPr>
            </w:pPr>
            <w:r w:rsidRPr="001413D1">
              <w:rPr>
                <w:rFonts w:ascii="Calibri" w:eastAsia="Arial" w:hAnsi="Calibri" w:cs="Calibri"/>
                <w:color w:val="000000"/>
                <w:lang w:val="en-US"/>
              </w:rPr>
              <w:t>Cliff BQ, Avanceña ALV, Hirth RA, Lee SD. The Impact of Choosing Wisely Interventions on Low-Value Medical Services: A Systematic Review. </w:t>
            </w:r>
            <w:r w:rsidRPr="001413D1">
              <w:rPr>
                <w:rFonts w:ascii="Calibri" w:eastAsia="Arial" w:hAnsi="Calibri" w:cs="Calibri"/>
                <w:color w:val="000000"/>
              </w:rPr>
              <w:t>Milbank Q. 2021;99(4):1024-1058. doi:10.1111/1468-0009.12531</w:t>
            </w:r>
          </w:p>
        </w:tc>
      </w:tr>
      <w:tr w:rsidR="001413D1" w:rsidRPr="004726BA" w14:paraId="23D54C5E" w14:textId="77777777" w:rsidTr="001413D1">
        <w:trPr>
          <w:trHeight w:val="320"/>
        </w:trPr>
        <w:tc>
          <w:tcPr>
            <w:tcW w:w="9632" w:type="dxa"/>
            <w:tcBorders>
              <w:top w:val="nil"/>
              <w:left w:val="nil"/>
              <w:bottom w:val="nil"/>
              <w:right w:val="nil"/>
            </w:tcBorders>
            <w:shd w:val="clear" w:color="auto" w:fill="auto"/>
            <w:noWrap/>
            <w:vAlign w:val="bottom"/>
            <w:hideMark/>
          </w:tcPr>
          <w:p w14:paraId="6BD6A06C" w14:textId="77777777" w:rsidR="001413D1" w:rsidRPr="004726BA" w:rsidRDefault="001413D1" w:rsidP="001413D1">
            <w:pPr>
              <w:rPr>
                <w:rFonts w:ascii="Helvetica Neue" w:hAnsi="Helvetica Neue" w:cs="Calibri"/>
                <w:color w:val="212121"/>
                <w:lang w:val="en-US"/>
              </w:rPr>
            </w:pPr>
            <w:r w:rsidRPr="001413D1">
              <w:rPr>
                <w:rFonts w:ascii="Helvetica Neue" w:hAnsi="Helvetica Neue" w:cs="Calibri"/>
                <w:color w:val="212121"/>
                <w:lang w:val="en-US"/>
              </w:rPr>
              <w:t>Clyne B, Fitzgerald C, Quinlan A, et al. Interventions to Address Potentially Inappropriate Prescribing in Community-Dwelling Older Adults: A Systematic Review of Randomized Controlled Trials. </w:t>
            </w:r>
            <w:r w:rsidRPr="004726BA">
              <w:rPr>
                <w:rFonts w:ascii="Helvetica Neue" w:hAnsi="Helvetica Neue" w:cs="Calibri"/>
                <w:i/>
                <w:iCs/>
                <w:color w:val="212121"/>
                <w:lang w:val="en-US"/>
              </w:rPr>
              <w:t>J Am Geriatr Soc</w:t>
            </w:r>
            <w:r w:rsidRPr="004726BA">
              <w:rPr>
                <w:rFonts w:ascii="Helvetica Neue" w:hAnsi="Helvetica Neue" w:cs="Calibri"/>
                <w:color w:val="212121"/>
                <w:lang w:val="en-US"/>
              </w:rPr>
              <w:t>. 2016;64(6):1210-1222. doi:10.1111/jgs.14133</w:t>
            </w:r>
          </w:p>
        </w:tc>
      </w:tr>
      <w:tr w:rsidR="001413D1" w:rsidRPr="001413D1" w14:paraId="3F446609" w14:textId="77777777" w:rsidTr="001413D1">
        <w:trPr>
          <w:trHeight w:val="320"/>
        </w:trPr>
        <w:tc>
          <w:tcPr>
            <w:tcW w:w="9632" w:type="dxa"/>
            <w:tcBorders>
              <w:top w:val="nil"/>
              <w:left w:val="nil"/>
              <w:bottom w:val="nil"/>
              <w:right w:val="nil"/>
            </w:tcBorders>
            <w:shd w:val="clear" w:color="auto" w:fill="auto"/>
            <w:noWrap/>
            <w:vAlign w:val="bottom"/>
            <w:hideMark/>
          </w:tcPr>
          <w:p w14:paraId="48DF72D0" w14:textId="77777777" w:rsidR="001413D1" w:rsidRPr="001413D1" w:rsidRDefault="001413D1" w:rsidP="001413D1">
            <w:pPr>
              <w:rPr>
                <w:rFonts w:ascii="Calibri" w:hAnsi="Calibri" w:cs="Calibri"/>
                <w:color w:val="000000"/>
              </w:rPr>
            </w:pPr>
            <w:r w:rsidRPr="001413D1">
              <w:rPr>
                <w:rFonts w:ascii="Calibri" w:eastAsia="Arial" w:hAnsi="Calibri" w:cs="Calibri"/>
                <w:color w:val="000000"/>
                <w:lang w:val="en-US"/>
              </w:rPr>
              <w:t>Colla CH, Mainor AJ, Hargreaves C, Sequist T, Morden N. Interventions Aimed at Reducing Use of Low-Value Health Services: A Systematic Review. </w:t>
            </w:r>
            <w:r w:rsidRPr="001413D1">
              <w:rPr>
                <w:rFonts w:ascii="Calibri" w:eastAsia="Arial" w:hAnsi="Calibri" w:cs="Calibri"/>
                <w:color w:val="000000"/>
              </w:rPr>
              <w:t>Med Care Res Rev. 2017;74(5):507-550. doi:10.1177/1077558716656970</w:t>
            </w:r>
          </w:p>
        </w:tc>
      </w:tr>
      <w:tr w:rsidR="001413D1" w:rsidRPr="001413D1" w14:paraId="51465B69" w14:textId="77777777" w:rsidTr="001413D1">
        <w:trPr>
          <w:trHeight w:val="320"/>
        </w:trPr>
        <w:tc>
          <w:tcPr>
            <w:tcW w:w="9632" w:type="dxa"/>
            <w:tcBorders>
              <w:top w:val="nil"/>
              <w:left w:val="nil"/>
              <w:bottom w:val="nil"/>
              <w:right w:val="nil"/>
            </w:tcBorders>
            <w:shd w:val="clear" w:color="auto" w:fill="auto"/>
            <w:noWrap/>
            <w:vAlign w:val="bottom"/>
            <w:hideMark/>
          </w:tcPr>
          <w:p w14:paraId="3E0B4442" w14:textId="77777777" w:rsidR="001413D1" w:rsidRPr="001413D1" w:rsidRDefault="001413D1" w:rsidP="001413D1">
            <w:pPr>
              <w:rPr>
                <w:rFonts w:ascii="Helvetica Neue" w:hAnsi="Helvetica Neue" w:cs="Calibri"/>
                <w:color w:val="212121"/>
              </w:rPr>
            </w:pPr>
            <w:r w:rsidRPr="001413D1">
              <w:rPr>
                <w:rFonts w:ascii="Helvetica Neue" w:hAnsi="Helvetica Neue" w:cs="Calibri"/>
                <w:color w:val="212121"/>
                <w:lang w:val="en-US"/>
              </w:rPr>
              <w:t>de Bont EG, Alink M, Falkenberg FC, Dinant GJ, Cals JW. Patient information leaflets to reduce antibiotic use and reconsultation rates in general practice: a systematic review. </w:t>
            </w:r>
            <w:r w:rsidRPr="001413D1">
              <w:rPr>
                <w:rFonts w:ascii="Helvetica Neue" w:hAnsi="Helvetica Neue" w:cs="Calibri"/>
                <w:i/>
                <w:iCs/>
                <w:color w:val="212121"/>
              </w:rPr>
              <w:t>BMJ Open</w:t>
            </w:r>
            <w:r w:rsidRPr="001413D1">
              <w:rPr>
                <w:rFonts w:ascii="Helvetica Neue" w:hAnsi="Helvetica Neue" w:cs="Calibri"/>
                <w:color w:val="212121"/>
              </w:rPr>
              <w:t>. 2015;5(6):e007612. Published 2015 Jun 3. doi:10.1136/bmjopen-2015-007612</w:t>
            </w:r>
          </w:p>
        </w:tc>
      </w:tr>
      <w:tr w:rsidR="001413D1" w:rsidRPr="001413D1" w14:paraId="5BDC89A9" w14:textId="77777777" w:rsidTr="001413D1">
        <w:trPr>
          <w:trHeight w:val="320"/>
        </w:trPr>
        <w:tc>
          <w:tcPr>
            <w:tcW w:w="9632" w:type="dxa"/>
            <w:tcBorders>
              <w:top w:val="nil"/>
              <w:left w:val="nil"/>
              <w:bottom w:val="nil"/>
              <w:right w:val="nil"/>
            </w:tcBorders>
            <w:shd w:val="clear" w:color="auto" w:fill="auto"/>
            <w:noWrap/>
            <w:vAlign w:val="bottom"/>
            <w:hideMark/>
          </w:tcPr>
          <w:p w14:paraId="132DB745" w14:textId="77777777" w:rsidR="001413D1" w:rsidRPr="001413D1" w:rsidRDefault="001413D1" w:rsidP="001413D1">
            <w:pPr>
              <w:rPr>
                <w:rFonts w:ascii="Helvetica Neue" w:hAnsi="Helvetica Neue" w:cs="Calibri"/>
                <w:color w:val="212121"/>
              </w:rPr>
            </w:pPr>
            <w:r w:rsidRPr="001413D1">
              <w:rPr>
                <w:rFonts w:ascii="Helvetica Neue" w:hAnsi="Helvetica Neue" w:cs="Calibri"/>
                <w:color w:val="212121"/>
                <w:lang w:val="en-US"/>
              </w:rPr>
              <w:t>Desai S, Liu C, Kirkland SW, Krebs LD, Keto-Lambert D, Rowe BH. Effectiveness of Implementing Evidence-based Interventions to Reduce C-spine Image Ordering in the Emergency Department: A Systematic Review. </w:t>
            </w:r>
            <w:r w:rsidRPr="001413D1">
              <w:rPr>
                <w:rFonts w:ascii="Helvetica Neue" w:hAnsi="Helvetica Neue" w:cs="Calibri"/>
                <w:i/>
                <w:iCs/>
                <w:color w:val="212121"/>
              </w:rPr>
              <w:t>Acad Emerg Med</w:t>
            </w:r>
            <w:r w:rsidRPr="001413D1">
              <w:rPr>
                <w:rFonts w:ascii="Helvetica Neue" w:hAnsi="Helvetica Neue" w:cs="Calibri"/>
                <w:color w:val="212121"/>
              </w:rPr>
              <w:t>. 2018;25(6):672-683. doi:10.1111/acem.13364</w:t>
            </w:r>
          </w:p>
        </w:tc>
      </w:tr>
      <w:tr w:rsidR="001413D1" w:rsidRPr="001413D1" w14:paraId="4F66C5FF" w14:textId="77777777" w:rsidTr="001413D1">
        <w:trPr>
          <w:trHeight w:val="320"/>
        </w:trPr>
        <w:tc>
          <w:tcPr>
            <w:tcW w:w="9632" w:type="dxa"/>
            <w:tcBorders>
              <w:top w:val="nil"/>
              <w:left w:val="nil"/>
              <w:bottom w:val="nil"/>
              <w:right w:val="nil"/>
            </w:tcBorders>
            <w:shd w:val="clear" w:color="auto" w:fill="auto"/>
            <w:noWrap/>
            <w:vAlign w:val="bottom"/>
            <w:hideMark/>
          </w:tcPr>
          <w:p w14:paraId="369A100E" w14:textId="77777777" w:rsidR="001413D1" w:rsidRPr="001413D1" w:rsidRDefault="001413D1" w:rsidP="001413D1">
            <w:pPr>
              <w:rPr>
                <w:rFonts w:ascii="Helvetica Neue" w:hAnsi="Helvetica Neue" w:cs="Calibri"/>
                <w:color w:val="212121"/>
              </w:rPr>
            </w:pPr>
            <w:r w:rsidRPr="001413D1">
              <w:rPr>
                <w:rFonts w:ascii="Helvetica Neue" w:hAnsi="Helvetica Neue" w:cs="Calibri"/>
                <w:color w:val="212121"/>
                <w:lang w:val="en-US"/>
              </w:rPr>
              <w:t>Fleming A, Browne J, Byrne S. The effect of interventions to reduce potentially inappropriate antibiotic prescribing in long-term care facilities: a systematic review of randomised controlled trials. </w:t>
            </w:r>
            <w:r w:rsidRPr="001413D1">
              <w:rPr>
                <w:rFonts w:ascii="Helvetica Neue" w:hAnsi="Helvetica Neue" w:cs="Calibri"/>
                <w:i/>
                <w:iCs/>
                <w:color w:val="212121"/>
              </w:rPr>
              <w:t>Drugs Aging</w:t>
            </w:r>
            <w:r w:rsidRPr="001413D1">
              <w:rPr>
                <w:rFonts w:ascii="Helvetica Neue" w:hAnsi="Helvetica Neue" w:cs="Calibri"/>
                <w:color w:val="212121"/>
              </w:rPr>
              <w:t>. 2013;30(6):401-408. doi:10.1007/s40266-013-0066-z</w:t>
            </w:r>
          </w:p>
        </w:tc>
      </w:tr>
      <w:tr w:rsidR="001413D1" w:rsidRPr="00D021FD" w14:paraId="44868779" w14:textId="77777777" w:rsidTr="001413D1">
        <w:trPr>
          <w:trHeight w:val="320"/>
        </w:trPr>
        <w:tc>
          <w:tcPr>
            <w:tcW w:w="9632" w:type="dxa"/>
            <w:tcBorders>
              <w:top w:val="nil"/>
              <w:left w:val="nil"/>
              <w:bottom w:val="nil"/>
              <w:right w:val="nil"/>
            </w:tcBorders>
            <w:shd w:val="clear" w:color="auto" w:fill="auto"/>
            <w:noWrap/>
            <w:vAlign w:val="bottom"/>
            <w:hideMark/>
          </w:tcPr>
          <w:p w14:paraId="34C6AA78" w14:textId="42DEDE1F" w:rsidR="001413D1" w:rsidRPr="001413D1" w:rsidRDefault="001413D1" w:rsidP="001413D1">
            <w:pPr>
              <w:rPr>
                <w:rFonts w:ascii="Helvetica Neue" w:hAnsi="Helvetica Neue" w:cs="Calibri"/>
                <w:color w:val="212121"/>
                <w:lang w:val="en-US"/>
              </w:rPr>
            </w:pPr>
            <w:r>
              <w:rPr>
                <w:rFonts w:ascii="Helvetica Neue" w:hAnsi="Helvetica Neue" w:cs="Calibri"/>
                <w:color w:val="212121"/>
                <w:lang w:val="en-US"/>
              </w:rPr>
              <w:t>C</w:t>
            </w:r>
            <w:r w:rsidRPr="001413D1">
              <w:rPr>
                <w:rFonts w:ascii="Helvetica Neue" w:hAnsi="Helvetica Neue" w:cs="Calibri"/>
                <w:color w:val="212121"/>
                <w:lang w:val="en-US"/>
              </w:rPr>
              <w:t>hen I, Opiyo N, Tavender E, et al. Non-clinical interventions for reducing unnecessary caesarean section. </w:t>
            </w:r>
            <w:r w:rsidRPr="001413D1">
              <w:rPr>
                <w:rFonts w:ascii="Helvetica Neue" w:hAnsi="Helvetica Neue" w:cs="Calibri"/>
                <w:i/>
                <w:iCs/>
                <w:color w:val="212121"/>
                <w:lang w:val="en-US"/>
              </w:rPr>
              <w:t>Cochrane Database Syst Rev</w:t>
            </w:r>
            <w:r w:rsidRPr="001413D1">
              <w:rPr>
                <w:rFonts w:ascii="Helvetica Neue" w:hAnsi="Helvetica Neue" w:cs="Calibri"/>
                <w:color w:val="212121"/>
                <w:lang w:val="en-US"/>
              </w:rPr>
              <w:t>. 2018;9(9):CD005528. Published 2018 Sep 28. doi:10.1002/14651858.CD005528.pub3</w:t>
            </w:r>
          </w:p>
        </w:tc>
      </w:tr>
      <w:tr w:rsidR="001413D1" w:rsidRPr="001413D1" w14:paraId="67894B50" w14:textId="77777777" w:rsidTr="001413D1">
        <w:trPr>
          <w:trHeight w:val="320"/>
        </w:trPr>
        <w:tc>
          <w:tcPr>
            <w:tcW w:w="9632" w:type="dxa"/>
            <w:tcBorders>
              <w:top w:val="nil"/>
              <w:left w:val="nil"/>
              <w:bottom w:val="nil"/>
              <w:right w:val="nil"/>
            </w:tcBorders>
            <w:shd w:val="clear" w:color="auto" w:fill="auto"/>
            <w:noWrap/>
            <w:vAlign w:val="bottom"/>
            <w:hideMark/>
          </w:tcPr>
          <w:p w14:paraId="78080A8A" w14:textId="77777777" w:rsidR="001413D1" w:rsidRPr="001413D1" w:rsidRDefault="001413D1" w:rsidP="001413D1">
            <w:pPr>
              <w:rPr>
                <w:rFonts w:ascii="Helvetica Neue" w:hAnsi="Helvetica Neue" w:cs="Calibri"/>
                <w:color w:val="212121"/>
              </w:rPr>
            </w:pPr>
            <w:r w:rsidRPr="001413D1">
              <w:rPr>
                <w:rFonts w:ascii="Helvetica Neue" w:hAnsi="Helvetica Neue" w:cs="Calibri"/>
                <w:color w:val="212121"/>
                <w:lang w:val="en-US"/>
              </w:rPr>
              <w:t>Hiscock H, Neely RJ, Warren H, Soon J, Georgiou A. Reducing Unnecessary Imaging and Pathology Tests: A Systematic Review. </w:t>
            </w:r>
            <w:r w:rsidRPr="001413D1">
              <w:rPr>
                <w:rFonts w:ascii="Helvetica Neue" w:hAnsi="Helvetica Neue" w:cs="Calibri"/>
                <w:i/>
                <w:iCs/>
                <w:color w:val="212121"/>
              </w:rPr>
              <w:t>Pediatrics</w:t>
            </w:r>
            <w:r w:rsidRPr="001413D1">
              <w:rPr>
                <w:rFonts w:ascii="Helvetica Neue" w:hAnsi="Helvetica Neue" w:cs="Calibri"/>
                <w:color w:val="212121"/>
              </w:rPr>
              <w:t>. 2018;141(2):e20172862. doi:10.1542/peds.2017-2862</w:t>
            </w:r>
          </w:p>
        </w:tc>
      </w:tr>
      <w:tr w:rsidR="001413D1" w:rsidRPr="004726BA" w14:paraId="42B067B9" w14:textId="77777777" w:rsidTr="001413D1">
        <w:trPr>
          <w:trHeight w:val="320"/>
        </w:trPr>
        <w:tc>
          <w:tcPr>
            <w:tcW w:w="9632" w:type="dxa"/>
            <w:tcBorders>
              <w:top w:val="nil"/>
              <w:left w:val="nil"/>
              <w:bottom w:val="nil"/>
              <w:right w:val="nil"/>
            </w:tcBorders>
            <w:shd w:val="clear" w:color="auto" w:fill="auto"/>
            <w:noWrap/>
            <w:vAlign w:val="bottom"/>
            <w:hideMark/>
          </w:tcPr>
          <w:p w14:paraId="191B2D95" w14:textId="77777777" w:rsidR="001413D1" w:rsidRPr="004726BA" w:rsidRDefault="001413D1" w:rsidP="001413D1">
            <w:pPr>
              <w:rPr>
                <w:rFonts w:ascii="Helvetica Neue" w:hAnsi="Helvetica Neue" w:cs="Calibri"/>
                <w:color w:val="212121"/>
                <w:lang w:val="en-US"/>
              </w:rPr>
            </w:pPr>
            <w:r w:rsidRPr="001413D1">
              <w:rPr>
                <w:rFonts w:ascii="Helvetica Neue" w:hAnsi="Helvetica Neue" w:cs="Calibri"/>
                <w:color w:val="212121"/>
                <w:lang w:val="en-US"/>
              </w:rPr>
              <w:t>Hu Y, Walley J, Chou R, et al. Interventions to reduce childhood antibiotic prescribing for upper respiratory infections: systematic review and meta-analysis. </w:t>
            </w:r>
            <w:r w:rsidRPr="004726BA">
              <w:rPr>
                <w:rFonts w:ascii="Helvetica Neue" w:hAnsi="Helvetica Neue" w:cs="Calibri"/>
                <w:i/>
                <w:iCs/>
                <w:color w:val="212121"/>
                <w:lang w:val="en-US"/>
              </w:rPr>
              <w:t>J Epidemiol Community Health</w:t>
            </w:r>
            <w:r w:rsidRPr="004726BA">
              <w:rPr>
                <w:rFonts w:ascii="Helvetica Neue" w:hAnsi="Helvetica Neue" w:cs="Calibri"/>
                <w:color w:val="212121"/>
                <w:lang w:val="en-US"/>
              </w:rPr>
              <w:t>. 2016;70(12):1162-1170. doi:10.1136/jech-2015-206543</w:t>
            </w:r>
          </w:p>
        </w:tc>
      </w:tr>
      <w:tr w:rsidR="001413D1" w:rsidRPr="001413D1" w14:paraId="7069212F" w14:textId="77777777" w:rsidTr="001413D1">
        <w:trPr>
          <w:trHeight w:val="320"/>
        </w:trPr>
        <w:tc>
          <w:tcPr>
            <w:tcW w:w="9632" w:type="dxa"/>
            <w:tcBorders>
              <w:top w:val="nil"/>
              <w:left w:val="nil"/>
              <w:bottom w:val="nil"/>
              <w:right w:val="nil"/>
            </w:tcBorders>
            <w:shd w:val="clear" w:color="auto" w:fill="auto"/>
            <w:noWrap/>
            <w:vAlign w:val="bottom"/>
            <w:hideMark/>
          </w:tcPr>
          <w:p w14:paraId="0487FFB3" w14:textId="77777777" w:rsidR="001413D1" w:rsidRPr="001413D1" w:rsidRDefault="001413D1" w:rsidP="001413D1">
            <w:pPr>
              <w:rPr>
                <w:rFonts w:ascii="Helvetica Neue" w:hAnsi="Helvetica Neue" w:cs="Calibri"/>
                <w:color w:val="303030"/>
              </w:rPr>
            </w:pPr>
            <w:r w:rsidRPr="001413D1">
              <w:rPr>
                <w:rFonts w:ascii="Helvetica Neue" w:hAnsi="Helvetica Neue" w:cs="Calibri"/>
                <w:color w:val="303030"/>
                <w:lang w:val="en-US"/>
              </w:rPr>
              <w:t>Jenkins HJ, Hancock MJ, French SD, Maher CG, Engel RM, Magnussen JS. Effectiveness of interventions designed to reduce the use of imaging for low-back pain: a systematic review. </w:t>
            </w:r>
            <w:r w:rsidRPr="001413D1">
              <w:rPr>
                <w:rFonts w:ascii="Helvetica Neue" w:hAnsi="Helvetica Neue" w:cs="Calibri"/>
                <w:i/>
                <w:iCs/>
                <w:color w:val="303030"/>
              </w:rPr>
              <w:t>CMAJ</w:t>
            </w:r>
            <w:r w:rsidRPr="001413D1">
              <w:rPr>
                <w:rFonts w:ascii="Helvetica Neue" w:hAnsi="Helvetica Neue" w:cs="Calibri"/>
                <w:color w:val="303030"/>
              </w:rPr>
              <w:t>. 2015;187(6):401-408. doi:10.1503/cmaj.141183</w:t>
            </w:r>
          </w:p>
        </w:tc>
      </w:tr>
      <w:tr w:rsidR="001413D1" w:rsidRPr="001413D1" w14:paraId="67C1765E" w14:textId="77777777" w:rsidTr="001413D1">
        <w:trPr>
          <w:trHeight w:val="320"/>
        </w:trPr>
        <w:tc>
          <w:tcPr>
            <w:tcW w:w="9632" w:type="dxa"/>
            <w:tcBorders>
              <w:top w:val="nil"/>
              <w:left w:val="nil"/>
              <w:bottom w:val="nil"/>
              <w:right w:val="nil"/>
            </w:tcBorders>
            <w:shd w:val="clear" w:color="auto" w:fill="auto"/>
            <w:noWrap/>
            <w:vAlign w:val="bottom"/>
            <w:hideMark/>
          </w:tcPr>
          <w:p w14:paraId="0C2AF9E5" w14:textId="77777777" w:rsidR="001413D1" w:rsidRPr="001413D1" w:rsidRDefault="001413D1" w:rsidP="001413D1">
            <w:pPr>
              <w:rPr>
                <w:rFonts w:ascii="Helvetica Neue" w:hAnsi="Helvetica Neue" w:cs="Calibri"/>
                <w:color w:val="212121"/>
              </w:rPr>
            </w:pPr>
            <w:r w:rsidRPr="001413D1">
              <w:rPr>
                <w:rFonts w:ascii="Helvetica Neue" w:hAnsi="Helvetica Neue" w:cs="Calibri"/>
                <w:color w:val="212121"/>
                <w:lang w:val="en-US"/>
              </w:rPr>
              <w:t>Köchling A, Löffler C, Reinsch S, et al. Reduction of antibiotic prescriptions for acute respiratory tract infections in primary care: a systematic review. </w:t>
            </w:r>
            <w:r w:rsidRPr="004726BA">
              <w:rPr>
                <w:rFonts w:ascii="Helvetica Neue" w:hAnsi="Helvetica Neue" w:cs="Calibri"/>
                <w:i/>
                <w:iCs/>
                <w:color w:val="212121"/>
                <w:lang w:val="en-US"/>
              </w:rPr>
              <w:t>Implement Sci</w:t>
            </w:r>
            <w:r w:rsidRPr="004726BA">
              <w:rPr>
                <w:rFonts w:ascii="Helvetica Neue" w:hAnsi="Helvetica Neue" w:cs="Calibri"/>
                <w:color w:val="212121"/>
                <w:lang w:val="en-US"/>
              </w:rPr>
              <w:t xml:space="preserve">. 2018;13(1):47. </w:t>
            </w:r>
            <w:r w:rsidRPr="001413D1">
              <w:rPr>
                <w:rFonts w:ascii="Helvetica Neue" w:hAnsi="Helvetica Neue" w:cs="Calibri"/>
                <w:color w:val="212121"/>
              </w:rPr>
              <w:t>Published 2018 Mar 20. doi:10.1186/s13012-018-0732-y</w:t>
            </w:r>
          </w:p>
        </w:tc>
      </w:tr>
      <w:tr w:rsidR="001413D1" w:rsidRPr="004726BA" w14:paraId="4D0B1FF2" w14:textId="77777777" w:rsidTr="001413D1">
        <w:trPr>
          <w:trHeight w:val="320"/>
        </w:trPr>
        <w:tc>
          <w:tcPr>
            <w:tcW w:w="9632" w:type="dxa"/>
            <w:tcBorders>
              <w:top w:val="nil"/>
              <w:left w:val="nil"/>
              <w:bottom w:val="nil"/>
              <w:right w:val="nil"/>
            </w:tcBorders>
            <w:shd w:val="clear" w:color="auto" w:fill="auto"/>
            <w:noWrap/>
            <w:vAlign w:val="bottom"/>
            <w:hideMark/>
          </w:tcPr>
          <w:p w14:paraId="03E6EC7D" w14:textId="77777777" w:rsidR="001413D1" w:rsidRPr="004726BA" w:rsidRDefault="001413D1" w:rsidP="001413D1">
            <w:pPr>
              <w:rPr>
                <w:rFonts w:ascii="Helvetica Neue" w:hAnsi="Helvetica Neue" w:cs="Calibri"/>
                <w:color w:val="212121"/>
                <w:lang w:val="en-US"/>
              </w:rPr>
            </w:pPr>
            <w:r w:rsidRPr="001413D1">
              <w:rPr>
                <w:rFonts w:ascii="Helvetica Neue" w:hAnsi="Helvetica Neue" w:cs="Calibri"/>
                <w:color w:val="212121"/>
                <w:lang w:val="en-US"/>
              </w:rPr>
              <w:t>Mokhar A, Topp J, Härter M, et al. Patient-centered care interventions to reduce the inappropriate prescription and use of benzodiazepines and z-drugs: a systematic review. </w:t>
            </w:r>
            <w:r w:rsidRPr="004726BA">
              <w:rPr>
                <w:rFonts w:ascii="Helvetica Neue" w:hAnsi="Helvetica Neue" w:cs="Calibri"/>
                <w:i/>
                <w:iCs/>
                <w:color w:val="212121"/>
                <w:lang w:val="en-US"/>
              </w:rPr>
              <w:t>PeerJ</w:t>
            </w:r>
            <w:r w:rsidRPr="004726BA">
              <w:rPr>
                <w:rFonts w:ascii="Helvetica Neue" w:hAnsi="Helvetica Neue" w:cs="Calibri"/>
                <w:color w:val="212121"/>
                <w:lang w:val="en-US"/>
              </w:rPr>
              <w:t>. 2018;6:e5535. Published 2018 Oct 8. doi:10.7717/peerj.5535</w:t>
            </w:r>
          </w:p>
        </w:tc>
      </w:tr>
      <w:tr w:rsidR="001413D1" w:rsidRPr="004726BA" w14:paraId="1C776C12" w14:textId="77777777" w:rsidTr="001413D1">
        <w:trPr>
          <w:trHeight w:val="320"/>
        </w:trPr>
        <w:tc>
          <w:tcPr>
            <w:tcW w:w="9632" w:type="dxa"/>
            <w:tcBorders>
              <w:top w:val="nil"/>
              <w:left w:val="nil"/>
              <w:bottom w:val="nil"/>
              <w:right w:val="nil"/>
            </w:tcBorders>
            <w:shd w:val="clear" w:color="auto" w:fill="auto"/>
            <w:noWrap/>
            <w:vAlign w:val="bottom"/>
            <w:hideMark/>
          </w:tcPr>
          <w:p w14:paraId="3ED56B05" w14:textId="77777777" w:rsidR="001413D1" w:rsidRPr="004726BA" w:rsidRDefault="001413D1" w:rsidP="001413D1">
            <w:pPr>
              <w:rPr>
                <w:rFonts w:ascii="Helvetica Neue" w:hAnsi="Helvetica Neue" w:cs="Calibri"/>
                <w:color w:val="333333"/>
                <w:lang w:val="en-US"/>
              </w:rPr>
            </w:pPr>
            <w:r w:rsidRPr="001413D1">
              <w:rPr>
                <w:rFonts w:ascii="Helvetica Neue" w:hAnsi="Helvetica Neue" w:cs="Calibri"/>
                <w:color w:val="333333"/>
                <w:lang w:val="en-US"/>
              </w:rPr>
              <w:t>Mortazhejri, S., Hong, P.J., Yu, A.M. </w:t>
            </w:r>
            <w:r w:rsidRPr="001413D1">
              <w:rPr>
                <w:rFonts w:ascii="Helvetica Neue" w:hAnsi="Helvetica Neue" w:cs="Calibri"/>
                <w:i/>
                <w:iCs/>
                <w:color w:val="333333"/>
                <w:lang w:val="en-US"/>
              </w:rPr>
              <w:t>et al.</w:t>
            </w:r>
            <w:r w:rsidRPr="001413D1">
              <w:rPr>
                <w:rFonts w:ascii="Helvetica Neue" w:hAnsi="Helvetica Neue" w:cs="Calibri"/>
                <w:color w:val="333333"/>
                <w:lang w:val="en-US"/>
              </w:rPr>
              <w:t> Systematic review of patient-oriented interventions to reduce unnecessary use of antibiotics for upper respiratory tract infections. </w:t>
            </w:r>
            <w:r w:rsidRPr="004726BA">
              <w:rPr>
                <w:rFonts w:ascii="Helvetica Neue" w:hAnsi="Helvetica Neue" w:cs="Calibri"/>
                <w:i/>
                <w:iCs/>
                <w:color w:val="333333"/>
                <w:lang w:val="en-US"/>
              </w:rPr>
              <w:t>Syst Rev</w:t>
            </w:r>
            <w:r w:rsidRPr="004726BA">
              <w:rPr>
                <w:rFonts w:ascii="Helvetica Neue" w:hAnsi="Helvetica Neue" w:cs="Calibri"/>
                <w:color w:val="333333"/>
                <w:lang w:val="en-US"/>
              </w:rPr>
              <w:t> </w:t>
            </w:r>
            <w:r w:rsidRPr="004726BA">
              <w:rPr>
                <w:rFonts w:ascii="Helvetica Neue" w:hAnsi="Helvetica Neue" w:cs="Calibri"/>
                <w:b/>
                <w:bCs/>
                <w:color w:val="333333"/>
                <w:lang w:val="en-US"/>
              </w:rPr>
              <w:t>9, </w:t>
            </w:r>
            <w:r w:rsidRPr="004726BA">
              <w:rPr>
                <w:rFonts w:ascii="Helvetica Neue" w:hAnsi="Helvetica Neue" w:cs="Calibri"/>
                <w:color w:val="333333"/>
                <w:lang w:val="en-US"/>
              </w:rPr>
              <w:t>106 (2020). https://doi.org/10.1186/s13643-020-01359-w</w:t>
            </w:r>
          </w:p>
        </w:tc>
      </w:tr>
      <w:tr w:rsidR="001413D1" w:rsidRPr="001413D1" w14:paraId="52D8D326" w14:textId="77777777" w:rsidTr="001413D1">
        <w:trPr>
          <w:trHeight w:val="320"/>
        </w:trPr>
        <w:tc>
          <w:tcPr>
            <w:tcW w:w="9632" w:type="dxa"/>
            <w:tcBorders>
              <w:top w:val="nil"/>
              <w:left w:val="nil"/>
              <w:bottom w:val="nil"/>
              <w:right w:val="nil"/>
            </w:tcBorders>
            <w:shd w:val="clear" w:color="auto" w:fill="auto"/>
            <w:noWrap/>
            <w:vAlign w:val="bottom"/>
            <w:hideMark/>
          </w:tcPr>
          <w:p w14:paraId="2C79AC6E" w14:textId="77777777" w:rsidR="001413D1" w:rsidRPr="001413D1" w:rsidRDefault="001413D1" w:rsidP="001413D1">
            <w:pPr>
              <w:rPr>
                <w:rFonts w:ascii="Helvetica Neue" w:hAnsi="Helvetica Neue" w:cs="Calibri"/>
                <w:color w:val="212121"/>
              </w:rPr>
            </w:pPr>
            <w:r w:rsidRPr="001413D1">
              <w:rPr>
                <w:rFonts w:ascii="Helvetica Neue" w:hAnsi="Helvetica Neue" w:cs="Calibri"/>
                <w:color w:val="212121"/>
                <w:lang w:val="en-US"/>
              </w:rPr>
              <w:t>Ranji SR, Steinman MA, Shojania KG, Gonzales R. Interventions to reduce unnecessary antibiotic prescribing: a systematic review and quantitative analysis. </w:t>
            </w:r>
            <w:r w:rsidRPr="001413D1">
              <w:rPr>
                <w:rFonts w:ascii="Helvetica Neue" w:hAnsi="Helvetica Neue" w:cs="Calibri"/>
                <w:i/>
                <w:iCs/>
                <w:color w:val="212121"/>
              </w:rPr>
              <w:t>Med Care</w:t>
            </w:r>
            <w:r w:rsidRPr="001413D1">
              <w:rPr>
                <w:rFonts w:ascii="Helvetica Neue" w:hAnsi="Helvetica Neue" w:cs="Calibri"/>
                <w:color w:val="212121"/>
              </w:rPr>
              <w:t>. 2008;46(8):847-</w:t>
            </w:r>
            <w:r w:rsidRPr="001413D1">
              <w:rPr>
                <w:rFonts w:ascii="Helvetica Neue" w:hAnsi="Helvetica Neue" w:cs="Calibri"/>
                <w:color w:val="212121"/>
              </w:rPr>
              <w:lastRenderedPageBreak/>
              <w:t>862. doi:10.1097/MLR.0b013e318178eabd</w:t>
            </w:r>
          </w:p>
        </w:tc>
      </w:tr>
      <w:tr w:rsidR="001413D1" w:rsidRPr="004726BA" w14:paraId="3EDC11DD" w14:textId="77777777" w:rsidTr="001413D1">
        <w:trPr>
          <w:trHeight w:val="320"/>
        </w:trPr>
        <w:tc>
          <w:tcPr>
            <w:tcW w:w="9632" w:type="dxa"/>
            <w:tcBorders>
              <w:top w:val="nil"/>
              <w:left w:val="nil"/>
              <w:bottom w:val="nil"/>
              <w:right w:val="nil"/>
            </w:tcBorders>
            <w:shd w:val="clear" w:color="auto" w:fill="auto"/>
            <w:noWrap/>
            <w:vAlign w:val="bottom"/>
            <w:hideMark/>
          </w:tcPr>
          <w:p w14:paraId="632934D1" w14:textId="77777777" w:rsidR="001413D1" w:rsidRPr="004726BA" w:rsidRDefault="001413D1" w:rsidP="001413D1">
            <w:pPr>
              <w:rPr>
                <w:rFonts w:ascii="Helvetica Neue" w:hAnsi="Helvetica Neue" w:cs="Calibri"/>
                <w:color w:val="333333"/>
                <w:lang w:val="en-US"/>
              </w:rPr>
            </w:pPr>
            <w:r w:rsidRPr="001413D1">
              <w:rPr>
                <w:rFonts w:ascii="Helvetica Neue" w:hAnsi="Helvetica Neue" w:cs="Calibri"/>
                <w:color w:val="333333"/>
                <w:lang w:val="en-US"/>
              </w:rPr>
              <w:lastRenderedPageBreak/>
              <w:t>Rietbergen, T., Spoon, D., Brunsveld-Reinders, A.H. </w:t>
            </w:r>
            <w:r w:rsidRPr="001413D1">
              <w:rPr>
                <w:rFonts w:ascii="Helvetica Neue" w:hAnsi="Helvetica Neue" w:cs="Calibri"/>
                <w:i/>
                <w:iCs/>
                <w:color w:val="333333"/>
                <w:lang w:val="en-US"/>
              </w:rPr>
              <w:t>et al.</w:t>
            </w:r>
            <w:r w:rsidRPr="001413D1">
              <w:rPr>
                <w:rFonts w:ascii="Helvetica Neue" w:hAnsi="Helvetica Neue" w:cs="Calibri"/>
                <w:color w:val="333333"/>
                <w:lang w:val="en-US"/>
              </w:rPr>
              <w:t> Effects of de-implementation strategies aimed at reducing low-value nursing procedures: a systematic review and meta-analysis. </w:t>
            </w:r>
            <w:r w:rsidRPr="004726BA">
              <w:rPr>
                <w:rFonts w:ascii="Helvetica Neue" w:hAnsi="Helvetica Neue" w:cs="Calibri"/>
                <w:i/>
                <w:iCs/>
                <w:color w:val="333333"/>
                <w:lang w:val="en-US"/>
              </w:rPr>
              <w:t>Implementation Sci</w:t>
            </w:r>
            <w:r w:rsidRPr="004726BA">
              <w:rPr>
                <w:rFonts w:ascii="Helvetica Neue" w:hAnsi="Helvetica Neue" w:cs="Calibri"/>
                <w:color w:val="333333"/>
                <w:lang w:val="en-US"/>
              </w:rPr>
              <w:t> </w:t>
            </w:r>
            <w:r w:rsidRPr="004726BA">
              <w:rPr>
                <w:rFonts w:ascii="Helvetica Neue" w:hAnsi="Helvetica Neue" w:cs="Calibri"/>
                <w:b/>
                <w:bCs/>
                <w:color w:val="333333"/>
                <w:lang w:val="en-US"/>
              </w:rPr>
              <w:t>15, </w:t>
            </w:r>
            <w:r w:rsidRPr="004726BA">
              <w:rPr>
                <w:rFonts w:ascii="Helvetica Neue" w:hAnsi="Helvetica Neue" w:cs="Calibri"/>
                <w:color w:val="333333"/>
                <w:lang w:val="en-US"/>
              </w:rPr>
              <w:t>38 (2020). https://doi.org/10.1186/s13012-020-00995-z</w:t>
            </w:r>
          </w:p>
        </w:tc>
      </w:tr>
      <w:tr w:rsidR="001413D1" w:rsidRPr="001413D1" w14:paraId="4F3036B4" w14:textId="77777777" w:rsidTr="001413D1">
        <w:trPr>
          <w:trHeight w:val="320"/>
        </w:trPr>
        <w:tc>
          <w:tcPr>
            <w:tcW w:w="9632" w:type="dxa"/>
            <w:tcBorders>
              <w:top w:val="nil"/>
              <w:left w:val="nil"/>
              <w:bottom w:val="nil"/>
              <w:right w:val="nil"/>
            </w:tcBorders>
            <w:shd w:val="clear" w:color="auto" w:fill="auto"/>
            <w:noWrap/>
            <w:vAlign w:val="bottom"/>
            <w:hideMark/>
          </w:tcPr>
          <w:p w14:paraId="1BA62042" w14:textId="77777777" w:rsidR="001413D1" w:rsidRPr="001413D1" w:rsidRDefault="001413D1" w:rsidP="001413D1">
            <w:pPr>
              <w:rPr>
                <w:rFonts w:ascii="Helvetica Neue" w:hAnsi="Helvetica Neue" w:cs="Calibri"/>
                <w:color w:val="212121"/>
              </w:rPr>
            </w:pPr>
            <w:r w:rsidRPr="001413D1">
              <w:rPr>
                <w:rFonts w:ascii="Helvetica Neue" w:hAnsi="Helvetica Neue" w:cs="Calibri"/>
                <w:color w:val="212121"/>
                <w:lang w:val="en-US"/>
              </w:rPr>
              <w:t>Santos NSD, Marengo LL, Moraes FDS, Barberato Filho S. Interventions to reduce the prescription of inappropriate medicines in older patients. </w:t>
            </w:r>
            <w:r w:rsidRPr="001413D1">
              <w:rPr>
                <w:rFonts w:ascii="Helvetica Neue" w:hAnsi="Helvetica Neue" w:cs="Calibri"/>
                <w:i/>
                <w:iCs/>
                <w:color w:val="212121"/>
              </w:rPr>
              <w:t>Rev Saude Publica</w:t>
            </w:r>
            <w:r w:rsidRPr="001413D1">
              <w:rPr>
                <w:rFonts w:ascii="Helvetica Neue" w:hAnsi="Helvetica Neue" w:cs="Calibri"/>
                <w:color w:val="212121"/>
              </w:rPr>
              <w:t>. 2019;53:7. Published 2019 Jan 31. doi:10.11606/S1518-8787.2019053000781</w:t>
            </w:r>
          </w:p>
        </w:tc>
      </w:tr>
      <w:tr w:rsidR="001413D1" w:rsidRPr="004726BA" w14:paraId="706C980B" w14:textId="77777777" w:rsidTr="001413D1">
        <w:trPr>
          <w:trHeight w:val="320"/>
        </w:trPr>
        <w:tc>
          <w:tcPr>
            <w:tcW w:w="9632" w:type="dxa"/>
            <w:tcBorders>
              <w:top w:val="nil"/>
              <w:left w:val="nil"/>
              <w:bottom w:val="nil"/>
              <w:right w:val="nil"/>
            </w:tcBorders>
            <w:shd w:val="clear" w:color="auto" w:fill="auto"/>
            <w:noWrap/>
            <w:vAlign w:val="bottom"/>
            <w:hideMark/>
          </w:tcPr>
          <w:p w14:paraId="07AF701C" w14:textId="77777777" w:rsidR="001413D1" w:rsidRPr="004726BA" w:rsidRDefault="001413D1" w:rsidP="001413D1">
            <w:pPr>
              <w:rPr>
                <w:rFonts w:ascii="Helvetica Neue" w:hAnsi="Helvetica Neue" w:cs="Calibri"/>
                <w:color w:val="212121"/>
                <w:lang w:val="en-US"/>
              </w:rPr>
            </w:pPr>
            <w:r w:rsidRPr="001413D1">
              <w:rPr>
                <w:rFonts w:ascii="Helvetica Neue" w:hAnsi="Helvetica Neue" w:cs="Calibri"/>
                <w:color w:val="212121"/>
                <w:lang w:val="en-US"/>
              </w:rPr>
              <w:t>Sypes EE, de Grood C, Whalen-Browne L, et al. Engaging patients in de-implementation interventions to reduce low-value clinical care: a systematic review and meta-analysis. </w:t>
            </w:r>
            <w:r w:rsidRPr="004726BA">
              <w:rPr>
                <w:rFonts w:ascii="Helvetica Neue" w:hAnsi="Helvetica Neue" w:cs="Calibri"/>
                <w:i/>
                <w:iCs/>
                <w:color w:val="212121"/>
                <w:lang w:val="en-US"/>
              </w:rPr>
              <w:t>BMC Med</w:t>
            </w:r>
            <w:r w:rsidRPr="004726BA">
              <w:rPr>
                <w:rFonts w:ascii="Helvetica Neue" w:hAnsi="Helvetica Neue" w:cs="Calibri"/>
                <w:color w:val="212121"/>
                <w:lang w:val="en-US"/>
              </w:rPr>
              <w:t>. 2020;18(1):116. Published 2020 May 8. doi:10.1186/s12916-020-01567-0</w:t>
            </w:r>
          </w:p>
        </w:tc>
      </w:tr>
      <w:tr w:rsidR="001413D1" w:rsidRPr="00D021FD" w14:paraId="7338D6DC" w14:textId="77777777" w:rsidTr="001413D1">
        <w:trPr>
          <w:trHeight w:val="320"/>
        </w:trPr>
        <w:tc>
          <w:tcPr>
            <w:tcW w:w="9632" w:type="dxa"/>
            <w:tcBorders>
              <w:top w:val="nil"/>
              <w:left w:val="nil"/>
              <w:bottom w:val="nil"/>
              <w:right w:val="nil"/>
            </w:tcBorders>
            <w:shd w:val="clear" w:color="auto" w:fill="auto"/>
            <w:noWrap/>
            <w:vAlign w:val="bottom"/>
            <w:hideMark/>
          </w:tcPr>
          <w:p w14:paraId="1111CED7" w14:textId="77777777" w:rsidR="001413D1" w:rsidRPr="001413D1" w:rsidRDefault="001413D1" w:rsidP="001413D1">
            <w:pPr>
              <w:rPr>
                <w:rFonts w:ascii="Helvetica Neue" w:hAnsi="Helvetica Neue" w:cs="Calibri"/>
                <w:color w:val="212121"/>
                <w:lang w:val="en-US"/>
              </w:rPr>
            </w:pPr>
            <w:r w:rsidRPr="001413D1">
              <w:rPr>
                <w:rFonts w:ascii="Helvetica Neue" w:hAnsi="Helvetica Neue" w:cs="Calibri"/>
                <w:color w:val="212121"/>
              </w:rPr>
              <w:t xml:space="preserve">Tonkin-Crine SK, Tan PS, van Hecke O, et al. </w:t>
            </w:r>
            <w:r w:rsidRPr="001413D1">
              <w:rPr>
                <w:rFonts w:ascii="Helvetica Neue" w:hAnsi="Helvetica Neue" w:cs="Calibri"/>
                <w:color w:val="212121"/>
                <w:lang w:val="en-US"/>
              </w:rPr>
              <w:t>Clinician-targeted interventions to influence antibiotic prescribing behaviour for acute respiratory infections in primary care: an overview of systematic reviews. </w:t>
            </w:r>
            <w:r w:rsidRPr="001413D1">
              <w:rPr>
                <w:rFonts w:ascii="Helvetica Neue" w:hAnsi="Helvetica Neue" w:cs="Calibri"/>
                <w:i/>
                <w:iCs/>
                <w:color w:val="212121"/>
                <w:lang w:val="en-US"/>
              </w:rPr>
              <w:t>Cochrane Database Syst Rev</w:t>
            </w:r>
            <w:r w:rsidRPr="001413D1">
              <w:rPr>
                <w:rFonts w:ascii="Helvetica Neue" w:hAnsi="Helvetica Neue" w:cs="Calibri"/>
                <w:color w:val="212121"/>
                <w:lang w:val="en-US"/>
              </w:rPr>
              <w:t>. 2017;9(9):CD012252. Published 2017 Sep 7. doi:10.1002/14651858.CD012252.pub2</w:t>
            </w:r>
          </w:p>
        </w:tc>
      </w:tr>
      <w:tr w:rsidR="001413D1" w:rsidRPr="001413D1" w14:paraId="619804F5" w14:textId="77777777" w:rsidTr="001413D1">
        <w:trPr>
          <w:trHeight w:val="320"/>
        </w:trPr>
        <w:tc>
          <w:tcPr>
            <w:tcW w:w="9632" w:type="dxa"/>
            <w:tcBorders>
              <w:top w:val="nil"/>
              <w:left w:val="nil"/>
              <w:bottom w:val="nil"/>
              <w:right w:val="nil"/>
            </w:tcBorders>
            <w:shd w:val="clear" w:color="auto" w:fill="auto"/>
            <w:noWrap/>
            <w:vAlign w:val="bottom"/>
            <w:hideMark/>
          </w:tcPr>
          <w:p w14:paraId="66979E12" w14:textId="77777777" w:rsidR="001413D1" w:rsidRPr="001413D1" w:rsidRDefault="001413D1" w:rsidP="001413D1">
            <w:pPr>
              <w:rPr>
                <w:rFonts w:ascii="Helvetica Neue" w:hAnsi="Helvetica Neue" w:cs="Calibri"/>
                <w:color w:val="212121"/>
              </w:rPr>
            </w:pPr>
            <w:r w:rsidRPr="001413D1">
              <w:rPr>
                <w:rFonts w:ascii="Helvetica Neue" w:hAnsi="Helvetica Neue" w:cs="Calibri"/>
                <w:color w:val="212121"/>
              </w:rPr>
              <w:t xml:space="preserve">Vodicka TA, Thompson M, Lucas P, et al. </w:t>
            </w:r>
            <w:r w:rsidRPr="001413D1">
              <w:rPr>
                <w:rFonts w:ascii="Helvetica Neue" w:hAnsi="Helvetica Neue" w:cs="Calibri"/>
                <w:color w:val="212121"/>
                <w:lang w:val="en-US"/>
              </w:rPr>
              <w:t>Reducing antibiotic prescribing for children with respiratory tract infections in primary care: a systematic review. </w:t>
            </w:r>
            <w:r w:rsidRPr="001413D1">
              <w:rPr>
                <w:rFonts w:ascii="Helvetica Neue" w:hAnsi="Helvetica Neue" w:cs="Calibri"/>
                <w:i/>
                <w:iCs/>
                <w:color w:val="212121"/>
              </w:rPr>
              <w:t>Br J Gen Pract</w:t>
            </w:r>
            <w:r w:rsidRPr="001413D1">
              <w:rPr>
                <w:rFonts w:ascii="Helvetica Neue" w:hAnsi="Helvetica Neue" w:cs="Calibri"/>
                <w:color w:val="212121"/>
              </w:rPr>
              <w:t>. 2013;63(612):e445-e454. doi:10.3399/bjgp13X669167</w:t>
            </w:r>
          </w:p>
        </w:tc>
      </w:tr>
      <w:tr w:rsidR="001413D1" w:rsidRPr="001413D1" w14:paraId="33A90CEB" w14:textId="77777777" w:rsidTr="001413D1">
        <w:trPr>
          <w:trHeight w:val="320"/>
        </w:trPr>
        <w:tc>
          <w:tcPr>
            <w:tcW w:w="9632" w:type="dxa"/>
            <w:tcBorders>
              <w:top w:val="nil"/>
              <w:left w:val="nil"/>
              <w:bottom w:val="nil"/>
              <w:right w:val="nil"/>
            </w:tcBorders>
            <w:shd w:val="clear" w:color="auto" w:fill="auto"/>
            <w:noWrap/>
            <w:vAlign w:val="bottom"/>
            <w:hideMark/>
          </w:tcPr>
          <w:p w14:paraId="200324D7" w14:textId="77777777" w:rsidR="001413D1" w:rsidRPr="001413D1" w:rsidRDefault="001413D1" w:rsidP="001413D1">
            <w:pPr>
              <w:rPr>
                <w:rFonts w:ascii="Helvetica Neue" w:hAnsi="Helvetica Neue" w:cs="Calibri"/>
                <w:color w:val="212121"/>
              </w:rPr>
            </w:pPr>
            <w:r w:rsidRPr="001413D1">
              <w:rPr>
                <w:rFonts w:ascii="Helvetica Neue" w:hAnsi="Helvetica Neue" w:cs="Calibri"/>
                <w:color w:val="212121"/>
                <w:lang w:val="en-US"/>
              </w:rPr>
              <w:t>Xiong Z, Chen H. Interventions to reduce unnecessary central venous catheter use to prevent central-line-associated bloodstream infections in adults: A systematic review. </w:t>
            </w:r>
            <w:r w:rsidRPr="001413D1">
              <w:rPr>
                <w:rFonts w:ascii="Helvetica Neue" w:hAnsi="Helvetica Neue" w:cs="Calibri"/>
                <w:i/>
                <w:iCs/>
                <w:color w:val="212121"/>
              </w:rPr>
              <w:t>Infect Control Hosp Epidemiol</w:t>
            </w:r>
            <w:r w:rsidRPr="001413D1">
              <w:rPr>
                <w:rFonts w:ascii="Helvetica Neue" w:hAnsi="Helvetica Neue" w:cs="Calibri"/>
                <w:color w:val="212121"/>
              </w:rPr>
              <w:t>. 2018;39(12):1442-1448. doi:10.1017/ice.2018.250</w:t>
            </w:r>
          </w:p>
        </w:tc>
      </w:tr>
      <w:tr w:rsidR="001413D1" w:rsidRPr="00D8066A" w14:paraId="7056DA66" w14:textId="77777777" w:rsidTr="001413D1">
        <w:trPr>
          <w:trHeight w:val="320"/>
        </w:trPr>
        <w:tc>
          <w:tcPr>
            <w:tcW w:w="9632" w:type="dxa"/>
            <w:tcBorders>
              <w:top w:val="nil"/>
              <w:left w:val="nil"/>
              <w:bottom w:val="nil"/>
              <w:right w:val="nil"/>
            </w:tcBorders>
            <w:shd w:val="clear" w:color="auto" w:fill="auto"/>
            <w:noWrap/>
            <w:vAlign w:val="bottom"/>
            <w:hideMark/>
          </w:tcPr>
          <w:p w14:paraId="776171C7" w14:textId="77777777" w:rsidR="001413D1" w:rsidRPr="004726BA" w:rsidRDefault="001413D1" w:rsidP="001413D1">
            <w:pPr>
              <w:rPr>
                <w:rFonts w:ascii="Helvetica Neue" w:hAnsi="Helvetica Neue" w:cs="Calibri"/>
                <w:color w:val="212121"/>
                <w:lang w:val="en-US"/>
              </w:rPr>
            </w:pPr>
            <w:r w:rsidRPr="001413D1">
              <w:rPr>
                <w:rFonts w:ascii="Helvetica Neue" w:hAnsi="Helvetica Neue" w:cs="Calibri"/>
                <w:color w:val="212121"/>
                <w:lang w:val="en-US"/>
              </w:rPr>
              <w:t>Zhelev Z, Abbott R, Rogers M, et al. Effectiveness of interventions to reduce ordering of thyroid function tests: a systematic review. </w:t>
            </w:r>
            <w:r w:rsidRPr="00C43215">
              <w:rPr>
                <w:rFonts w:ascii="Helvetica Neue" w:hAnsi="Helvetica Neue" w:cs="Calibri"/>
                <w:i/>
                <w:iCs/>
                <w:color w:val="212121"/>
                <w:lang w:val="en-US"/>
              </w:rPr>
              <w:t>BMJ Open</w:t>
            </w:r>
            <w:r w:rsidRPr="00C43215">
              <w:rPr>
                <w:rFonts w:ascii="Helvetica Neue" w:hAnsi="Helvetica Neue" w:cs="Calibri"/>
                <w:color w:val="212121"/>
                <w:lang w:val="en-US"/>
              </w:rPr>
              <w:t xml:space="preserve">. 2016;6(6):e010065. </w:t>
            </w:r>
            <w:r w:rsidRPr="004726BA">
              <w:rPr>
                <w:rFonts w:ascii="Helvetica Neue" w:hAnsi="Helvetica Neue" w:cs="Calibri"/>
                <w:color w:val="212121"/>
                <w:lang w:val="en-US"/>
              </w:rPr>
              <w:t>Published 2016 Jun 3. doi:10.1136/bmjopen-2015-010065</w:t>
            </w:r>
          </w:p>
        </w:tc>
      </w:tr>
    </w:tbl>
    <w:p w14:paraId="28651B6C" w14:textId="77777777" w:rsidR="001413D1" w:rsidRDefault="001413D1" w:rsidP="00F04D7F">
      <w:pPr>
        <w:rPr>
          <w:rFonts w:ascii="Calibri" w:hAnsi="Calibri"/>
          <w:b/>
          <w:sz w:val="22"/>
          <w:szCs w:val="22"/>
          <w:lang w:val="en-US"/>
        </w:rPr>
        <w:sectPr w:rsidR="001413D1" w:rsidSect="00BD62DD">
          <w:pgSz w:w="11900" w:h="16840"/>
          <w:pgMar w:top="1417" w:right="1134" w:bottom="1417" w:left="1134" w:header="708" w:footer="708" w:gutter="0"/>
          <w:cols w:space="708"/>
          <w:docGrid w:linePitch="360"/>
        </w:sectPr>
      </w:pPr>
    </w:p>
    <w:p w14:paraId="1559E76D" w14:textId="77777777" w:rsidR="00492DD7" w:rsidRDefault="00492DD7" w:rsidP="00F04D7F">
      <w:pPr>
        <w:rPr>
          <w:rFonts w:ascii="Calibri" w:hAnsi="Calibri"/>
          <w:b/>
          <w:sz w:val="26"/>
          <w:szCs w:val="26"/>
          <w:lang w:val="en-US"/>
        </w:rPr>
      </w:pPr>
    </w:p>
    <w:p w14:paraId="75E83D8A" w14:textId="55AC1137" w:rsidR="00492DD7" w:rsidRPr="007B0EF6" w:rsidRDefault="00492DD7" w:rsidP="00492DD7">
      <w:pPr>
        <w:rPr>
          <w:rFonts w:ascii="Calibri" w:hAnsi="Calibri"/>
          <w:sz w:val="26"/>
          <w:szCs w:val="26"/>
          <w:lang w:val="en-US"/>
        </w:rPr>
      </w:pPr>
      <w:r w:rsidRPr="007B0EF6">
        <w:rPr>
          <w:rFonts w:ascii="Calibri" w:hAnsi="Calibri"/>
          <w:b/>
          <w:sz w:val="26"/>
          <w:szCs w:val="26"/>
          <w:lang w:val="en-US"/>
        </w:rPr>
        <w:t xml:space="preserve">eFigure </w:t>
      </w:r>
      <w:r>
        <w:rPr>
          <w:rFonts w:ascii="Calibri" w:hAnsi="Calibri"/>
          <w:b/>
          <w:sz w:val="26"/>
          <w:szCs w:val="26"/>
          <w:lang w:val="en-US"/>
        </w:rPr>
        <w:t>2</w:t>
      </w:r>
      <w:r w:rsidRPr="007B0EF6">
        <w:rPr>
          <w:rFonts w:ascii="Calibri" w:hAnsi="Calibri"/>
          <w:b/>
          <w:sz w:val="26"/>
          <w:szCs w:val="26"/>
          <w:lang w:val="en-US"/>
        </w:rPr>
        <w:t xml:space="preserve">. </w:t>
      </w:r>
      <w:r w:rsidRPr="007B0EF6">
        <w:rPr>
          <w:rFonts w:ascii="Calibri" w:hAnsi="Calibri"/>
          <w:sz w:val="26"/>
          <w:szCs w:val="26"/>
          <w:lang w:val="en-US"/>
        </w:rPr>
        <w:t>Published studies per medical content area</w:t>
      </w:r>
      <w:r w:rsidRPr="007B0EF6">
        <w:rPr>
          <w:rFonts w:ascii="Calibri" w:hAnsi="Calibri"/>
          <w:sz w:val="26"/>
          <w:szCs w:val="26"/>
          <w:lang w:val="en-US"/>
        </w:rPr>
        <w:tab/>
      </w:r>
    </w:p>
    <w:p w14:paraId="698DDAC8" w14:textId="57ABC2A2" w:rsidR="00492DD7" w:rsidRDefault="00D8066A" w:rsidP="00492DD7">
      <w:pPr>
        <w:rPr>
          <w:lang w:val="en-US"/>
        </w:rPr>
      </w:pPr>
      <w:r>
        <w:rPr>
          <w:noProof/>
          <w:lang w:val="en-US"/>
        </w:rPr>
        <w:drawing>
          <wp:inline distT="0" distB="0" distL="0" distR="0" wp14:anchorId="7356B79C" wp14:editId="676A8CC8">
            <wp:extent cx="6116320" cy="5674995"/>
            <wp:effectExtent l="0" t="0" r="508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16320" cy="5674995"/>
                    </a:xfrm>
                    <a:prstGeom prst="rect">
                      <a:avLst/>
                    </a:prstGeom>
                  </pic:spPr>
                </pic:pic>
              </a:graphicData>
            </a:graphic>
          </wp:inline>
        </w:drawing>
      </w:r>
    </w:p>
    <w:p w14:paraId="020F0A0B" w14:textId="77777777" w:rsidR="00492DD7" w:rsidRDefault="00492DD7" w:rsidP="00492DD7">
      <w:pPr>
        <w:rPr>
          <w:rFonts w:ascii="Calibri" w:hAnsi="Calibri"/>
          <w:b/>
          <w:sz w:val="22"/>
          <w:szCs w:val="22"/>
          <w:lang w:val="en-US"/>
        </w:rPr>
      </w:pPr>
    </w:p>
    <w:p w14:paraId="1601043E" w14:textId="77777777" w:rsidR="00492DD7" w:rsidRDefault="00492DD7" w:rsidP="00492DD7">
      <w:pPr>
        <w:rPr>
          <w:rFonts w:ascii="Calibri" w:hAnsi="Calibri"/>
          <w:b/>
          <w:sz w:val="22"/>
          <w:szCs w:val="22"/>
          <w:lang w:val="en-US"/>
        </w:rPr>
      </w:pPr>
    </w:p>
    <w:p w14:paraId="400C7380" w14:textId="77777777" w:rsidR="00492DD7" w:rsidRDefault="00492DD7" w:rsidP="00492DD7">
      <w:pPr>
        <w:rPr>
          <w:rFonts w:ascii="Calibri" w:hAnsi="Calibri"/>
          <w:b/>
          <w:sz w:val="22"/>
          <w:szCs w:val="22"/>
          <w:lang w:val="en-US"/>
        </w:rPr>
      </w:pPr>
      <w:r>
        <w:rPr>
          <w:rFonts w:ascii="Calibri" w:hAnsi="Calibri"/>
          <w:b/>
          <w:sz w:val="22"/>
          <w:szCs w:val="22"/>
          <w:lang w:val="en-US"/>
        </w:rPr>
        <w:br w:type="page"/>
      </w:r>
    </w:p>
    <w:p w14:paraId="7D77BF06" w14:textId="77777777" w:rsidR="00492DD7" w:rsidRDefault="00492DD7" w:rsidP="00F04D7F">
      <w:pPr>
        <w:rPr>
          <w:rFonts w:ascii="Calibri" w:hAnsi="Calibri"/>
          <w:b/>
          <w:sz w:val="26"/>
          <w:szCs w:val="26"/>
          <w:lang w:val="en-US"/>
        </w:rPr>
      </w:pPr>
    </w:p>
    <w:p w14:paraId="45179F0F" w14:textId="11A91E26" w:rsidR="004B7DF2" w:rsidRDefault="000F550D" w:rsidP="00F04D7F">
      <w:pPr>
        <w:rPr>
          <w:rFonts w:ascii="Calibri" w:hAnsi="Calibri"/>
          <w:sz w:val="22"/>
          <w:szCs w:val="22"/>
          <w:lang w:val="en-US"/>
        </w:rPr>
      </w:pPr>
      <w:r w:rsidRPr="001112AB">
        <w:rPr>
          <w:rFonts w:ascii="Calibri" w:hAnsi="Calibri"/>
          <w:b/>
          <w:sz w:val="26"/>
          <w:szCs w:val="26"/>
          <w:lang w:val="en-US"/>
        </w:rPr>
        <w:t xml:space="preserve">eFigure </w:t>
      </w:r>
      <w:r w:rsidR="00492DD7">
        <w:rPr>
          <w:rFonts w:ascii="Calibri" w:hAnsi="Calibri"/>
          <w:b/>
          <w:sz w:val="26"/>
          <w:szCs w:val="26"/>
          <w:lang w:val="en-US"/>
        </w:rPr>
        <w:t>3</w:t>
      </w:r>
      <w:r w:rsidRPr="001112AB">
        <w:rPr>
          <w:rFonts w:ascii="Calibri" w:hAnsi="Calibri"/>
          <w:sz w:val="26"/>
          <w:szCs w:val="26"/>
          <w:lang w:val="en-US"/>
        </w:rPr>
        <w:t>. Risk of bias per question</w:t>
      </w:r>
      <w:r w:rsidRPr="00B51982">
        <w:rPr>
          <w:noProof/>
          <w:lang w:val="en-US"/>
        </w:rPr>
        <w:t xml:space="preserve"> </w:t>
      </w:r>
    </w:p>
    <w:p w14:paraId="7BDA0EB9" w14:textId="60FCE7B9" w:rsidR="000F550D" w:rsidRDefault="00D200D7" w:rsidP="00F04D7F">
      <w:pPr>
        <w:rPr>
          <w:rFonts w:ascii="Calibri" w:hAnsi="Calibri"/>
          <w:sz w:val="22"/>
          <w:szCs w:val="22"/>
          <w:lang w:val="en-US"/>
        </w:rPr>
      </w:pPr>
      <w:r>
        <w:rPr>
          <w:noProof/>
          <w:lang w:val="en-US"/>
        </w:rPr>
        <w:drawing>
          <wp:inline distT="0" distB="0" distL="0" distR="0" wp14:anchorId="61529C51" wp14:editId="22B7EB92">
            <wp:extent cx="6116320" cy="4215765"/>
            <wp:effectExtent l="0" t="0" r="508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16320" cy="4215765"/>
                    </a:xfrm>
                    <a:prstGeom prst="rect">
                      <a:avLst/>
                    </a:prstGeom>
                  </pic:spPr>
                </pic:pic>
              </a:graphicData>
            </a:graphic>
          </wp:inline>
        </w:drawing>
      </w:r>
    </w:p>
    <w:p w14:paraId="79396AEC" w14:textId="709000BC" w:rsidR="004B7DF2" w:rsidRPr="00F04D7F" w:rsidRDefault="004B7DF2" w:rsidP="00F04D7F">
      <w:pPr>
        <w:rPr>
          <w:lang w:val="en-US"/>
        </w:rPr>
      </w:pPr>
    </w:p>
    <w:p w14:paraId="2C357CB4" w14:textId="49EEB595" w:rsidR="000F588F" w:rsidRPr="001112AB" w:rsidRDefault="00F91980" w:rsidP="000F588F">
      <w:pPr>
        <w:keepNext/>
        <w:shd w:val="clear" w:color="auto" w:fill="FFFFFF"/>
        <w:spacing w:after="120"/>
        <w:rPr>
          <w:b/>
          <w:sz w:val="26"/>
          <w:szCs w:val="26"/>
          <w:lang w:val="en-US"/>
        </w:rPr>
      </w:pPr>
      <w:r w:rsidRPr="001112AB">
        <w:rPr>
          <w:rFonts w:ascii="Calibri" w:hAnsi="Calibri"/>
          <w:b/>
          <w:sz w:val="26"/>
          <w:szCs w:val="26"/>
          <w:lang w:val="en-US"/>
        </w:rPr>
        <w:lastRenderedPageBreak/>
        <w:t xml:space="preserve">eFigure </w:t>
      </w:r>
      <w:r w:rsidR="00492DD7">
        <w:rPr>
          <w:rFonts w:ascii="Calibri" w:hAnsi="Calibri"/>
          <w:b/>
          <w:sz w:val="26"/>
          <w:szCs w:val="26"/>
          <w:lang w:val="en-US"/>
        </w:rPr>
        <w:t>4</w:t>
      </w:r>
      <w:r w:rsidRPr="001112AB">
        <w:rPr>
          <w:rFonts w:ascii="Calibri" w:hAnsi="Calibri"/>
          <w:b/>
          <w:sz w:val="26"/>
          <w:szCs w:val="26"/>
          <w:lang w:val="en-US"/>
        </w:rPr>
        <w:t>.</w:t>
      </w:r>
      <w:r w:rsidRPr="001112AB">
        <w:rPr>
          <w:rFonts w:ascii="Calibri" w:hAnsi="Calibri"/>
          <w:sz w:val="26"/>
          <w:szCs w:val="26"/>
          <w:lang w:val="en-US"/>
        </w:rPr>
        <w:t xml:space="preserve"> Risk of bias inside intervention categories</w:t>
      </w:r>
      <w:r w:rsidRPr="001112AB">
        <w:rPr>
          <w:rFonts w:ascii="Calibri" w:hAnsi="Calibri"/>
          <w:sz w:val="26"/>
          <w:szCs w:val="26"/>
          <w:lang w:val="en-US"/>
        </w:rPr>
        <w:tab/>
      </w:r>
    </w:p>
    <w:p w14:paraId="1761E833" w14:textId="1CE10D3C" w:rsidR="001D7165" w:rsidRDefault="009B5502" w:rsidP="001D7165">
      <w:r>
        <w:rPr>
          <w:noProof/>
          <w:lang w:val="en-US"/>
        </w:rPr>
        <w:drawing>
          <wp:inline distT="0" distB="0" distL="0" distR="0" wp14:anchorId="00C58267" wp14:editId="030A5CD1">
            <wp:extent cx="6116320" cy="5462905"/>
            <wp:effectExtent l="0" t="0" r="508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16320" cy="5462905"/>
                    </a:xfrm>
                    <a:prstGeom prst="rect">
                      <a:avLst/>
                    </a:prstGeom>
                  </pic:spPr>
                </pic:pic>
              </a:graphicData>
            </a:graphic>
          </wp:inline>
        </w:drawing>
      </w:r>
    </w:p>
    <w:p w14:paraId="2215A2C7" w14:textId="308B825C" w:rsidR="001D7165" w:rsidRDefault="0009569A" w:rsidP="001D7165">
      <w:pPr>
        <w:rPr>
          <w:lang w:val="en-US"/>
        </w:rPr>
      </w:pPr>
      <w:r w:rsidRPr="0009569A">
        <w:rPr>
          <w:lang w:val="en-US"/>
        </w:rPr>
        <w:t xml:space="preserve">High risk of bias if </w:t>
      </w:r>
      <w:r w:rsidR="00DD76E2">
        <w:rPr>
          <w:lang w:val="en-US"/>
        </w:rPr>
        <w:t>three</w:t>
      </w:r>
      <w:r>
        <w:rPr>
          <w:lang w:val="en-US"/>
        </w:rPr>
        <w:t xml:space="preserve"> or under criteria judged as low risk of bias. Low risk of bias if </w:t>
      </w:r>
      <w:r w:rsidR="00DD76E2">
        <w:rPr>
          <w:lang w:val="en-US"/>
        </w:rPr>
        <w:t xml:space="preserve">four or more criteria </w:t>
      </w:r>
      <w:r>
        <w:rPr>
          <w:lang w:val="en-US"/>
        </w:rPr>
        <w:t>assessed as low risk of bias</w:t>
      </w:r>
      <w:r w:rsidR="00FC287B">
        <w:rPr>
          <w:lang w:val="en-US"/>
        </w:rPr>
        <w:t>.</w:t>
      </w:r>
    </w:p>
    <w:p w14:paraId="33127340" w14:textId="77777777" w:rsidR="00531646" w:rsidRDefault="00531646" w:rsidP="001D7165">
      <w:pPr>
        <w:rPr>
          <w:lang w:val="en-US"/>
        </w:rPr>
      </w:pPr>
    </w:p>
    <w:p w14:paraId="65DC389D" w14:textId="77777777" w:rsidR="00531646" w:rsidRDefault="00531646" w:rsidP="001D7165">
      <w:pPr>
        <w:rPr>
          <w:lang w:val="en-US"/>
        </w:rPr>
      </w:pPr>
    </w:p>
    <w:p w14:paraId="4C74BB1F" w14:textId="77777777" w:rsidR="00531646" w:rsidRDefault="00531646" w:rsidP="001D7165">
      <w:pPr>
        <w:rPr>
          <w:lang w:val="en-US"/>
        </w:rPr>
      </w:pPr>
    </w:p>
    <w:p w14:paraId="353B772B" w14:textId="77777777" w:rsidR="00531646" w:rsidRDefault="00531646" w:rsidP="001D7165">
      <w:pPr>
        <w:rPr>
          <w:lang w:val="en-US"/>
        </w:rPr>
      </w:pPr>
    </w:p>
    <w:p w14:paraId="45577D78" w14:textId="77777777" w:rsidR="00531646" w:rsidRDefault="00531646" w:rsidP="001D7165">
      <w:pPr>
        <w:rPr>
          <w:lang w:val="en-US"/>
        </w:rPr>
      </w:pPr>
    </w:p>
    <w:p w14:paraId="48753E0F" w14:textId="77777777" w:rsidR="00531646" w:rsidRDefault="00531646" w:rsidP="001D7165">
      <w:pPr>
        <w:rPr>
          <w:lang w:val="en-US"/>
        </w:rPr>
      </w:pPr>
    </w:p>
    <w:p w14:paraId="54DA9AA4" w14:textId="77777777" w:rsidR="00531646" w:rsidRDefault="00531646" w:rsidP="001D7165">
      <w:pPr>
        <w:rPr>
          <w:lang w:val="en-US"/>
        </w:rPr>
      </w:pPr>
    </w:p>
    <w:p w14:paraId="616B7392" w14:textId="77777777" w:rsidR="00531646" w:rsidRDefault="00531646" w:rsidP="001D7165">
      <w:pPr>
        <w:rPr>
          <w:lang w:val="en-US"/>
        </w:rPr>
      </w:pPr>
    </w:p>
    <w:p w14:paraId="723D9AC0" w14:textId="77777777" w:rsidR="00531646" w:rsidRDefault="00531646" w:rsidP="001D7165">
      <w:pPr>
        <w:rPr>
          <w:lang w:val="en-US"/>
        </w:rPr>
      </w:pPr>
    </w:p>
    <w:p w14:paraId="4066BB79" w14:textId="77777777" w:rsidR="00531646" w:rsidRDefault="00531646" w:rsidP="001D7165">
      <w:pPr>
        <w:rPr>
          <w:lang w:val="en-US"/>
        </w:rPr>
      </w:pPr>
    </w:p>
    <w:p w14:paraId="4032F762" w14:textId="77777777" w:rsidR="00531646" w:rsidRDefault="00531646" w:rsidP="001D7165">
      <w:pPr>
        <w:rPr>
          <w:lang w:val="en-US"/>
        </w:rPr>
      </w:pPr>
    </w:p>
    <w:p w14:paraId="7E49500D" w14:textId="77777777" w:rsidR="00531646" w:rsidRDefault="00531646" w:rsidP="001D7165">
      <w:pPr>
        <w:rPr>
          <w:lang w:val="en-US"/>
        </w:rPr>
      </w:pPr>
    </w:p>
    <w:p w14:paraId="2E80CE03" w14:textId="77777777" w:rsidR="00531646" w:rsidRDefault="00531646" w:rsidP="001D7165">
      <w:pPr>
        <w:rPr>
          <w:lang w:val="en-US"/>
        </w:rPr>
      </w:pPr>
    </w:p>
    <w:p w14:paraId="1E6C1B24" w14:textId="77777777" w:rsidR="00531646" w:rsidRDefault="00531646" w:rsidP="001D7165">
      <w:pPr>
        <w:rPr>
          <w:lang w:val="en-US"/>
        </w:rPr>
      </w:pPr>
    </w:p>
    <w:p w14:paraId="3459E395" w14:textId="77777777" w:rsidR="00531646" w:rsidRDefault="00531646" w:rsidP="001D7165">
      <w:pPr>
        <w:rPr>
          <w:lang w:val="en-US"/>
        </w:rPr>
      </w:pPr>
    </w:p>
    <w:p w14:paraId="777CAB1C" w14:textId="77777777" w:rsidR="00531646" w:rsidRDefault="00531646" w:rsidP="001D7165">
      <w:pPr>
        <w:rPr>
          <w:lang w:val="en-US"/>
        </w:rPr>
      </w:pPr>
    </w:p>
    <w:p w14:paraId="3B1304E9" w14:textId="77777777" w:rsidR="001F4829" w:rsidRDefault="001F4829" w:rsidP="000F588F">
      <w:pPr>
        <w:rPr>
          <w:lang w:val="en-US"/>
        </w:rPr>
      </w:pPr>
    </w:p>
    <w:p w14:paraId="63B041D9" w14:textId="3E0BC9EB" w:rsidR="001F4829" w:rsidRDefault="001F4829" w:rsidP="000F588F">
      <w:pPr>
        <w:rPr>
          <w:lang w:val="en-US"/>
        </w:rPr>
      </w:pPr>
    </w:p>
    <w:p w14:paraId="129E09C8" w14:textId="77777777" w:rsidR="00D54AAB" w:rsidRDefault="00D54AAB" w:rsidP="00D54AAB">
      <w:pPr>
        <w:rPr>
          <w:lang w:val="en-US"/>
        </w:rPr>
      </w:pPr>
    </w:p>
    <w:p w14:paraId="523D1B4F" w14:textId="02FF2E68" w:rsidR="003852CD" w:rsidRPr="00492DD7" w:rsidRDefault="00117423" w:rsidP="00117423">
      <w:pPr>
        <w:rPr>
          <w:rFonts w:ascii="Calibri" w:hAnsi="Calibri"/>
          <w:b/>
          <w:sz w:val="26"/>
          <w:szCs w:val="26"/>
          <w:lang w:val="en-US"/>
        </w:rPr>
      </w:pPr>
      <w:r w:rsidRPr="000C0EC1">
        <w:rPr>
          <w:rFonts w:ascii="Calibri" w:hAnsi="Calibri"/>
          <w:b/>
          <w:sz w:val="26"/>
          <w:szCs w:val="26"/>
          <w:lang w:val="en-US"/>
        </w:rPr>
        <w:t xml:space="preserve">eFigure </w:t>
      </w:r>
      <w:r w:rsidR="00492DD7">
        <w:rPr>
          <w:rFonts w:ascii="Calibri" w:hAnsi="Calibri"/>
          <w:b/>
          <w:sz w:val="26"/>
          <w:szCs w:val="26"/>
          <w:lang w:val="en-US"/>
        </w:rPr>
        <w:t>5</w:t>
      </w:r>
      <w:r w:rsidRPr="000C0EC1">
        <w:rPr>
          <w:rFonts w:ascii="Calibri" w:hAnsi="Calibri"/>
          <w:b/>
          <w:sz w:val="26"/>
          <w:szCs w:val="26"/>
          <w:lang w:val="en-US"/>
        </w:rPr>
        <w:t xml:space="preserve">. </w:t>
      </w:r>
      <w:r w:rsidRPr="000C0EC1">
        <w:rPr>
          <w:rFonts w:ascii="Calibri" w:hAnsi="Calibri"/>
          <w:sz w:val="26"/>
          <w:szCs w:val="26"/>
          <w:lang w:val="en-US"/>
        </w:rPr>
        <w:t xml:space="preserve">Intervention components in </w:t>
      </w:r>
      <w:r w:rsidR="00126ABC" w:rsidRPr="000C0EC1">
        <w:rPr>
          <w:rFonts w:ascii="Calibri" w:hAnsi="Calibri"/>
          <w:sz w:val="26"/>
          <w:szCs w:val="26"/>
          <w:lang w:val="en-US"/>
        </w:rPr>
        <w:t>single-component interventions</w:t>
      </w:r>
    </w:p>
    <w:p w14:paraId="6EF62065" w14:textId="62591A64" w:rsidR="000C0EC1" w:rsidRPr="00117423" w:rsidRDefault="004E38F0" w:rsidP="00117423">
      <w:pPr>
        <w:rPr>
          <w:rFonts w:ascii="Calibri" w:hAnsi="Calibri"/>
          <w:sz w:val="22"/>
          <w:szCs w:val="22"/>
          <w:lang w:val="en-US"/>
        </w:rPr>
      </w:pPr>
      <w:r>
        <w:rPr>
          <w:noProof/>
          <w:lang w:val="en-US"/>
        </w:rPr>
        <w:drawing>
          <wp:inline distT="0" distB="0" distL="0" distR="0" wp14:anchorId="0F565F2C" wp14:editId="7290CD15">
            <wp:extent cx="6116320" cy="5427980"/>
            <wp:effectExtent l="0" t="0" r="508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16320" cy="5427980"/>
                    </a:xfrm>
                    <a:prstGeom prst="rect">
                      <a:avLst/>
                    </a:prstGeom>
                  </pic:spPr>
                </pic:pic>
              </a:graphicData>
            </a:graphic>
          </wp:inline>
        </w:drawing>
      </w:r>
    </w:p>
    <w:p w14:paraId="6F365F84" w14:textId="17785918" w:rsidR="00EB674C" w:rsidRDefault="00EB674C" w:rsidP="00D318CD">
      <w:pPr>
        <w:pStyle w:val="Heading1"/>
        <w:rPr>
          <w:lang w:val="en-US"/>
        </w:rPr>
      </w:pPr>
    </w:p>
    <w:p w14:paraId="13FB38CD" w14:textId="77777777" w:rsidR="00EB674C" w:rsidRDefault="00EB674C" w:rsidP="00D318CD">
      <w:pPr>
        <w:pStyle w:val="Heading1"/>
        <w:rPr>
          <w:lang w:val="en-US"/>
        </w:rPr>
      </w:pPr>
    </w:p>
    <w:p w14:paraId="27BECF0A" w14:textId="77777777" w:rsidR="00EB674C" w:rsidRDefault="00EB674C" w:rsidP="00D318CD">
      <w:pPr>
        <w:pStyle w:val="Heading1"/>
        <w:rPr>
          <w:lang w:val="en-US"/>
        </w:rPr>
      </w:pPr>
    </w:p>
    <w:p w14:paraId="5E197FCF" w14:textId="77777777" w:rsidR="00EB674C" w:rsidRDefault="00EB674C" w:rsidP="00D318CD">
      <w:pPr>
        <w:pStyle w:val="Heading1"/>
        <w:rPr>
          <w:lang w:val="en-US"/>
        </w:rPr>
      </w:pPr>
    </w:p>
    <w:p w14:paraId="29625C12" w14:textId="77777777" w:rsidR="0061751D" w:rsidRDefault="0061751D">
      <w:pPr>
        <w:rPr>
          <w:rFonts w:asciiTheme="majorHAnsi" w:eastAsiaTheme="majorEastAsia" w:hAnsiTheme="majorHAnsi" w:cstheme="majorBidi"/>
          <w:color w:val="2F5496" w:themeColor="accent1" w:themeShade="BF"/>
          <w:sz w:val="32"/>
          <w:szCs w:val="32"/>
          <w:lang w:val="en-US"/>
        </w:rPr>
      </w:pPr>
    </w:p>
    <w:p w14:paraId="7D7BE0BF" w14:textId="77777777" w:rsidR="0061751D" w:rsidRDefault="0061751D">
      <w:pPr>
        <w:rPr>
          <w:rFonts w:ascii="Calibri" w:hAnsi="Calibri"/>
          <w:b/>
          <w:sz w:val="26"/>
          <w:szCs w:val="26"/>
          <w:lang w:val="en-US"/>
        </w:rPr>
      </w:pPr>
    </w:p>
    <w:p w14:paraId="3E8557F3" w14:textId="77777777" w:rsidR="0061751D" w:rsidRDefault="0061751D">
      <w:pPr>
        <w:rPr>
          <w:rFonts w:ascii="Calibri" w:hAnsi="Calibri"/>
          <w:b/>
          <w:sz w:val="26"/>
          <w:szCs w:val="26"/>
          <w:lang w:val="en-US"/>
        </w:rPr>
      </w:pPr>
    </w:p>
    <w:p w14:paraId="3BEFFF99" w14:textId="77777777" w:rsidR="0061751D" w:rsidRDefault="0061751D">
      <w:pPr>
        <w:rPr>
          <w:rFonts w:ascii="Calibri" w:hAnsi="Calibri"/>
          <w:b/>
          <w:sz w:val="26"/>
          <w:szCs w:val="26"/>
          <w:lang w:val="en-US"/>
        </w:rPr>
      </w:pPr>
    </w:p>
    <w:p w14:paraId="74337633" w14:textId="1C8BD827" w:rsidR="000C0EC1" w:rsidRDefault="000C0EC1">
      <w:pPr>
        <w:rPr>
          <w:rFonts w:ascii="Calibri" w:hAnsi="Calibri"/>
          <w:sz w:val="26"/>
          <w:szCs w:val="26"/>
          <w:lang w:val="en-US"/>
        </w:rPr>
      </w:pPr>
      <w:r w:rsidRPr="003705C7">
        <w:rPr>
          <w:rFonts w:ascii="Calibri" w:hAnsi="Calibri"/>
          <w:b/>
          <w:sz w:val="26"/>
          <w:szCs w:val="26"/>
          <w:lang w:val="en-US"/>
        </w:rPr>
        <w:lastRenderedPageBreak/>
        <w:t>eTable 1.</w:t>
      </w:r>
      <w:r w:rsidRPr="003705C7">
        <w:rPr>
          <w:rFonts w:ascii="Calibri" w:hAnsi="Calibri"/>
          <w:sz w:val="26"/>
          <w:szCs w:val="26"/>
          <w:lang w:val="en-US"/>
        </w:rPr>
        <w:t xml:space="preserve"> Quality outcomes until 2010 and after</w:t>
      </w:r>
      <w:r w:rsidRPr="003705C7">
        <w:rPr>
          <w:rFonts w:ascii="Calibri" w:hAnsi="Calibri"/>
          <w:sz w:val="26"/>
          <w:szCs w:val="26"/>
          <w:lang w:val="en-US"/>
        </w:rPr>
        <w:tab/>
      </w:r>
    </w:p>
    <w:tbl>
      <w:tblPr>
        <w:tblpPr w:leftFromText="180" w:rightFromText="180" w:vertAnchor="page" w:horzAnchor="margin" w:tblpY="2175"/>
        <w:tblW w:w="6941" w:type="dxa"/>
        <w:tblLook w:val="04A0" w:firstRow="1" w:lastRow="0" w:firstColumn="1" w:lastColumn="0" w:noHBand="0" w:noVBand="1"/>
      </w:tblPr>
      <w:tblGrid>
        <w:gridCol w:w="3580"/>
        <w:gridCol w:w="1660"/>
        <w:gridCol w:w="1701"/>
      </w:tblGrid>
      <w:tr w:rsidR="000C0EC1" w:rsidRPr="00531646" w14:paraId="723200A5" w14:textId="77777777" w:rsidTr="004726BA">
        <w:trPr>
          <w:trHeight w:val="640"/>
        </w:trPr>
        <w:tc>
          <w:tcPr>
            <w:tcW w:w="3580" w:type="dxa"/>
            <w:tcBorders>
              <w:top w:val="single" w:sz="4" w:space="0" w:color="auto"/>
              <w:left w:val="single" w:sz="4" w:space="0" w:color="auto"/>
              <w:bottom w:val="single" w:sz="4" w:space="0" w:color="auto"/>
              <w:right w:val="single" w:sz="4" w:space="0" w:color="D0CECE" w:themeColor="background2" w:themeShade="E6"/>
            </w:tcBorders>
            <w:shd w:val="clear" w:color="auto" w:fill="auto"/>
            <w:noWrap/>
            <w:vAlign w:val="bottom"/>
            <w:hideMark/>
          </w:tcPr>
          <w:p w14:paraId="754A8127" w14:textId="77777777" w:rsidR="000C0EC1" w:rsidRPr="004B7DF2" w:rsidRDefault="000C0EC1" w:rsidP="004726BA">
            <w:pPr>
              <w:rPr>
                <w:rFonts w:ascii="Calibri" w:hAnsi="Calibri" w:cs="Calibri"/>
                <w:color w:val="000000"/>
                <w:lang w:val="en-US"/>
              </w:rPr>
            </w:pPr>
            <w:r w:rsidRPr="004B7DF2">
              <w:rPr>
                <w:rFonts w:ascii="Calibri" w:hAnsi="Calibri" w:cs="Calibri"/>
                <w:color w:val="000000"/>
                <w:lang w:val="en-US"/>
              </w:rPr>
              <w:t> </w:t>
            </w:r>
          </w:p>
        </w:tc>
        <w:tc>
          <w:tcPr>
            <w:tcW w:w="1660" w:type="dxa"/>
            <w:tcBorders>
              <w:top w:val="single" w:sz="4" w:space="0" w:color="auto"/>
              <w:left w:val="single" w:sz="4" w:space="0" w:color="D0CECE" w:themeColor="background2" w:themeShade="E6"/>
              <w:bottom w:val="single" w:sz="4" w:space="0" w:color="auto"/>
              <w:right w:val="single" w:sz="4" w:space="0" w:color="D0CECE" w:themeColor="background2" w:themeShade="E6"/>
            </w:tcBorders>
            <w:shd w:val="clear" w:color="auto" w:fill="auto"/>
            <w:noWrap/>
            <w:vAlign w:val="bottom"/>
            <w:hideMark/>
          </w:tcPr>
          <w:p w14:paraId="4649B479" w14:textId="77777777" w:rsidR="000C0EC1" w:rsidRPr="00531646" w:rsidRDefault="000C0EC1" w:rsidP="004726BA">
            <w:pPr>
              <w:rPr>
                <w:rFonts w:ascii="Calibri" w:hAnsi="Calibri" w:cs="Calibri"/>
                <w:color w:val="000000"/>
              </w:rPr>
            </w:pPr>
            <w:r w:rsidRPr="00531646">
              <w:rPr>
                <w:rFonts w:ascii="Calibri" w:hAnsi="Calibri" w:cs="Calibri"/>
                <w:color w:val="000000"/>
              </w:rPr>
              <w:t>until 2010</w:t>
            </w:r>
          </w:p>
        </w:tc>
        <w:tc>
          <w:tcPr>
            <w:tcW w:w="1701" w:type="dxa"/>
            <w:tcBorders>
              <w:top w:val="single" w:sz="4" w:space="0" w:color="auto"/>
              <w:left w:val="single" w:sz="4" w:space="0" w:color="D0CECE" w:themeColor="background2" w:themeShade="E6"/>
              <w:bottom w:val="single" w:sz="4" w:space="0" w:color="auto"/>
              <w:right w:val="single" w:sz="4" w:space="0" w:color="auto"/>
            </w:tcBorders>
            <w:shd w:val="clear" w:color="auto" w:fill="auto"/>
            <w:noWrap/>
            <w:vAlign w:val="bottom"/>
            <w:hideMark/>
          </w:tcPr>
          <w:p w14:paraId="149D50D0" w14:textId="77777777" w:rsidR="000C0EC1" w:rsidRPr="00531646" w:rsidRDefault="000C0EC1" w:rsidP="004726BA">
            <w:pPr>
              <w:rPr>
                <w:rFonts w:ascii="Calibri" w:hAnsi="Calibri" w:cs="Calibri"/>
                <w:color w:val="000000"/>
              </w:rPr>
            </w:pPr>
            <w:r w:rsidRPr="00531646">
              <w:rPr>
                <w:rFonts w:ascii="Calibri" w:hAnsi="Calibri" w:cs="Calibri"/>
                <w:color w:val="000000"/>
              </w:rPr>
              <w:t>after 2010</w:t>
            </w:r>
          </w:p>
        </w:tc>
      </w:tr>
      <w:tr w:rsidR="000C0EC1" w:rsidRPr="00531646" w14:paraId="4C71B078" w14:textId="77777777" w:rsidTr="004726BA">
        <w:trPr>
          <w:trHeight w:val="320"/>
        </w:trPr>
        <w:tc>
          <w:tcPr>
            <w:tcW w:w="3580" w:type="dxa"/>
            <w:tcBorders>
              <w:top w:val="nil"/>
              <w:left w:val="single" w:sz="4" w:space="0" w:color="auto"/>
              <w:bottom w:val="single" w:sz="4" w:space="0" w:color="auto"/>
              <w:right w:val="single" w:sz="4" w:space="0" w:color="D0CECE" w:themeColor="background2" w:themeShade="E6"/>
            </w:tcBorders>
            <w:shd w:val="clear" w:color="auto" w:fill="auto"/>
            <w:noWrap/>
            <w:vAlign w:val="bottom"/>
            <w:hideMark/>
          </w:tcPr>
          <w:p w14:paraId="034FA5EB" w14:textId="77777777" w:rsidR="000C0EC1" w:rsidRPr="00531646" w:rsidRDefault="000C0EC1" w:rsidP="004726BA">
            <w:pPr>
              <w:rPr>
                <w:rFonts w:ascii="Calibri" w:hAnsi="Calibri" w:cs="Calibri"/>
                <w:color w:val="000000"/>
              </w:rPr>
            </w:pPr>
            <w:r w:rsidRPr="00531646">
              <w:rPr>
                <w:rFonts w:ascii="Calibri" w:hAnsi="Calibri" w:cs="Calibri"/>
                <w:color w:val="000000"/>
              </w:rPr>
              <w:t>Number of clusters (median)</w:t>
            </w:r>
          </w:p>
        </w:tc>
        <w:tc>
          <w:tcPr>
            <w:tcW w:w="1660" w:type="dxa"/>
            <w:tcBorders>
              <w:top w:val="nil"/>
              <w:left w:val="single" w:sz="4" w:space="0" w:color="D0CECE" w:themeColor="background2" w:themeShade="E6"/>
              <w:bottom w:val="single" w:sz="4" w:space="0" w:color="auto"/>
              <w:right w:val="single" w:sz="4" w:space="0" w:color="D0CECE" w:themeColor="background2" w:themeShade="E6"/>
            </w:tcBorders>
            <w:shd w:val="clear" w:color="auto" w:fill="auto"/>
            <w:noWrap/>
            <w:vAlign w:val="bottom"/>
            <w:hideMark/>
          </w:tcPr>
          <w:p w14:paraId="219CD21C" w14:textId="1CC657D7" w:rsidR="000C0EC1" w:rsidRPr="00531646" w:rsidRDefault="000C0EC1" w:rsidP="004726BA">
            <w:pPr>
              <w:jc w:val="right"/>
              <w:rPr>
                <w:rFonts w:ascii="Calibri" w:hAnsi="Calibri" w:cs="Calibri"/>
                <w:color w:val="000000"/>
              </w:rPr>
            </w:pPr>
            <w:r w:rsidRPr="00531646">
              <w:rPr>
                <w:rFonts w:ascii="Calibri" w:hAnsi="Calibri" w:cs="Calibri"/>
                <w:color w:val="000000"/>
              </w:rPr>
              <w:t>20</w:t>
            </w:r>
            <w:r>
              <w:rPr>
                <w:rFonts w:ascii="Calibri" w:hAnsi="Calibri" w:cs="Calibri"/>
                <w:color w:val="000000"/>
              </w:rPr>
              <w:t xml:space="preserve"> (IQR </w:t>
            </w:r>
            <w:r w:rsidR="004E38F0">
              <w:rPr>
                <w:rFonts w:ascii="Calibri" w:hAnsi="Calibri" w:cs="Calibri"/>
                <w:color w:val="000000"/>
              </w:rPr>
              <w:t>31</w:t>
            </w:r>
            <w:r>
              <w:rPr>
                <w:rFonts w:ascii="Calibri" w:hAnsi="Calibri" w:cs="Calibri"/>
                <w:color w:val="000000"/>
              </w:rPr>
              <w:t>)</w:t>
            </w:r>
          </w:p>
        </w:tc>
        <w:tc>
          <w:tcPr>
            <w:tcW w:w="1701" w:type="dxa"/>
            <w:tcBorders>
              <w:top w:val="nil"/>
              <w:left w:val="single" w:sz="4" w:space="0" w:color="D0CECE" w:themeColor="background2" w:themeShade="E6"/>
              <w:bottom w:val="single" w:sz="4" w:space="0" w:color="auto"/>
              <w:right w:val="single" w:sz="4" w:space="0" w:color="auto"/>
            </w:tcBorders>
            <w:shd w:val="clear" w:color="auto" w:fill="auto"/>
            <w:noWrap/>
            <w:vAlign w:val="bottom"/>
            <w:hideMark/>
          </w:tcPr>
          <w:p w14:paraId="18353652" w14:textId="77777777" w:rsidR="000C0EC1" w:rsidRPr="00531646" w:rsidRDefault="000C0EC1" w:rsidP="004726BA">
            <w:pPr>
              <w:jc w:val="right"/>
              <w:rPr>
                <w:rFonts w:ascii="Calibri" w:hAnsi="Calibri" w:cs="Calibri"/>
                <w:color w:val="000000"/>
              </w:rPr>
            </w:pPr>
            <w:r>
              <w:rPr>
                <w:rFonts w:ascii="Calibri" w:hAnsi="Calibri" w:cs="Calibri"/>
                <w:color w:val="000000"/>
              </w:rPr>
              <w:t>30 (IQR 42)</w:t>
            </w:r>
          </w:p>
        </w:tc>
      </w:tr>
      <w:tr w:rsidR="000C0EC1" w:rsidRPr="00531646" w14:paraId="7CDA82A3" w14:textId="77777777" w:rsidTr="004726BA">
        <w:trPr>
          <w:trHeight w:val="320"/>
        </w:trPr>
        <w:tc>
          <w:tcPr>
            <w:tcW w:w="3580" w:type="dxa"/>
            <w:tcBorders>
              <w:top w:val="nil"/>
              <w:left w:val="single" w:sz="4" w:space="0" w:color="auto"/>
              <w:bottom w:val="single" w:sz="4" w:space="0" w:color="auto"/>
              <w:right w:val="single" w:sz="4" w:space="0" w:color="D0CECE" w:themeColor="background2" w:themeShade="E6"/>
            </w:tcBorders>
            <w:shd w:val="clear" w:color="auto" w:fill="auto"/>
            <w:noWrap/>
            <w:vAlign w:val="bottom"/>
            <w:hideMark/>
          </w:tcPr>
          <w:p w14:paraId="408BCCC7" w14:textId="77777777" w:rsidR="000C0EC1" w:rsidRPr="00531646" w:rsidRDefault="000C0EC1" w:rsidP="004726BA">
            <w:pPr>
              <w:rPr>
                <w:rFonts w:ascii="Calibri" w:hAnsi="Calibri" w:cs="Calibri"/>
                <w:color w:val="000000"/>
                <w:lang w:val="en-US"/>
              </w:rPr>
            </w:pPr>
            <w:r w:rsidRPr="00531646">
              <w:rPr>
                <w:rFonts w:ascii="Calibri" w:hAnsi="Calibri" w:cs="Calibri"/>
                <w:color w:val="000000"/>
                <w:lang w:val="en-US"/>
              </w:rPr>
              <w:t>Used ICC in sample size calculation</w:t>
            </w:r>
          </w:p>
        </w:tc>
        <w:tc>
          <w:tcPr>
            <w:tcW w:w="1660" w:type="dxa"/>
            <w:tcBorders>
              <w:top w:val="nil"/>
              <w:left w:val="single" w:sz="4" w:space="0" w:color="D0CECE" w:themeColor="background2" w:themeShade="E6"/>
              <w:bottom w:val="single" w:sz="4" w:space="0" w:color="auto"/>
              <w:right w:val="single" w:sz="4" w:space="0" w:color="D0CECE" w:themeColor="background2" w:themeShade="E6"/>
            </w:tcBorders>
            <w:shd w:val="clear" w:color="auto" w:fill="auto"/>
            <w:noWrap/>
            <w:vAlign w:val="bottom"/>
            <w:hideMark/>
          </w:tcPr>
          <w:p w14:paraId="4E3BB852" w14:textId="77777777" w:rsidR="000C0EC1" w:rsidRPr="00531646" w:rsidRDefault="000C0EC1" w:rsidP="004726BA">
            <w:pPr>
              <w:jc w:val="right"/>
              <w:rPr>
                <w:rFonts w:ascii="Calibri" w:hAnsi="Calibri" w:cs="Calibri"/>
                <w:color w:val="000000"/>
              </w:rPr>
            </w:pPr>
            <w:r w:rsidRPr="00531646">
              <w:rPr>
                <w:rFonts w:ascii="Calibri" w:hAnsi="Calibri" w:cs="Calibri"/>
                <w:color w:val="000000"/>
              </w:rPr>
              <w:t>19 (2</w:t>
            </w:r>
            <w:r>
              <w:rPr>
                <w:rFonts w:ascii="Calibri" w:hAnsi="Calibri" w:cs="Calibri"/>
                <w:color w:val="000000"/>
              </w:rPr>
              <w:t>8</w:t>
            </w:r>
            <w:r w:rsidRPr="00531646">
              <w:rPr>
                <w:rFonts w:ascii="Calibri" w:hAnsi="Calibri" w:cs="Calibri"/>
                <w:color w:val="000000"/>
              </w:rPr>
              <w:t>%)</w:t>
            </w:r>
          </w:p>
        </w:tc>
        <w:tc>
          <w:tcPr>
            <w:tcW w:w="1701" w:type="dxa"/>
            <w:tcBorders>
              <w:top w:val="nil"/>
              <w:left w:val="single" w:sz="4" w:space="0" w:color="D0CECE" w:themeColor="background2" w:themeShade="E6"/>
              <w:bottom w:val="single" w:sz="4" w:space="0" w:color="auto"/>
              <w:right w:val="single" w:sz="4" w:space="0" w:color="auto"/>
            </w:tcBorders>
            <w:shd w:val="clear" w:color="auto" w:fill="auto"/>
            <w:noWrap/>
            <w:vAlign w:val="bottom"/>
            <w:hideMark/>
          </w:tcPr>
          <w:p w14:paraId="641B0D4F" w14:textId="0A77259C" w:rsidR="000C0EC1" w:rsidRPr="00531646" w:rsidRDefault="000C0EC1" w:rsidP="004726BA">
            <w:pPr>
              <w:jc w:val="right"/>
              <w:rPr>
                <w:rFonts w:ascii="Calibri" w:hAnsi="Calibri" w:cs="Calibri"/>
                <w:color w:val="000000"/>
              </w:rPr>
            </w:pPr>
            <w:r w:rsidRPr="00531646">
              <w:rPr>
                <w:rFonts w:ascii="Calibri" w:hAnsi="Calibri" w:cs="Calibri"/>
                <w:color w:val="000000"/>
              </w:rPr>
              <w:t>31 (</w:t>
            </w:r>
            <w:r w:rsidR="004E38F0">
              <w:rPr>
                <w:rFonts w:ascii="Calibri" w:hAnsi="Calibri" w:cs="Calibri"/>
                <w:color w:val="000000"/>
              </w:rPr>
              <w:t>40</w:t>
            </w:r>
            <w:r w:rsidRPr="00531646">
              <w:rPr>
                <w:rFonts w:ascii="Calibri" w:hAnsi="Calibri" w:cs="Calibri"/>
                <w:color w:val="000000"/>
              </w:rPr>
              <w:t>%)</w:t>
            </w:r>
          </w:p>
        </w:tc>
      </w:tr>
      <w:tr w:rsidR="000C0EC1" w:rsidRPr="00531646" w14:paraId="701B3CDD" w14:textId="77777777" w:rsidTr="004726BA">
        <w:trPr>
          <w:trHeight w:val="320"/>
        </w:trPr>
        <w:tc>
          <w:tcPr>
            <w:tcW w:w="3580" w:type="dxa"/>
            <w:tcBorders>
              <w:top w:val="nil"/>
              <w:left w:val="single" w:sz="4" w:space="0" w:color="auto"/>
              <w:bottom w:val="single" w:sz="4" w:space="0" w:color="auto"/>
              <w:right w:val="single" w:sz="4" w:space="0" w:color="D0CECE" w:themeColor="background2" w:themeShade="E6"/>
            </w:tcBorders>
            <w:shd w:val="clear" w:color="auto" w:fill="auto"/>
            <w:noWrap/>
            <w:vAlign w:val="bottom"/>
            <w:hideMark/>
          </w:tcPr>
          <w:p w14:paraId="65D2997A" w14:textId="77777777" w:rsidR="000C0EC1" w:rsidRPr="00531646" w:rsidRDefault="000C0EC1" w:rsidP="004726BA">
            <w:pPr>
              <w:rPr>
                <w:rFonts w:ascii="Calibri" w:hAnsi="Calibri" w:cs="Calibri"/>
                <w:color w:val="000000"/>
              </w:rPr>
            </w:pPr>
            <w:r w:rsidRPr="00531646">
              <w:rPr>
                <w:rFonts w:ascii="Calibri" w:hAnsi="Calibri" w:cs="Calibri"/>
                <w:color w:val="000000"/>
              </w:rPr>
              <w:t>Follow up time (median)</w:t>
            </w:r>
          </w:p>
        </w:tc>
        <w:tc>
          <w:tcPr>
            <w:tcW w:w="1660" w:type="dxa"/>
            <w:tcBorders>
              <w:top w:val="nil"/>
              <w:left w:val="single" w:sz="4" w:space="0" w:color="D0CECE" w:themeColor="background2" w:themeShade="E6"/>
              <w:bottom w:val="single" w:sz="4" w:space="0" w:color="auto"/>
              <w:right w:val="single" w:sz="4" w:space="0" w:color="D0CECE" w:themeColor="background2" w:themeShade="E6"/>
            </w:tcBorders>
            <w:shd w:val="clear" w:color="auto" w:fill="auto"/>
            <w:noWrap/>
            <w:vAlign w:val="bottom"/>
            <w:hideMark/>
          </w:tcPr>
          <w:p w14:paraId="5B56DDAC" w14:textId="1F902A62" w:rsidR="000C0EC1" w:rsidRPr="00531646" w:rsidRDefault="000C0EC1" w:rsidP="004726BA">
            <w:pPr>
              <w:jc w:val="right"/>
              <w:rPr>
                <w:rFonts w:ascii="Calibri" w:hAnsi="Calibri" w:cs="Calibri"/>
                <w:color w:val="000000"/>
              </w:rPr>
            </w:pPr>
            <w:r w:rsidRPr="00531646">
              <w:rPr>
                <w:rFonts w:ascii="Calibri" w:hAnsi="Calibri" w:cs="Calibri"/>
                <w:color w:val="000000"/>
              </w:rPr>
              <w:t>2</w:t>
            </w:r>
            <w:r>
              <w:rPr>
                <w:rFonts w:ascii="Calibri" w:hAnsi="Calibri" w:cs="Calibri"/>
                <w:color w:val="000000"/>
              </w:rPr>
              <w:t>7</w:t>
            </w:r>
            <w:r w:rsidR="00697DDC">
              <w:rPr>
                <w:rFonts w:ascii="Calibri" w:hAnsi="Calibri" w:cs="Calibri"/>
                <w:color w:val="000000"/>
              </w:rPr>
              <w:t>3</w:t>
            </w:r>
            <w:r w:rsidRPr="00531646">
              <w:rPr>
                <w:rFonts w:ascii="Calibri" w:hAnsi="Calibri" w:cs="Calibri"/>
                <w:color w:val="000000"/>
              </w:rPr>
              <w:t xml:space="preserve"> days</w:t>
            </w:r>
            <w:r>
              <w:rPr>
                <w:rFonts w:ascii="Calibri" w:hAnsi="Calibri" w:cs="Calibri"/>
                <w:color w:val="000000"/>
              </w:rPr>
              <w:t xml:space="preserve"> </w:t>
            </w:r>
          </w:p>
        </w:tc>
        <w:tc>
          <w:tcPr>
            <w:tcW w:w="1701" w:type="dxa"/>
            <w:tcBorders>
              <w:top w:val="nil"/>
              <w:left w:val="single" w:sz="4" w:space="0" w:color="D0CECE" w:themeColor="background2" w:themeShade="E6"/>
              <w:bottom w:val="single" w:sz="4" w:space="0" w:color="auto"/>
              <w:right w:val="single" w:sz="4" w:space="0" w:color="auto"/>
            </w:tcBorders>
            <w:shd w:val="clear" w:color="auto" w:fill="auto"/>
            <w:noWrap/>
            <w:vAlign w:val="bottom"/>
            <w:hideMark/>
          </w:tcPr>
          <w:p w14:paraId="2E82EF18" w14:textId="77777777" w:rsidR="000C0EC1" w:rsidRPr="00531646" w:rsidRDefault="000C0EC1" w:rsidP="004726BA">
            <w:pPr>
              <w:jc w:val="right"/>
              <w:rPr>
                <w:rFonts w:ascii="Calibri" w:hAnsi="Calibri" w:cs="Calibri"/>
                <w:color w:val="000000"/>
              </w:rPr>
            </w:pPr>
            <w:r w:rsidRPr="00531646">
              <w:rPr>
                <w:rFonts w:ascii="Calibri" w:hAnsi="Calibri" w:cs="Calibri"/>
                <w:color w:val="000000"/>
              </w:rPr>
              <w:t>3</w:t>
            </w:r>
            <w:r>
              <w:rPr>
                <w:rFonts w:ascii="Calibri" w:hAnsi="Calibri" w:cs="Calibri"/>
                <w:color w:val="000000"/>
              </w:rPr>
              <w:t>35</w:t>
            </w:r>
            <w:r w:rsidRPr="00531646">
              <w:rPr>
                <w:rFonts w:ascii="Calibri" w:hAnsi="Calibri" w:cs="Calibri"/>
                <w:color w:val="000000"/>
              </w:rPr>
              <w:t xml:space="preserve"> days</w:t>
            </w:r>
          </w:p>
        </w:tc>
      </w:tr>
      <w:tr w:rsidR="000C0EC1" w:rsidRPr="00531646" w14:paraId="5C9FDE6C" w14:textId="77777777" w:rsidTr="004726BA">
        <w:trPr>
          <w:trHeight w:val="740"/>
        </w:trPr>
        <w:tc>
          <w:tcPr>
            <w:tcW w:w="3580" w:type="dxa"/>
            <w:tcBorders>
              <w:top w:val="nil"/>
              <w:left w:val="single" w:sz="4" w:space="0" w:color="auto"/>
              <w:bottom w:val="single" w:sz="4" w:space="0" w:color="auto"/>
              <w:right w:val="single" w:sz="4" w:space="0" w:color="D0CECE" w:themeColor="background2" w:themeShade="E6"/>
            </w:tcBorders>
            <w:shd w:val="clear" w:color="auto" w:fill="auto"/>
            <w:vAlign w:val="bottom"/>
            <w:hideMark/>
          </w:tcPr>
          <w:p w14:paraId="5FFADF9F" w14:textId="77777777" w:rsidR="000C0EC1" w:rsidRPr="00531646" w:rsidRDefault="000C0EC1" w:rsidP="004726BA">
            <w:pPr>
              <w:rPr>
                <w:rFonts w:ascii="Calibri" w:hAnsi="Calibri" w:cs="Calibri"/>
                <w:color w:val="000000"/>
                <w:lang w:val="en-US"/>
              </w:rPr>
            </w:pPr>
            <w:r w:rsidRPr="00531646">
              <w:rPr>
                <w:rFonts w:ascii="Calibri" w:hAnsi="Calibri" w:cs="Calibri"/>
                <w:color w:val="000000"/>
                <w:lang w:val="en-US"/>
              </w:rPr>
              <w:t>Reported difference between baseline and after the intervention</w:t>
            </w:r>
          </w:p>
        </w:tc>
        <w:tc>
          <w:tcPr>
            <w:tcW w:w="1660" w:type="dxa"/>
            <w:tcBorders>
              <w:top w:val="nil"/>
              <w:left w:val="single" w:sz="4" w:space="0" w:color="D0CECE" w:themeColor="background2" w:themeShade="E6"/>
              <w:bottom w:val="single" w:sz="4" w:space="0" w:color="auto"/>
              <w:right w:val="single" w:sz="4" w:space="0" w:color="D0CECE" w:themeColor="background2" w:themeShade="E6"/>
            </w:tcBorders>
            <w:shd w:val="clear" w:color="auto" w:fill="auto"/>
            <w:noWrap/>
            <w:vAlign w:val="bottom"/>
            <w:hideMark/>
          </w:tcPr>
          <w:p w14:paraId="3661C1FC" w14:textId="169C2BC1" w:rsidR="000C0EC1" w:rsidRPr="00531646" w:rsidRDefault="000C0EC1" w:rsidP="004726BA">
            <w:pPr>
              <w:jc w:val="right"/>
              <w:rPr>
                <w:rFonts w:ascii="Calibri" w:hAnsi="Calibri" w:cs="Calibri"/>
                <w:color w:val="000000"/>
              </w:rPr>
            </w:pPr>
            <w:r w:rsidRPr="00531646">
              <w:rPr>
                <w:rFonts w:ascii="Calibri" w:hAnsi="Calibri" w:cs="Calibri"/>
                <w:color w:val="000000"/>
              </w:rPr>
              <w:t>7</w:t>
            </w:r>
            <w:r>
              <w:rPr>
                <w:rFonts w:ascii="Calibri" w:hAnsi="Calibri" w:cs="Calibri"/>
                <w:color w:val="000000"/>
              </w:rPr>
              <w:t>9</w:t>
            </w:r>
            <w:r w:rsidRPr="00531646">
              <w:rPr>
                <w:rFonts w:ascii="Calibri" w:hAnsi="Calibri" w:cs="Calibri"/>
                <w:color w:val="000000"/>
              </w:rPr>
              <w:t xml:space="preserve"> (7</w:t>
            </w:r>
            <w:r w:rsidR="00697DDC">
              <w:rPr>
                <w:rFonts w:ascii="Calibri" w:hAnsi="Calibri" w:cs="Calibri"/>
                <w:color w:val="000000"/>
              </w:rPr>
              <w:t>1</w:t>
            </w:r>
            <w:r w:rsidRPr="00531646">
              <w:rPr>
                <w:rFonts w:ascii="Calibri" w:hAnsi="Calibri" w:cs="Calibri"/>
                <w:color w:val="000000"/>
              </w:rPr>
              <w:t>%)</w:t>
            </w:r>
          </w:p>
        </w:tc>
        <w:tc>
          <w:tcPr>
            <w:tcW w:w="1701" w:type="dxa"/>
            <w:tcBorders>
              <w:top w:val="nil"/>
              <w:left w:val="single" w:sz="4" w:space="0" w:color="D0CECE" w:themeColor="background2" w:themeShade="E6"/>
              <w:bottom w:val="single" w:sz="4" w:space="0" w:color="auto"/>
              <w:right w:val="single" w:sz="4" w:space="0" w:color="auto"/>
            </w:tcBorders>
            <w:shd w:val="clear" w:color="auto" w:fill="auto"/>
            <w:noWrap/>
            <w:vAlign w:val="bottom"/>
            <w:hideMark/>
          </w:tcPr>
          <w:p w14:paraId="5F5BB79D" w14:textId="09F158E9" w:rsidR="000C0EC1" w:rsidRPr="00531646" w:rsidRDefault="000C0EC1" w:rsidP="004726BA">
            <w:pPr>
              <w:jc w:val="right"/>
              <w:rPr>
                <w:rFonts w:ascii="Calibri" w:hAnsi="Calibri" w:cs="Calibri"/>
                <w:color w:val="000000"/>
              </w:rPr>
            </w:pPr>
            <w:r w:rsidRPr="00531646">
              <w:rPr>
                <w:rFonts w:ascii="Calibri" w:hAnsi="Calibri" w:cs="Calibri"/>
                <w:color w:val="000000"/>
              </w:rPr>
              <w:t>9</w:t>
            </w:r>
            <w:r w:rsidR="00697DDC">
              <w:rPr>
                <w:rFonts w:ascii="Calibri" w:hAnsi="Calibri" w:cs="Calibri"/>
                <w:color w:val="000000"/>
              </w:rPr>
              <w:t>3</w:t>
            </w:r>
            <w:r w:rsidRPr="00531646">
              <w:rPr>
                <w:rFonts w:ascii="Calibri" w:hAnsi="Calibri" w:cs="Calibri"/>
                <w:color w:val="000000"/>
              </w:rPr>
              <w:t xml:space="preserve"> (</w:t>
            </w:r>
            <w:r>
              <w:rPr>
                <w:rFonts w:ascii="Calibri" w:hAnsi="Calibri" w:cs="Calibri"/>
                <w:color w:val="000000"/>
              </w:rPr>
              <w:t>8</w:t>
            </w:r>
            <w:r w:rsidR="00697DDC">
              <w:rPr>
                <w:rFonts w:ascii="Calibri" w:hAnsi="Calibri" w:cs="Calibri"/>
                <w:color w:val="000000"/>
              </w:rPr>
              <w:t>1</w:t>
            </w:r>
            <w:r w:rsidRPr="00531646">
              <w:rPr>
                <w:rFonts w:ascii="Calibri" w:hAnsi="Calibri" w:cs="Calibri"/>
                <w:color w:val="000000"/>
              </w:rPr>
              <w:t>%)</w:t>
            </w:r>
          </w:p>
        </w:tc>
      </w:tr>
      <w:tr w:rsidR="000C0EC1" w:rsidRPr="00531646" w14:paraId="5DAD6AFD" w14:textId="77777777" w:rsidTr="004726BA">
        <w:trPr>
          <w:trHeight w:val="320"/>
        </w:trPr>
        <w:tc>
          <w:tcPr>
            <w:tcW w:w="3580" w:type="dxa"/>
            <w:tcBorders>
              <w:top w:val="single" w:sz="4" w:space="0" w:color="auto"/>
              <w:left w:val="single" w:sz="4" w:space="0" w:color="auto"/>
              <w:bottom w:val="single" w:sz="4" w:space="0" w:color="000000" w:themeColor="text1"/>
              <w:right w:val="single" w:sz="4" w:space="0" w:color="D0CECE" w:themeColor="background2" w:themeShade="E6"/>
            </w:tcBorders>
            <w:shd w:val="clear" w:color="auto" w:fill="auto"/>
            <w:noWrap/>
            <w:vAlign w:val="bottom"/>
            <w:hideMark/>
          </w:tcPr>
          <w:p w14:paraId="7C24ADA5" w14:textId="77777777" w:rsidR="000C0EC1" w:rsidRPr="00531646" w:rsidRDefault="000C0EC1" w:rsidP="004726BA">
            <w:pPr>
              <w:rPr>
                <w:rFonts w:ascii="Calibri" w:hAnsi="Calibri" w:cs="Calibri"/>
                <w:color w:val="000000"/>
              </w:rPr>
            </w:pPr>
            <w:r w:rsidRPr="00531646">
              <w:rPr>
                <w:rFonts w:ascii="Calibri" w:hAnsi="Calibri" w:cs="Calibri"/>
                <w:color w:val="000000"/>
              </w:rPr>
              <w:t>Tailoring</w:t>
            </w:r>
          </w:p>
        </w:tc>
        <w:tc>
          <w:tcPr>
            <w:tcW w:w="1660" w:type="dxa"/>
            <w:tcBorders>
              <w:top w:val="nil"/>
              <w:left w:val="single" w:sz="4" w:space="0" w:color="D0CECE" w:themeColor="background2" w:themeShade="E6"/>
              <w:bottom w:val="single" w:sz="4" w:space="0" w:color="auto"/>
              <w:right w:val="single" w:sz="4" w:space="0" w:color="D0CECE" w:themeColor="background2" w:themeShade="E6"/>
            </w:tcBorders>
            <w:shd w:val="clear" w:color="auto" w:fill="auto"/>
            <w:noWrap/>
            <w:vAlign w:val="bottom"/>
            <w:hideMark/>
          </w:tcPr>
          <w:p w14:paraId="2626A009" w14:textId="77777777" w:rsidR="000C0EC1" w:rsidRPr="00531646" w:rsidRDefault="000C0EC1" w:rsidP="004726BA">
            <w:pPr>
              <w:jc w:val="right"/>
              <w:rPr>
                <w:rFonts w:ascii="Calibri" w:hAnsi="Calibri" w:cs="Calibri"/>
                <w:color w:val="000000"/>
              </w:rPr>
            </w:pPr>
            <w:r w:rsidRPr="00531646">
              <w:rPr>
                <w:rFonts w:ascii="Calibri" w:hAnsi="Calibri" w:cs="Calibri"/>
                <w:color w:val="000000"/>
              </w:rPr>
              <w:t>18 (1</w:t>
            </w:r>
            <w:r>
              <w:rPr>
                <w:rFonts w:ascii="Calibri" w:hAnsi="Calibri" w:cs="Calibri"/>
                <w:color w:val="000000"/>
              </w:rPr>
              <w:t>6</w:t>
            </w:r>
            <w:r w:rsidRPr="00531646">
              <w:rPr>
                <w:rFonts w:ascii="Calibri" w:hAnsi="Calibri" w:cs="Calibri"/>
                <w:color w:val="000000"/>
              </w:rPr>
              <w:t>%)</w:t>
            </w:r>
          </w:p>
        </w:tc>
        <w:tc>
          <w:tcPr>
            <w:tcW w:w="1701" w:type="dxa"/>
            <w:tcBorders>
              <w:top w:val="nil"/>
              <w:left w:val="single" w:sz="4" w:space="0" w:color="D0CECE" w:themeColor="background2" w:themeShade="E6"/>
              <w:bottom w:val="single" w:sz="4" w:space="0" w:color="auto"/>
              <w:right w:val="single" w:sz="4" w:space="0" w:color="auto"/>
            </w:tcBorders>
            <w:shd w:val="clear" w:color="auto" w:fill="auto"/>
            <w:noWrap/>
            <w:vAlign w:val="bottom"/>
            <w:hideMark/>
          </w:tcPr>
          <w:p w14:paraId="32D62DF2" w14:textId="33C0587C" w:rsidR="000C0EC1" w:rsidRPr="00531646" w:rsidRDefault="000C0EC1" w:rsidP="004726BA">
            <w:pPr>
              <w:jc w:val="right"/>
              <w:rPr>
                <w:rFonts w:ascii="Calibri" w:hAnsi="Calibri" w:cs="Calibri"/>
                <w:color w:val="000000"/>
              </w:rPr>
            </w:pPr>
            <w:r w:rsidRPr="00531646">
              <w:rPr>
                <w:rFonts w:ascii="Calibri" w:hAnsi="Calibri" w:cs="Calibri"/>
                <w:color w:val="000000"/>
              </w:rPr>
              <w:t>2</w:t>
            </w:r>
            <w:r w:rsidR="00697DDC">
              <w:rPr>
                <w:rFonts w:ascii="Calibri" w:hAnsi="Calibri" w:cs="Calibri"/>
                <w:color w:val="000000"/>
              </w:rPr>
              <w:t>2</w:t>
            </w:r>
            <w:r w:rsidRPr="00531646">
              <w:rPr>
                <w:rFonts w:ascii="Calibri" w:hAnsi="Calibri" w:cs="Calibri"/>
                <w:color w:val="000000"/>
              </w:rPr>
              <w:t xml:space="preserve"> (1</w:t>
            </w:r>
            <w:r>
              <w:rPr>
                <w:rFonts w:ascii="Calibri" w:hAnsi="Calibri" w:cs="Calibri"/>
                <w:color w:val="000000"/>
              </w:rPr>
              <w:t>9</w:t>
            </w:r>
            <w:r w:rsidRPr="00531646">
              <w:rPr>
                <w:rFonts w:ascii="Calibri" w:hAnsi="Calibri" w:cs="Calibri"/>
                <w:color w:val="000000"/>
              </w:rPr>
              <w:t>%)</w:t>
            </w:r>
          </w:p>
        </w:tc>
      </w:tr>
      <w:tr w:rsidR="000C0EC1" w:rsidRPr="00531646" w14:paraId="25B5D455" w14:textId="77777777" w:rsidTr="004726BA">
        <w:trPr>
          <w:trHeight w:val="320"/>
        </w:trPr>
        <w:tc>
          <w:tcPr>
            <w:tcW w:w="3580" w:type="dxa"/>
            <w:tcBorders>
              <w:top w:val="single" w:sz="4" w:space="0" w:color="000000" w:themeColor="text1"/>
              <w:left w:val="single" w:sz="4" w:space="0" w:color="auto"/>
              <w:bottom w:val="single" w:sz="4" w:space="0" w:color="auto"/>
              <w:right w:val="single" w:sz="4" w:space="0" w:color="D0CECE" w:themeColor="background2" w:themeShade="E6"/>
            </w:tcBorders>
            <w:shd w:val="clear" w:color="auto" w:fill="auto"/>
            <w:noWrap/>
            <w:vAlign w:val="bottom"/>
            <w:hideMark/>
          </w:tcPr>
          <w:p w14:paraId="60EE5016" w14:textId="77777777" w:rsidR="000C0EC1" w:rsidRPr="00531646" w:rsidRDefault="000C0EC1" w:rsidP="004726BA">
            <w:pPr>
              <w:rPr>
                <w:rFonts w:ascii="Calibri" w:hAnsi="Calibri" w:cs="Calibri"/>
                <w:color w:val="000000"/>
              </w:rPr>
            </w:pPr>
            <w:r w:rsidRPr="00531646">
              <w:rPr>
                <w:rFonts w:ascii="Calibri" w:hAnsi="Calibri" w:cs="Calibri"/>
                <w:color w:val="000000"/>
              </w:rPr>
              <w:t>Theoretical background</w:t>
            </w:r>
          </w:p>
        </w:tc>
        <w:tc>
          <w:tcPr>
            <w:tcW w:w="1660" w:type="dxa"/>
            <w:tcBorders>
              <w:top w:val="nil"/>
              <w:left w:val="single" w:sz="4" w:space="0" w:color="D0CECE" w:themeColor="background2" w:themeShade="E6"/>
              <w:bottom w:val="single" w:sz="4" w:space="0" w:color="auto"/>
              <w:right w:val="single" w:sz="4" w:space="0" w:color="D0CECE" w:themeColor="background2" w:themeShade="E6"/>
            </w:tcBorders>
            <w:shd w:val="clear" w:color="auto" w:fill="auto"/>
            <w:noWrap/>
            <w:vAlign w:val="bottom"/>
            <w:hideMark/>
          </w:tcPr>
          <w:p w14:paraId="31835693" w14:textId="49A4AA08" w:rsidR="000C0EC1" w:rsidRPr="00531646" w:rsidRDefault="000C0EC1" w:rsidP="004726BA">
            <w:pPr>
              <w:jc w:val="right"/>
              <w:rPr>
                <w:rFonts w:ascii="Calibri" w:hAnsi="Calibri" w:cs="Calibri"/>
                <w:color w:val="000000"/>
              </w:rPr>
            </w:pPr>
            <w:r w:rsidRPr="00531646">
              <w:rPr>
                <w:rFonts w:ascii="Calibri" w:hAnsi="Calibri" w:cs="Calibri"/>
                <w:color w:val="000000"/>
              </w:rPr>
              <w:t>2</w:t>
            </w:r>
            <w:r w:rsidR="00697DDC">
              <w:rPr>
                <w:rFonts w:ascii="Calibri" w:hAnsi="Calibri" w:cs="Calibri"/>
                <w:color w:val="000000"/>
              </w:rPr>
              <w:t>1</w:t>
            </w:r>
            <w:r w:rsidRPr="00531646">
              <w:rPr>
                <w:rFonts w:ascii="Calibri" w:hAnsi="Calibri" w:cs="Calibri"/>
                <w:color w:val="000000"/>
              </w:rPr>
              <w:t xml:space="preserve"> (</w:t>
            </w:r>
            <w:r w:rsidR="00697DDC">
              <w:rPr>
                <w:rFonts w:ascii="Calibri" w:hAnsi="Calibri" w:cs="Calibri"/>
                <w:color w:val="000000"/>
              </w:rPr>
              <w:t>19</w:t>
            </w:r>
            <w:r w:rsidRPr="00531646">
              <w:rPr>
                <w:rFonts w:ascii="Calibri" w:hAnsi="Calibri" w:cs="Calibri"/>
                <w:color w:val="000000"/>
              </w:rPr>
              <w:t>%)</w:t>
            </w:r>
          </w:p>
        </w:tc>
        <w:tc>
          <w:tcPr>
            <w:tcW w:w="1701" w:type="dxa"/>
            <w:tcBorders>
              <w:top w:val="nil"/>
              <w:left w:val="single" w:sz="4" w:space="0" w:color="D0CECE" w:themeColor="background2" w:themeShade="E6"/>
              <w:bottom w:val="single" w:sz="4" w:space="0" w:color="auto"/>
              <w:right w:val="single" w:sz="4" w:space="0" w:color="auto"/>
            </w:tcBorders>
            <w:shd w:val="clear" w:color="auto" w:fill="auto"/>
            <w:noWrap/>
            <w:vAlign w:val="bottom"/>
            <w:hideMark/>
          </w:tcPr>
          <w:p w14:paraId="169D258A" w14:textId="77777777" w:rsidR="000C0EC1" w:rsidRPr="00531646" w:rsidRDefault="000C0EC1" w:rsidP="004726BA">
            <w:pPr>
              <w:keepNext/>
              <w:jc w:val="right"/>
              <w:rPr>
                <w:rFonts w:ascii="Calibri" w:hAnsi="Calibri" w:cs="Calibri"/>
                <w:color w:val="000000"/>
              </w:rPr>
            </w:pPr>
            <w:r w:rsidRPr="00531646">
              <w:rPr>
                <w:rFonts w:ascii="Calibri" w:hAnsi="Calibri" w:cs="Calibri"/>
                <w:color w:val="000000"/>
              </w:rPr>
              <w:t>2</w:t>
            </w:r>
            <w:r>
              <w:rPr>
                <w:rFonts w:ascii="Calibri" w:hAnsi="Calibri" w:cs="Calibri"/>
                <w:color w:val="000000"/>
              </w:rPr>
              <w:t>7</w:t>
            </w:r>
            <w:r w:rsidRPr="00531646">
              <w:rPr>
                <w:rFonts w:ascii="Calibri" w:hAnsi="Calibri" w:cs="Calibri"/>
                <w:color w:val="000000"/>
              </w:rPr>
              <w:t xml:space="preserve"> (23%)</w:t>
            </w:r>
          </w:p>
        </w:tc>
      </w:tr>
    </w:tbl>
    <w:p w14:paraId="3C024587" w14:textId="5217C027" w:rsidR="00A87FE6" w:rsidRPr="000C0EC1" w:rsidRDefault="00A87FE6">
      <w:pPr>
        <w:rPr>
          <w:sz w:val="26"/>
          <w:szCs w:val="26"/>
          <w:lang w:val="en-US"/>
        </w:rPr>
      </w:pPr>
      <w:r>
        <w:rPr>
          <w:rFonts w:ascii="Calibri" w:hAnsi="Calibri"/>
          <w:b/>
          <w:color w:val="000000" w:themeColor="text1"/>
          <w:sz w:val="28"/>
          <w:szCs w:val="28"/>
          <w:lang w:val="en-US"/>
        </w:rPr>
        <w:br w:type="page"/>
      </w:r>
    </w:p>
    <w:p w14:paraId="343AA282" w14:textId="3E322F2C" w:rsidR="003852CD" w:rsidRPr="000C0EC1" w:rsidRDefault="003852CD" w:rsidP="00D318CD">
      <w:pPr>
        <w:pStyle w:val="Heading2"/>
        <w:rPr>
          <w:color w:val="000000" w:themeColor="text1"/>
          <w:lang w:val="en-US"/>
        </w:rPr>
      </w:pPr>
      <w:r w:rsidRPr="000C0EC1">
        <w:rPr>
          <w:rFonts w:ascii="Calibri" w:hAnsi="Calibri"/>
          <w:b/>
          <w:color w:val="000000" w:themeColor="text1"/>
          <w:lang w:val="en-US"/>
        </w:rPr>
        <w:lastRenderedPageBreak/>
        <w:t>eTable 2.</w:t>
      </w:r>
      <w:r w:rsidRPr="000C0EC1">
        <w:rPr>
          <w:rFonts w:ascii="Calibri" w:hAnsi="Calibri"/>
          <w:color w:val="000000" w:themeColor="text1"/>
          <w:lang w:val="en-US"/>
        </w:rPr>
        <w:t xml:space="preserve"> Theoretical background used in designing the interventions</w:t>
      </w:r>
      <w:r w:rsidRPr="000C0EC1">
        <w:rPr>
          <w:color w:val="000000" w:themeColor="text1"/>
          <w:lang w:val="en-US"/>
        </w:rPr>
        <w:t xml:space="preserve"> </w:t>
      </w:r>
    </w:p>
    <w:p w14:paraId="264890BD" w14:textId="77777777" w:rsidR="00A87FE6" w:rsidRPr="00A87FE6" w:rsidRDefault="00A87FE6" w:rsidP="00A87FE6">
      <w:pPr>
        <w:rPr>
          <w:lang w:val="en-US"/>
        </w:rPr>
      </w:pPr>
    </w:p>
    <w:p w14:paraId="25EA91B5" w14:textId="037ED83F" w:rsidR="00D318CD" w:rsidRPr="00D318CD" w:rsidRDefault="00D318CD" w:rsidP="00D318CD">
      <w:pPr>
        <w:pStyle w:val="Heading2"/>
        <w:rPr>
          <w:lang w:val="en-US"/>
        </w:rPr>
      </w:pPr>
      <w:r w:rsidRPr="00D318CD">
        <w:rPr>
          <w:lang w:val="en-US"/>
        </w:rPr>
        <w:t>Classic theories</w:t>
      </w:r>
    </w:p>
    <w:p w14:paraId="32E4A000" w14:textId="77777777" w:rsidR="00D318CD" w:rsidRPr="00D318CD" w:rsidRDefault="00D318CD" w:rsidP="00D318CD">
      <w:pPr>
        <w:rPr>
          <w:lang w:val="en-US"/>
        </w:rPr>
      </w:pPr>
    </w:p>
    <w:p w14:paraId="07DAF246" w14:textId="77777777" w:rsidR="00D318CD" w:rsidRPr="00D318CD" w:rsidRDefault="00D318CD" w:rsidP="00D318CD">
      <w:pPr>
        <w:rPr>
          <w:rFonts w:ascii="Calibri" w:hAnsi="Calibri" w:cs="Calibri"/>
          <w:b/>
          <w:color w:val="000000"/>
          <w:lang w:val="en-US"/>
        </w:rPr>
      </w:pPr>
      <w:r w:rsidRPr="00CF50FA">
        <w:rPr>
          <w:rFonts w:ascii="Calibri" w:hAnsi="Calibri" w:cs="Calibri"/>
          <w:b/>
          <w:color w:val="000000"/>
          <w:lang w:val="en-US"/>
        </w:rPr>
        <w:t>Theory of planned behaviour</w:t>
      </w:r>
    </w:p>
    <w:p w14:paraId="758D2BD6" w14:textId="77777777" w:rsidR="00D318CD" w:rsidRPr="00CF50FA" w:rsidRDefault="00D318CD" w:rsidP="00D318CD">
      <w:pPr>
        <w:rPr>
          <w:rFonts w:ascii="Calibri" w:hAnsi="Calibri" w:cs="Calibri"/>
          <w:color w:val="000000"/>
          <w:lang w:val="en-US"/>
        </w:rPr>
      </w:pPr>
      <w:r w:rsidRPr="00CF50FA">
        <w:rPr>
          <w:rFonts w:ascii="Calibri" w:hAnsi="Calibri" w:cs="Calibri"/>
          <w:color w:val="000000"/>
          <w:lang w:val="en-US"/>
        </w:rPr>
        <w:t>Ajzen I. The theory of planned behaviour. Organ Behav Hum Decis Process 1991; 50: 179–211.</w:t>
      </w:r>
    </w:p>
    <w:p w14:paraId="43D7AABA" w14:textId="77777777" w:rsidR="00D318CD" w:rsidRDefault="00D318CD" w:rsidP="00D318CD">
      <w:pPr>
        <w:rPr>
          <w:rFonts w:ascii="Calibri" w:hAnsi="Calibri" w:cs="Calibri"/>
          <w:b/>
          <w:color w:val="000000"/>
          <w:lang w:val="en-US"/>
        </w:rPr>
      </w:pPr>
    </w:p>
    <w:p w14:paraId="43BD7052" w14:textId="77777777" w:rsidR="00D318CD" w:rsidRPr="00CF50FA" w:rsidRDefault="00D318CD" w:rsidP="00D318CD">
      <w:pPr>
        <w:rPr>
          <w:rFonts w:ascii="Calibri" w:hAnsi="Calibri" w:cs="Calibri"/>
          <w:b/>
          <w:color w:val="000000"/>
          <w:lang w:val="en-US"/>
        </w:rPr>
      </w:pPr>
      <w:r w:rsidRPr="00CF50FA">
        <w:rPr>
          <w:rFonts w:ascii="Calibri" w:hAnsi="Calibri" w:cs="Calibri"/>
          <w:b/>
          <w:color w:val="000000"/>
          <w:lang w:val="en-US"/>
        </w:rPr>
        <w:t>Social cognitive theory</w:t>
      </w:r>
    </w:p>
    <w:p w14:paraId="558ACFF5" w14:textId="77777777" w:rsidR="00D318CD" w:rsidRPr="00CF50FA" w:rsidRDefault="00D318CD" w:rsidP="00D318CD">
      <w:pPr>
        <w:rPr>
          <w:rFonts w:ascii="Calibri" w:hAnsi="Calibri" w:cs="Calibri"/>
          <w:color w:val="000000"/>
          <w:lang w:val="en-US"/>
        </w:rPr>
      </w:pPr>
      <w:r w:rsidRPr="00CF50FA">
        <w:rPr>
          <w:rFonts w:ascii="Calibri" w:hAnsi="Calibri" w:cs="Calibri"/>
          <w:color w:val="000000"/>
          <w:lang w:val="en-US"/>
        </w:rPr>
        <w:t>Bandura A: Self-efficacy: the exercise of control. New York , Freeman; 1997</w:t>
      </w:r>
    </w:p>
    <w:p w14:paraId="4958BF7F" w14:textId="77777777" w:rsidR="00D318CD" w:rsidRDefault="00D318CD" w:rsidP="00D318CD">
      <w:pPr>
        <w:rPr>
          <w:rFonts w:ascii="Calibri" w:hAnsi="Calibri" w:cs="Calibri"/>
          <w:color w:val="000000"/>
          <w:lang w:val="en-US"/>
        </w:rPr>
      </w:pPr>
    </w:p>
    <w:p w14:paraId="6CB74EA4" w14:textId="77777777" w:rsidR="00D318CD" w:rsidRPr="00CF50FA" w:rsidRDefault="00D318CD" w:rsidP="00D318CD">
      <w:pPr>
        <w:rPr>
          <w:rFonts w:ascii="Calibri" w:hAnsi="Calibri" w:cs="Calibri"/>
          <w:color w:val="000000"/>
          <w:lang w:val="en-US"/>
        </w:rPr>
      </w:pPr>
      <w:r w:rsidRPr="00CF50FA">
        <w:rPr>
          <w:rFonts w:ascii="Calibri" w:hAnsi="Calibri" w:cs="Calibri"/>
          <w:color w:val="000000"/>
          <w:lang w:val="en-US"/>
        </w:rPr>
        <w:t xml:space="preserve">Bandura A. Social cognitive theory of self-regulation. Organ Behav Hum Decis Process 1991;50:248-8710. doi:1016/0749- 5978(91)90022-L </w:t>
      </w:r>
    </w:p>
    <w:p w14:paraId="4F50CBCF" w14:textId="77777777" w:rsidR="00D318CD" w:rsidRDefault="00D318CD" w:rsidP="00D318CD">
      <w:pPr>
        <w:rPr>
          <w:rFonts w:ascii="Calibri" w:hAnsi="Calibri" w:cs="Calibri"/>
          <w:color w:val="000000"/>
          <w:lang w:val="en-US"/>
        </w:rPr>
      </w:pPr>
    </w:p>
    <w:p w14:paraId="69A7A322" w14:textId="77777777" w:rsidR="00D318CD" w:rsidRPr="00CF50FA" w:rsidRDefault="00D318CD" w:rsidP="00D318CD">
      <w:pPr>
        <w:rPr>
          <w:rFonts w:ascii="Calibri" w:hAnsi="Calibri" w:cs="Calibri"/>
          <w:color w:val="000000"/>
          <w:lang w:val="en-US"/>
        </w:rPr>
      </w:pPr>
      <w:r w:rsidRPr="00CF50FA">
        <w:rPr>
          <w:rFonts w:ascii="Calibri" w:hAnsi="Calibri" w:cs="Calibri"/>
          <w:color w:val="000000"/>
          <w:lang w:val="en-US"/>
        </w:rPr>
        <w:t xml:space="preserve">Bandura A. Social foundations of thought and action. Englewood Cliffs, NJ:PrenticeHall; 1986. </w:t>
      </w:r>
    </w:p>
    <w:p w14:paraId="5F2A2E82" w14:textId="77777777" w:rsidR="00D318CD" w:rsidRDefault="00D318CD" w:rsidP="00D318CD">
      <w:pPr>
        <w:rPr>
          <w:rFonts w:ascii="Calibri" w:hAnsi="Calibri" w:cs="Calibri"/>
          <w:color w:val="000000"/>
          <w:lang w:val="en-US"/>
        </w:rPr>
      </w:pPr>
    </w:p>
    <w:p w14:paraId="7047254A" w14:textId="77777777" w:rsidR="00D318CD" w:rsidRDefault="00D318CD" w:rsidP="00D318CD">
      <w:pPr>
        <w:rPr>
          <w:rFonts w:ascii="Calibri" w:hAnsi="Calibri" w:cs="Calibri"/>
          <w:color w:val="000000"/>
          <w:lang w:val="en-US"/>
        </w:rPr>
      </w:pPr>
      <w:r w:rsidRPr="00CF50FA">
        <w:rPr>
          <w:rFonts w:ascii="Calibri" w:hAnsi="Calibri" w:cs="Calibri"/>
          <w:color w:val="000000"/>
          <w:lang w:val="en-US"/>
        </w:rPr>
        <w:t>Maddux JE. Expectancies and the social cognitive perspective: basic principles, processes, and variables. In: Kirsch I, ed. How expectancies shape experiences. Washington, D.C.</w:t>
      </w:r>
      <w:r>
        <w:rPr>
          <w:rFonts w:ascii="Calibri" w:hAnsi="Calibri" w:cs="Calibri"/>
          <w:color w:val="000000"/>
          <w:lang w:val="en-US"/>
        </w:rPr>
        <w:t>:</w:t>
      </w:r>
      <w:r w:rsidRPr="00CF50FA">
        <w:rPr>
          <w:rFonts w:ascii="Calibri" w:hAnsi="Calibri" w:cs="Calibri"/>
          <w:color w:val="000000"/>
          <w:lang w:val="en-US"/>
        </w:rPr>
        <w:t>American</w:t>
      </w:r>
      <w:r>
        <w:rPr>
          <w:rFonts w:ascii="Calibri" w:hAnsi="Calibri" w:cs="Calibri"/>
          <w:color w:val="000000"/>
          <w:lang w:val="en-US"/>
        </w:rPr>
        <w:t xml:space="preserve"> </w:t>
      </w:r>
      <w:r w:rsidRPr="00CF50FA">
        <w:rPr>
          <w:rFonts w:ascii="Calibri" w:hAnsi="Calibri" w:cs="Calibri"/>
          <w:color w:val="000000"/>
          <w:lang w:val="en-US"/>
        </w:rPr>
        <w:t xml:space="preserve">Psychological Association; 1999:17–40. </w:t>
      </w:r>
    </w:p>
    <w:p w14:paraId="746E6F95" w14:textId="77777777" w:rsidR="00D318CD" w:rsidRDefault="00D318CD" w:rsidP="00D318CD">
      <w:pPr>
        <w:rPr>
          <w:rFonts w:ascii="Calibri" w:hAnsi="Calibri" w:cs="Calibri"/>
          <w:color w:val="000000"/>
          <w:lang w:val="en-US"/>
        </w:rPr>
      </w:pPr>
    </w:p>
    <w:p w14:paraId="4BBB8FF4" w14:textId="77777777" w:rsidR="00D318CD" w:rsidRPr="00B51E30" w:rsidRDefault="00D318CD" w:rsidP="00D318CD">
      <w:pPr>
        <w:rPr>
          <w:rFonts w:ascii="Calibri" w:hAnsi="Calibri" w:cs="Calibri"/>
          <w:b/>
          <w:color w:val="000000"/>
          <w:lang w:val="en-US"/>
        </w:rPr>
      </w:pPr>
      <w:r w:rsidRPr="00B51E30">
        <w:rPr>
          <w:rFonts w:ascii="Calibri" w:hAnsi="Calibri" w:cs="Calibri"/>
          <w:b/>
          <w:color w:val="000000"/>
          <w:lang w:val="en-US"/>
        </w:rPr>
        <w:t>Self determination theory</w:t>
      </w:r>
    </w:p>
    <w:p w14:paraId="758E61F9" w14:textId="77777777" w:rsidR="00D318CD" w:rsidRPr="00B51E30" w:rsidRDefault="00D318CD" w:rsidP="00D318CD">
      <w:pPr>
        <w:rPr>
          <w:lang w:val="en-US"/>
        </w:rPr>
      </w:pPr>
      <w:r w:rsidRPr="00B51E30">
        <w:rPr>
          <w:rFonts w:ascii="Helvetica Neue" w:hAnsi="Helvetica Neue"/>
          <w:color w:val="2E414F"/>
          <w:sz w:val="21"/>
          <w:szCs w:val="21"/>
          <w:shd w:val="clear" w:color="auto" w:fill="FFFFFF"/>
          <w:lang w:val="en-US"/>
        </w:rPr>
        <w:t>Deci, E.L., &amp; Ryan, R.M. (1980). The Empirical Exploration of Intrinsic Motivational Processes1. </w:t>
      </w:r>
      <w:r w:rsidRPr="00D318CD">
        <w:rPr>
          <w:rFonts w:ascii="Helvetica Neue" w:hAnsi="Helvetica Neue"/>
          <w:i/>
          <w:iCs/>
          <w:color w:val="2E414F"/>
          <w:sz w:val="21"/>
          <w:szCs w:val="21"/>
          <w:lang w:val="en-US"/>
        </w:rPr>
        <w:t>Advances in Experimental Social Psychology, 13</w:t>
      </w:r>
      <w:r w:rsidRPr="00B51E30">
        <w:rPr>
          <w:rFonts w:ascii="Helvetica Neue" w:hAnsi="Helvetica Neue"/>
          <w:color w:val="2E414F"/>
          <w:sz w:val="21"/>
          <w:szCs w:val="21"/>
          <w:shd w:val="clear" w:color="auto" w:fill="FFFFFF"/>
          <w:lang w:val="en-US"/>
        </w:rPr>
        <w:t>, 39-80.</w:t>
      </w:r>
    </w:p>
    <w:p w14:paraId="72518198" w14:textId="77777777" w:rsidR="00D318CD" w:rsidRPr="00B51E30" w:rsidRDefault="00D318CD" w:rsidP="00D318CD">
      <w:pPr>
        <w:rPr>
          <w:rFonts w:ascii="Calibri" w:hAnsi="Calibri" w:cs="Calibri"/>
          <w:b/>
          <w:color w:val="000000"/>
          <w:lang w:val="en-US"/>
        </w:rPr>
      </w:pPr>
    </w:p>
    <w:p w14:paraId="3BE5930A" w14:textId="77777777" w:rsidR="00D318CD" w:rsidRPr="00B51E30" w:rsidRDefault="00D318CD" w:rsidP="00D318CD">
      <w:pPr>
        <w:rPr>
          <w:rFonts w:ascii="Calibri" w:hAnsi="Calibri" w:cs="Calibri"/>
          <w:b/>
          <w:color w:val="000000"/>
          <w:lang w:val="en-US"/>
        </w:rPr>
      </w:pPr>
      <w:r w:rsidRPr="00B51E30">
        <w:rPr>
          <w:rFonts w:ascii="Calibri" w:hAnsi="Calibri" w:cs="Calibri"/>
          <w:b/>
          <w:color w:val="000000"/>
          <w:lang w:val="en-US"/>
        </w:rPr>
        <w:t>stepwise care in behavioural change</w:t>
      </w:r>
    </w:p>
    <w:p w14:paraId="7146B2FB" w14:textId="77777777" w:rsidR="00D318CD" w:rsidRPr="00D318CD" w:rsidRDefault="00D318CD" w:rsidP="00D318CD">
      <w:pPr>
        <w:rPr>
          <w:rFonts w:ascii="Calibri" w:hAnsi="Calibri" w:cs="Calibri"/>
          <w:color w:val="000000"/>
          <w:lang w:val="en-US"/>
        </w:rPr>
      </w:pPr>
      <w:r w:rsidRPr="00B51E30">
        <w:rPr>
          <w:rFonts w:ascii="Calibri" w:hAnsi="Calibri" w:cs="Calibri"/>
          <w:color w:val="000000"/>
          <w:lang w:val="en-US"/>
        </w:rPr>
        <w:t>Kanfer FH, Goldstein AP (eds). Helping People Change. A textbook of methods. New York: Pergamon Press, 1986</w:t>
      </w:r>
    </w:p>
    <w:p w14:paraId="404D4AE8" w14:textId="77777777" w:rsidR="00D318CD" w:rsidRPr="00D318CD" w:rsidRDefault="00D318CD" w:rsidP="00D318CD">
      <w:pPr>
        <w:rPr>
          <w:rFonts w:ascii="Calibri" w:hAnsi="Calibri" w:cs="Calibri"/>
          <w:b/>
          <w:color w:val="000000"/>
          <w:lang w:val="en-US"/>
        </w:rPr>
      </w:pPr>
    </w:p>
    <w:p w14:paraId="703F8CB5" w14:textId="77777777" w:rsidR="00D318CD" w:rsidRPr="00B51E30" w:rsidRDefault="00D318CD" w:rsidP="00D318CD">
      <w:pPr>
        <w:rPr>
          <w:rFonts w:ascii="Calibri" w:hAnsi="Calibri" w:cs="Calibri"/>
          <w:b/>
          <w:color w:val="000000"/>
          <w:lang w:val="en-US"/>
        </w:rPr>
      </w:pPr>
      <w:r w:rsidRPr="00B51E30">
        <w:rPr>
          <w:rFonts w:ascii="Calibri" w:hAnsi="Calibri" w:cs="Calibri"/>
          <w:b/>
          <w:color w:val="000000"/>
          <w:lang w:val="en-US"/>
        </w:rPr>
        <w:t>Nudge: Improving Decisions About Health, Wealth, and Happiness</w:t>
      </w:r>
    </w:p>
    <w:p w14:paraId="5105E135" w14:textId="77777777" w:rsidR="00D318CD" w:rsidRPr="00D318CD" w:rsidRDefault="00D318CD" w:rsidP="00D318CD">
      <w:pPr>
        <w:rPr>
          <w:rFonts w:ascii="Calibri" w:hAnsi="Calibri" w:cs="Calibri"/>
          <w:color w:val="000000"/>
          <w:lang w:val="en-US"/>
        </w:rPr>
      </w:pPr>
      <w:r w:rsidRPr="00B51E30">
        <w:rPr>
          <w:rFonts w:ascii="Calibri" w:hAnsi="Calibri" w:cs="Calibri"/>
          <w:color w:val="000000"/>
          <w:lang w:val="en-US"/>
        </w:rPr>
        <w:t>Thaler RH, Sunstein CR. Nudge: Improving Decisions About Health, Wealth, and Happiness. New York, NY: Penguin Books; 2009.</w:t>
      </w:r>
    </w:p>
    <w:p w14:paraId="699D85FE" w14:textId="77777777" w:rsidR="00D318CD" w:rsidRDefault="00D318CD" w:rsidP="00D318CD">
      <w:pPr>
        <w:rPr>
          <w:rFonts w:ascii="Calibri" w:hAnsi="Calibri" w:cs="Calibri"/>
          <w:b/>
          <w:color w:val="000000"/>
          <w:lang w:val="en-US"/>
        </w:rPr>
      </w:pPr>
    </w:p>
    <w:p w14:paraId="5B2A5603" w14:textId="77777777" w:rsidR="00D318CD" w:rsidRPr="00B51E30" w:rsidRDefault="00D318CD" w:rsidP="00D318CD">
      <w:pPr>
        <w:rPr>
          <w:rFonts w:ascii="Calibri" w:hAnsi="Calibri" w:cs="Calibri"/>
          <w:b/>
          <w:color w:val="000000"/>
          <w:lang w:val="en-US"/>
        </w:rPr>
      </w:pPr>
      <w:r w:rsidRPr="00B51E30">
        <w:rPr>
          <w:rFonts w:ascii="Calibri" w:hAnsi="Calibri" w:cs="Calibri"/>
          <w:b/>
          <w:color w:val="000000"/>
          <w:lang w:val="en-US"/>
        </w:rPr>
        <w:t>Choises, values and frames</w:t>
      </w:r>
    </w:p>
    <w:p w14:paraId="02328AC8" w14:textId="77777777" w:rsidR="00D318CD" w:rsidRPr="00D318CD" w:rsidRDefault="00D318CD" w:rsidP="00D318CD">
      <w:pPr>
        <w:rPr>
          <w:rFonts w:ascii="Calibri" w:hAnsi="Calibri" w:cs="Calibri"/>
          <w:color w:val="000000"/>
          <w:lang w:val="en-US"/>
        </w:rPr>
      </w:pPr>
      <w:r w:rsidRPr="00B51E30">
        <w:rPr>
          <w:rFonts w:ascii="Calibri" w:hAnsi="Calibri" w:cs="Calibri"/>
          <w:color w:val="000000"/>
          <w:lang w:val="en-US"/>
        </w:rPr>
        <w:t xml:space="preserve">Kahneman D, Tversky A. Choices, values and frames. Cambridge: Cambridge University Press; 2000.  </w:t>
      </w:r>
    </w:p>
    <w:p w14:paraId="6802DE64" w14:textId="77777777" w:rsidR="00D318CD" w:rsidRDefault="00D318CD" w:rsidP="00D318CD">
      <w:pPr>
        <w:rPr>
          <w:rFonts w:ascii="Calibri" w:hAnsi="Calibri" w:cs="Calibri"/>
          <w:b/>
          <w:color w:val="000000"/>
          <w:lang w:val="en-US"/>
        </w:rPr>
      </w:pPr>
    </w:p>
    <w:p w14:paraId="511A83F6" w14:textId="77777777" w:rsidR="00D318CD" w:rsidRPr="00B51E30" w:rsidRDefault="00D318CD" w:rsidP="00D318CD">
      <w:pPr>
        <w:rPr>
          <w:rFonts w:ascii="Calibri" w:hAnsi="Calibri" w:cs="Calibri"/>
          <w:b/>
          <w:color w:val="000000"/>
          <w:lang w:val="en-US"/>
        </w:rPr>
      </w:pPr>
      <w:r w:rsidRPr="00B51E30">
        <w:rPr>
          <w:rFonts w:ascii="Calibri" w:hAnsi="Calibri" w:cs="Calibri"/>
          <w:b/>
          <w:color w:val="000000"/>
          <w:lang w:val="en-US"/>
        </w:rPr>
        <w:t>Heuristics and biases: the psychology of intuitive judgment</w:t>
      </w:r>
    </w:p>
    <w:p w14:paraId="014558DA" w14:textId="77777777" w:rsidR="00D318CD" w:rsidRPr="00D318CD" w:rsidRDefault="00D318CD" w:rsidP="00D318CD">
      <w:pPr>
        <w:rPr>
          <w:rFonts w:ascii="Calibri" w:hAnsi="Calibri" w:cs="Calibri"/>
          <w:color w:val="000000"/>
          <w:lang w:val="en-US"/>
        </w:rPr>
      </w:pPr>
      <w:r w:rsidRPr="00B51E30">
        <w:rPr>
          <w:rFonts w:ascii="Calibri" w:hAnsi="Calibri" w:cs="Calibri"/>
          <w:color w:val="000000"/>
          <w:lang w:val="en-US"/>
        </w:rPr>
        <w:t>Gilovich T, Griffin D, Kahneman D, editors. Heuristics and biases: the psychology of intuitive judgment. Cambridge: Cambridge University Press; 2002</w:t>
      </w:r>
    </w:p>
    <w:p w14:paraId="5C6E468F" w14:textId="77777777" w:rsidR="00D318CD" w:rsidRDefault="00D318CD" w:rsidP="00D318CD">
      <w:pPr>
        <w:rPr>
          <w:rFonts w:ascii="Calibri" w:hAnsi="Calibri" w:cs="Calibri"/>
          <w:b/>
          <w:color w:val="000000"/>
          <w:lang w:val="en-US"/>
        </w:rPr>
      </w:pPr>
    </w:p>
    <w:p w14:paraId="0D95D1F7" w14:textId="77777777" w:rsidR="00D318CD" w:rsidRPr="00B51E30" w:rsidRDefault="00D318CD" w:rsidP="00D318CD">
      <w:pPr>
        <w:rPr>
          <w:rFonts w:ascii="Calibri" w:hAnsi="Calibri" w:cs="Calibri"/>
          <w:b/>
          <w:color w:val="000000"/>
          <w:lang w:val="en-US"/>
        </w:rPr>
      </w:pPr>
      <w:r w:rsidRPr="00B51E30">
        <w:rPr>
          <w:rFonts w:ascii="Calibri" w:hAnsi="Calibri" w:cs="Calibri"/>
          <w:b/>
          <w:color w:val="000000"/>
          <w:lang w:val="en-US"/>
        </w:rPr>
        <w:t>social learning theory</w:t>
      </w:r>
    </w:p>
    <w:p w14:paraId="47A4B2E4" w14:textId="77777777" w:rsidR="00D318CD" w:rsidRPr="00D318CD" w:rsidRDefault="00D318CD" w:rsidP="00D318CD">
      <w:pPr>
        <w:rPr>
          <w:rFonts w:ascii="Calibri" w:hAnsi="Calibri" w:cs="Calibri"/>
          <w:color w:val="000000"/>
          <w:lang w:val="en-US"/>
        </w:rPr>
      </w:pPr>
      <w:r w:rsidRPr="00B51E30">
        <w:rPr>
          <w:rFonts w:ascii="Calibri" w:hAnsi="Calibri" w:cs="Calibri"/>
          <w:color w:val="000000"/>
          <w:lang w:val="en-US"/>
        </w:rPr>
        <w:t>Rotter JB. The Development and Applications of Social Learning Theory. New York, N.Y.: Praeger; 1982.</w:t>
      </w:r>
    </w:p>
    <w:p w14:paraId="146FBD95" w14:textId="77777777" w:rsidR="00D318CD" w:rsidRDefault="00D318CD" w:rsidP="00D318CD">
      <w:pPr>
        <w:rPr>
          <w:rFonts w:ascii="Calibri" w:hAnsi="Calibri" w:cs="Calibri"/>
          <w:color w:val="000000"/>
          <w:lang w:val="en-US"/>
        </w:rPr>
      </w:pPr>
    </w:p>
    <w:p w14:paraId="1DC8AE0F" w14:textId="77777777" w:rsidR="00D318CD" w:rsidRPr="00B51E30" w:rsidRDefault="00D318CD" w:rsidP="00D318CD">
      <w:pPr>
        <w:rPr>
          <w:rFonts w:ascii="Calibri" w:hAnsi="Calibri" w:cs="Calibri"/>
          <w:color w:val="000000"/>
          <w:lang w:val="en-US"/>
        </w:rPr>
      </w:pPr>
      <w:r w:rsidRPr="00B51E30">
        <w:rPr>
          <w:rFonts w:ascii="Calibri" w:hAnsi="Calibri" w:cs="Calibri"/>
          <w:color w:val="000000"/>
          <w:lang w:val="en-US"/>
        </w:rPr>
        <w:t>Rosenstock IM, Strecher VJ, Becker MH.</w:t>
      </w:r>
      <w:r>
        <w:rPr>
          <w:rFonts w:ascii="Calibri" w:hAnsi="Calibri" w:cs="Calibri"/>
          <w:color w:val="000000"/>
          <w:lang w:val="en-US"/>
        </w:rPr>
        <w:t xml:space="preserve"> </w:t>
      </w:r>
      <w:r w:rsidRPr="00B51E30">
        <w:rPr>
          <w:rFonts w:ascii="Calibri" w:hAnsi="Calibri" w:cs="Calibri"/>
          <w:color w:val="000000"/>
          <w:lang w:val="en-US"/>
        </w:rPr>
        <w:t>Social learning theory and the Health Belief</w:t>
      </w:r>
      <w:r>
        <w:rPr>
          <w:rFonts w:ascii="Calibri" w:hAnsi="Calibri" w:cs="Calibri"/>
          <w:color w:val="000000"/>
          <w:lang w:val="en-US"/>
        </w:rPr>
        <w:t xml:space="preserve"> </w:t>
      </w:r>
      <w:r w:rsidRPr="00B51E30">
        <w:rPr>
          <w:rFonts w:ascii="Calibri" w:hAnsi="Calibri" w:cs="Calibri"/>
          <w:color w:val="000000"/>
          <w:lang w:val="en-US"/>
        </w:rPr>
        <w:t xml:space="preserve">Model. Health Educ Q. 1988; 15: 175–183. </w:t>
      </w:r>
    </w:p>
    <w:p w14:paraId="36CA4061" w14:textId="77777777" w:rsidR="00D318CD" w:rsidRDefault="00D318CD" w:rsidP="00D318CD">
      <w:pPr>
        <w:rPr>
          <w:rFonts w:ascii="Calibri" w:hAnsi="Calibri" w:cs="Calibri"/>
          <w:color w:val="000000"/>
          <w:lang w:val="en-US"/>
        </w:rPr>
      </w:pPr>
    </w:p>
    <w:p w14:paraId="0814954B" w14:textId="77777777" w:rsidR="00D318CD" w:rsidRPr="00D318CD" w:rsidRDefault="00D318CD" w:rsidP="00D318CD">
      <w:pPr>
        <w:rPr>
          <w:rFonts w:ascii="Calibri" w:hAnsi="Calibri" w:cs="Calibri"/>
          <w:color w:val="000000"/>
          <w:lang w:val="en-US"/>
        </w:rPr>
      </w:pPr>
      <w:r w:rsidRPr="00B51E30">
        <w:rPr>
          <w:rFonts w:ascii="Calibri" w:hAnsi="Calibri" w:cs="Calibri"/>
          <w:color w:val="000000"/>
          <w:lang w:val="en-US"/>
        </w:rPr>
        <w:lastRenderedPageBreak/>
        <w:t>Rollnick S, Mason P, Butler CC. Health behaviour change: a guide for practitioners. Churchill Livingstone, 1999.</w:t>
      </w:r>
    </w:p>
    <w:p w14:paraId="18B01FBC" w14:textId="77777777" w:rsidR="00D318CD" w:rsidRDefault="00D318CD" w:rsidP="00D318CD">
      <w:pPr>
        <w:rPr>
          <w:rFonts w:ascii="Calibri" w:hAnsi="Calibri" w:cs="Calibri"/>
          <w:color w:val="000000"/>
          <w:lang w:val="en-US"/>
        </w:rPr>
      </w:pPr>
    </w:p>
    <w:p w14:paraId="37BE3FB2" w14:textId="77777777" w:rsidR="00D318CD" w:rsidRPr="00D318CD" w:rsidRDefault="00D318CD" w:rsidP="00D318CD">
      <w:pPr>
        <w:rPr>
          <w:rFonts w:ascii="Calibri" w:hAnsi="Calibri" w:cs="Calibri"/>
          <w:color w:val="000000"/>
          <w:lang w:val="en-US"/>
        </w:rPr>
      </w:pPr>
      <w:r w:rsidRPr="00B51E30">
        <w:rPr>
          <w:rFonts w:ascii="Calibri" w:hAnsi="Calibri" w:cs="Calibri"/>
          <w:color w:val="000000"/>
          <w:lang w:val="en-US"/>
        </w:rPr>
        <w:t>Butler CC, Rollnick S, Kinnersley P, Jones A, Stott NCH. Reducing antibiotics for</w:t>
      </w:r>
      <w:r w:rsidRPr="00B51E30">
        <w:rPr>
          <w:rFonts w:ascii="Calibri" w:hAnsi="Calibri" w:cs="Calibri"/>
          <w:color w:val="000000"/>
          <w:lang w:val="en-US"/>
        </w:rPr>
        <w:br/>
        <w:t>respiratory tract symptoms in primary care; consolidating “why” and considering “how.”</w:t>
      </w:r>
      <w:r w:rsidRPr="00B51E30">
        <w:rPr>
          <w:rFonts w:ascii="Calibri" w:hAnsi="Calibri" w:cs="Calibri"/>
          <w:color w:val="000000"/>
          <w:lang w:val="en-US"/>
        </w:rPr>
        <w:br/>
        <w:t xml:space="preserve">Br J Gen Pract 1998;48:1865-70.  </w:t>
      </w:r>
    </w:p>
    <w:p w14:paraId="189E65AF" w14:textId="77777777" w:rsidR="00D318CD" w:rsidRDefault="00D318CD" w:rsidP="00D318CD">
      <w:pPr>
        <w:rPr>
          <w:rFonts w:ascii="Calibri" w:hAnsi="Calibri" w:cs="Calibri"/>
          <w:color w:val="000000"/>
          <w:lang w:val="en-US"/>
        </w:rPr>
      </w:pPr>
    </w:p>
    <w:p w14:paraId="0FAFB222" w14:textId="77777777" w:rsidR="00D318CD" w:rsidRPr="00B51E30" w:rsidRDefault="00D318CD" w:rsidP="00D318CD">
      <w:pPr>
        <w:rPr>
          <w:rFonts w:ascii="Calibri" w:hAnsi="Calibri" w:cs="Calibri"/>
          <w:b/>
          <w:color w:val="000000"/>
          <w:lang w:val="en-US"/>
        </w:rPr>
      </w:pPr>
      <w:r w:rsidRPr="00B51E30">
        <w:rPr>
          <w:rFonts w:ascii="Calibri" w:hAnsi="Calibri" w:cs="Calibri"/>
          <w:b/>
          <w:color w:val="000000"/>
          <w:lang w:val="en-US"/>
        </w:rPr>
        <w:t>"Stages of Change" model</w:t>
      </w:r>
    </w:p>
    <w:p w14:paraId="625187BC" w14:textId="77777777" w:rsidR="00D318CD" w:rsidRPr="00D318CD" w:rsidRDefault="00D318CD" w:rsidP="00D318CD">
      <w:pPr>
        <w:rPr>
          <w:rFonts w:ascii="Calibri" w:hAnsi="Calibri" w:cs="Calibri"/>
          <w:color w:val="000000"/>
          <w:lang w:val="en-US"/>
        </w:rPr>
      </w:pPr>
      <w:r w:rsidRPr="00B51E30">
        <w:rPr>
          <w:rFonts w:ascii="Calibri" w:hAnsi="Calibri" w:cs="Calibri"/>
          <w:color w:val="000000"/>
          <w:lang w:val="en-US"/>
        </w:rPr>
        <w:t>Prochaska JO, Diclemente CC, Norcross JC: In search of how people change: applications to addictive behaviors. Am Psychol 1992; 47: 1102-1114</w:t>
      </w:r>
    </w:p>
    <w:p w14:paraId="6CD118C7" w14:textId="77777777" w:rsidR="00D318CD" w:rsidRDefault="00D318CD" w:rsidP="00D318CD">
      <w:pPr>
        <w:rPr>
          <w:rFonts w:ascii="Calibri" w:hAnsi="Calibri" w:cs="Calibri"/>
          <w:color w:val="000000"/>
          <w:lang w:val="en-US"/>
        </w:rPr>
      </w:pPr>
    </w:p>
    <w:p w14:paraId="2CB07032" w14:textId="77777777" w:rsidR="00D318CD" w:rsidRPr="00B51E30" w:rsidRDefault="00D318CD" w:rsidP="00D318CD">
      <w:pPr>
        <w:rPr>
          <w:rFonts w:ascii="Calibri" w:hAnsi="Calibri" w:cs="Calibri"/>
          <w:b/>
          <w:color w:val="000000"/>
          <w:lang w:val="en-US"/>
        </w:rPr>
      </w:pPr>
      <w:r w:rsidRPr="00B51E30">
        <w:rPr>
          <w:rFonts w:ascii="Calibri" w:hAnsi="Calibri" w:cs="Calibri"/>
          <w:b/>
          <w:color w:val="000000"/>
          <w:lang w:val="en-US"/>
        </w:rPr>
        <w:t>Operant learning theory</w:t>
      </w:r>
    </w:p>
    <w:p w14:paraId="07CD0935" w14:textId="77777777" w:rsidR="00D318CD" w:rsidRPr="00B51E30" w:rsidRDefault="00D318CD" w:rsidP="00D318CD">
      <w:pPr>
        <w:rPr>
          <w:rFonts w:ascii="Calibri" w:hAnsi="Calibri" w:cs="Calibri"/>
          <w:color w:val="000000"/>
          <w:lang w:val="en-US"/>
        </w:rPr>
      </w:pPr>
      <w:r w:rsidRPr="00B51E30">
        <w:rPr>
          <w:rFonts w:ascii="Calibri" w:hAnsi="Calibri" w:cs="Calibri"/>
          <w:color w:val="000000"/>
          <w:lang w:val="en-US"/>
        </w:rPr>
        <w:t>Eccles MP, Grimshaw JM, Johnston M et al. Applying psychological theories to evidence-based clinical practice: identifying factors predictive of managing upper respiratory tract infections</w:t>
      </w:r>
      <w:r w:rsidRPr="00B51E30">
        <w:rPr>
          <w:rFonts w:ascii="Calibri" w:hAnsi="Calibri" w:cs="Calibri"/>
          <w:color w:val="000000"/>
          <w:lang w:val="en-US"/>
        </w:rPr>
        <w:br/>
        <w:t>without antibiotics.Implement Sci 2007; 2: 26.</w:t>
      </w:r>
    </w:p>
    <w:p w14:paraId="5FE6DDF7" w14:textId="77777777" w:rsidR="00D318CD" w:rsidRDefault="00D318CD" w:rsidP="00D318CD">
      <w:pPr>
        <w:rPr>
          <w:rFonts w:ascii="Calibri" w:hAnsi="Calibri" w:cs="Calibri"/>
          <w:color w:val="000000"/>
          <w:lang w:val="en-US"/>
        </w:rPr>
      </w:pPr>
    </w:p>
    <w:p w14:paraId="36DE30E9" w14:textId="77777777" w:rsidR="00D318CD" w:rsidRPr="00D318CD" w:rsidRDefault="00D318CD" w:rsidP="00D318CD">
      <w:pPr>
        <w:rPr>
          <w:rFonts w:ascii="Calibri" w:hAnsi="Calibri" w:cs="Calibri"/>
          <w:color w:val="000000"/>
          <w:lang w:val="en-US"/>
        </w:rPr>
      </w:pPr>
      <w:r w:rsidRPr="00B51E30">
        <w:rPr>
          <w:rFonts w:ascii="Calibri" w:hAnsi="Calibri" w:cs="Calibri"/>
          <w:color w:val="000000"/>
          <w:lang w:val="en-US"/>
        </w:rPr>
        <w:t>Blackman D: Operant conditioning: an experimental analysis of behaviour. Edited by: Blackman D. London , Methuen; 1974.</w:t>
      </w:r>
    </w:p>
    <w:p w14:paraId="05072EDE" w14:textId="77777777" w:rsidR="00D318CD" w:rsidRDefault="00D318CD" w:rsidP="00D318CD">
      <w:pPr>
        <w:rPr>
          <w:rFonts w:ascii="Calibri" w:hAnsi="Calibri" w:cs="Calibri"/>
          <w:color w:val="000000"/>
          <w:lang w:val="en-US"/>
        </w:rPr>
      </w:pPr>
    </w:p>
    <w:p w14:paraId="7F9DB46A" w14:textId="77777777" w:rsidR="00D318CD" w:rsidRPr="00B51E30" w:rsidRDefault="00D318CD" w:rsidP="00D318CD">
      <w:pPr>
        <w:rPr>
          <w:rFonts w:ascii="Calibri" w:hAnsi="Calibri" w:cs="Calibri"/>
          <w:b/>
          <w:color w:val="000000"/>
          <w:lang w:val="en-US"/>
        </w:rPr>
      </w:pPr>
      <w:r w:rsidRPr="00B51E30">
        <w:rPr>
          <w:rFonts w:ascii="Calibri" w:hAnsi="Calibri" w:cs="Calibri"/>
          <w:b/>
          <w:color w:val="000000"/>
          <w:lang w:val="en-US"/>
        </w:rPr>
        <w:t>Elaboration likelihood model of persuasion</w:t>
      </w:r>
    </w:p>
    <w:p w14:paraId="601F486F" w14:textId="77777777" w:rsidR="00D318CD" w:rsidRPr="00B51E30" w:rsidRDefault="00D318CD" w:rsidP="00D318CD">
      <w:pPr>
        <w:rPr>
          <w:rFonts w:ascii="Calibri" w:hAnsi="Calibri" w:cs="Calibri"/>
          <w:color w:val="000000"/>
          <w:lang w:val="en-US"/>
        </w:rPr>
      </w:pPr>
      <w:r w:rsidRPr="00B51E30">
        <w:rPr>
          <w:rFonts w:ascii="Calibri" w:hAnsi="Calibri" w:cs="Calibri"/>
          <w:color w:val="000000"/>
          <w:lang w:val="en-US"/>
        </w:rPr>
        <w:t>Petty RE, Cacioppo JT. The elaboration likelihood model of persuasion. In: Berkowitz L (ed). Advances in experimental social psychology. New York: Academic Press, 1986.</w:t>
      </w:r>
    </w:p>
    <w:p w14:paraId="2B2AA2F7" w14:textId="77777777" w:rsidR="00D318CD" w:rsidRDefault="00D318CD" w:rsidP="00D318CD">
      <w:pPr>
        <w:rPr>
          <w:rFonts w:ascii="Calibri" w:hAnsi="Calibri" w:cs="Calibri"/>
          <w:color w:val="000000"/>
          <w:lang w:val="en-US"/>
        </w:rPr>
      </w:pPr>
    </w:p>
    <w:p w14:paraId="1DBAB300" w14:textId="77777777" w:rsidR="00D318CD" w:rsidRPr="00B51E30" w:rsidRDefault="00D318CD" w:rsidP="00D318CD">
      <w:pPr>
        <w:rPr>
          <w:rFonts w:ascii="Calibri" w:hAnsi="Calibri" w:cs="Calibri"/>
          <w:b/>
          <w:color w:val="000000"/>
          <w:lang w:val="en-US"/>
        </w:rPr>
      </w:pPr>
      <w:r w:rsidRPr="00D318CD">
        <w:rPr>
          <w:rFonts w:ascii="Calibri" w:hAnsi="Calibri" w:cs="Calibri"/>
          <w:b/>
          <w:color w:val="000000"/>
          <w:lang w:val="en-US"/>
        </w:rPr>
        <w:t>E</w:t>
      </w:r>
      <w:r w:rsidRPr="00B51E30">
        <w:rPr>
          <w:rFonts w:ascii="Calibri" w:hAnsi="Calibri" w:cs="Calibri"/>
          <w:b/>
          <w:color w:val="000000"/>
          <w:lang w:val="en-US"/>
        </w:rPr>
        <w:t>xpectancy-valence theory</w:t>
      </w:r>
    </w:p>
    <w:p w14:paraId="1E71D59A" w14:textId="77777777" w:rsidR="00D318CD" w:rsidRPr="00D318CD" w:rsidRDefault="00D318CD" w:rsidP="00D318CD">
      <w:pPr>
        <w:rPr>
          <w:rFonts w:ascii="Calibri" w:hAnsi="Calibri" w:cs="Calibri"/>
          <w:color w:val="000000"/>
          <w:lang w:val="en-US"/>
        </w:rPr>
      </w:pPr>
      <w:r w:rsidRPr="00B51E30">
        <w:rPr>
          <w:rFonts w:ascii="Calibri" w:hAnsi="Calibri" w:cs="Calibri"/>
          <w:color w:val="000000"/>
          <w:lang w:val="en-US"/>
        </w:rPr>
        <w:t>Rotter JB. The Development and Applications of Social Learning Theory. New York, N.Y.: Praeger; 1982.</w:t>
      </w:r>
    </w:p>
    <w:p w14:paraId="101C3D2E" w14:textId="77777777" w:rsidR="00D318CD" w:rsidRPr="00D318CD" w:rsidRDefault="00D318CD" w:rsidP="00D318CD">
      <w:pPr>
        <w:rPr>
          <w:rFonts w:ascii="Calibri" w:hAnsi="Calibri" w:cs="Calibri"/>
          <w:color w:val="000000"/>
          <w:lang w:val="en-US"/>
        </w:rPr>
      </w:pPr>
    </w:p>
    <w:p w14:paraId="2663C516" w14:textId="77777777" w:rsidR="00D318CD" w:rsidRPr="00B51E30" w:rsidRDefault="00D318CD" w:rsidP="00D318CD">
      <w:pPr>
        <w:rPr>
          <w:rFonts w:ascii="Calibri" w:hAnsi="Calibri" w:cs="Calibri"/>
          <w:b/>
          <w:color w:val="000000"/>
          <w:lang w:val="en-US"/>
        </w:rPr>
      </w:pPr>
      <w:r w:rsidRPr="00D318CD">
        <w:rPr>
          <w:rFonts w:ascii="Calibri" w:hAnsi="Calibri" w:cs="Calibri"/>
          <w:b/>
          <w:color w:val="000000"/>
          <w:lang w:val="en-US"/>
        </w:rPr>
        <w:t>E</w:t>
      </w:r>
      <w:r w:rsidRPr="00B51E30">
        <w:rPr>
          <w:rFonts w:ascii="Calibri" w:hAnsi="Calibri" w:cs="Calibri"/>
          <w:b/>
          <w:color w:val="000000"/>
          <w:lang w:val="en-US"/>
        </w:rPr>
        <w:t>xpectancy-value model</w:t>
      </w:r>
    </w:p>
    <w:p w14:paraId="5C8C9962" w14:textId="77777777" w:rsidR="00D318CD" w:rsidRPr="00D318CD" w:rsidRDefault="00D318CD" w:rsidP="00D318CD">
      <w:pPr>
        <w:rPr>
          <w:rFonts w:ascii="Calibri" w:hAnsi="Calibri" w:cs="Calibri"/>
          <w:color w:val="000000"/>
          <w:lang w:val="en-US"/>
        </w:rPr>
      </w:pPr>
      <w:r w:rsidRPr="00B51E30">
        <w:rPr>
          <w:rFonts w:ascii="Calibri" w:hAnsi="Calibri" w:cs="Calibri"/>
          <w:color w:val="000000"/>
          <w:lang w:val="en-US"/>
        </w:rPr>
        <w:t>Feather NT, ed. Expectations and action: expectancy-value models in psychology. Hillsdale, NJ:</w:t>
      </w:r>
      <w:r w:rsidRPr="00D318CD">
        <w:rPr>
          <w:rFonts w:ascii="Calibri" w:hAnsi="Calibri" w:cs="Calibri"/>
          <w:color w:val="000000"/>
          <w:lang w:val="en-US"/>
        </w:rPr>
        <w:t xml:space="preserve"> </w:t>
      </w:r>
      <w:r w:rsidRPr="00B51E30">
        <w:rPr>
          <w:rFonts w:ascii="Calibri" w:hAnsi="Calibri" w:cs="Calibri"/>
          <w:color w:val="000000"/>
          <w:lang w:val="en-US"/>
        </w:rPr>
        <w:t>Lawrence Erlbaum Associates;</w:t>
      </w:r>
      <w:r w:rsidRPr="00D318CD">
        <w:rPr>
          <w:rFonts w:ascii="Calibri" w:hAnsi="Calibri" w:cs="Calibri"/>
          <w:color w:val="000000"/>
          <w:lang w:val="en-US"/>
        </w:rPr>
        <w:t xml:space="preserve"> </w:t>
      </w:r>
      <w:r w:rsidRPr="00B51E30">
        <w:rPr>
          <w:rFonts w:ascii="Calibri" w:hAnsi="Calibri" w:cs="Calibri"/>
          <w:color w:val="000000"/>
          <w:lang w:val="en-US"/>
        </w:rPr>
        <w:t>1982: 263–292</w:t>
      </w:r>
    </w:p>
    <w:p w14:paraId="18E52DE1" w14:textId="77777777" w:rsidR="00D318CD" w:rsidRPr="00D318CD" w:rsidRDefault="00D318CD" w:rsidP="00D318CD">
      <w:pPr>
        <w:rPr>
          <w:rFonts w:ascii="Calibri" w:hAnsi="Calibri" w:cs="Calibri"/>
          <w:color w:val="000000"/>
          <w:lang w:val="en-US"/>
        </w:rPr>
      </w:pPr>
    </w:p>
    <w:p w14:paraId="2B1DCC15" w14:textId="77777777" w:rsidR="00D318CD" w:rsidRPr="00B51E30" w:rsidRDefault="00D318CD" w:rsidP="00D318CD">
      <w:pPr>
        <w:rPr>
          <w:rFonts w:ascii="Calibri" w:hAnsi="Calibri" w:cs="Calibri"/>
          <w:b/>
          <w:color w:val="000000"/>
          <w:lang w:val="en-US"/>
        </w:rPr>
      </w:pPr>
      <w:r w:rsidRPr="00B51E30">
        <w:rPr>
          <w:rFonts w:ascii="Calibri" w:hAnsi="Calibri" w:cs="Calibri"/>
          <w:b/>
          <w:color w:val="000000"/>
          <w:lang w:val="en-US"/>
        </w:rPr>
        <w:t>Other cited theoretical literature</w:t>
      </w:r>
    </w:p>
    <w:p w14:paraId="312B1613" w14:textId="77777777" w:rsidR="00D318CD" w:rsidRPr="00B51E30" w:rsidRDefault="00D318CD" w:rsidP="00D318CD">
      <w:pPr>
        <w:rPr>
          <w:rFonts w:ascii="Calibri" w:hAnsi="Calibri" w:cs="Calibri"/>
          <w:color w:val="000000"/>
          <w:lang w:val="en-US"/>
        </w:rPr>
      </w:pPr>
      <w:r w:rsidRPr="00B51E30">
        <w:rPr>
          <w:rFonts w:ascii="Calibri" w:hAnsi="Calibri" w:cs="Calibri"/>
          <w:color w:val="000000"/>
          <w:lang w:val="en-US"/>
        </w:rPr>
        <w:t>Briñol P, Petty RE. Source factors in persuasion: a self-validation approach. Eur Rev Soc Psychol 2009; 20: 49–96.</w:t>
      </w:r>
    </w:p>
    <w:p w14:paraId="5CFAA593" w14:textId="77777777" w:rsidR="00D318CD" w:rsidRPr="00B51E30" w:rsidRDefault="00D318CD" w:rsidP="00D318CD">
      <w:pPr>
        <w:rPr>
          <w:rFonts w:ascii="Calibri" w:hAnsi="Calibri" w:cs="Calibri"/>
          <w:color w:val="000000"/>
          <w:lang w:val="en-US"/>
        </w:rPr>
      </w:pPr>
    </w:p>
    <w:p w14:paraId="16AEEDF8" w14:textId="77777777" w:rsidR="00D318CD" w:rsidRPr="00D318CD" w:rsidRDefault="00D318CD" w:rsidP="00D318CD">
      <w:pPr>
        <w:rPr>
          <w:rFonts w:ascii="Calibri" w:hAnsi="Calibri" w:cs="Calibri"/>
          <w:color w:val="000000"/>
          <w:lang w:val="en-US"/>
        </w:rPr>
      </w:pPr>
      <w:r w:rsidRPr="00B51E30">
        <w:rPr>
          <w:rFonts w:ascii="Calibri" w:hAnsi="Calibri" w:cs="Calibri"/>
          <w:color w:val="000000"/>
          <w:lang w:val="en-US"/>
        </w:rPr>
        <w:t>Knights S. Reflection and learning: the importance of a listener. In: Boud D, Keogh R, Walker D, eds. Reflection: turning experience into learning. Kogan Page, 1985:85-90.</w:t>
      </w:r>
    </w:p>
    <w:p w14:paraId="4FEBF658" w14:textId="77777777" w:rsidR="00D318CD" w:rsidRPr="00D318CD" w:rsidRDefault="00D318CD" w:rsidP="00D318CD">
      <w:pPr>
        <w:rPr>
          <w:rFonts w:ascii="Calibri" w:hAnsi="Calibri" w:cs="Calibri"/>
          <w:color w:val="000000"/>
          <w:lang w:val="en-US"/>
        </w:rPr>
      </w:pPr>
    </w:p>
    <w:p w14:paraId="2A56711A" w14:textId="77777777" w:rsidR="00D318CD" w:rsidRPr="00B51E30" w:rsidRDefault="00D318CD" w:rsidP="00D318CD">
      <w:pPr>
        <w:rPr>
          <w:rFonts w:ascii="Calibri" w:hAnsi="Calibri" w:cs="Calibri"/>
          <w:color w:val="000000"/>
          <w:lang w:val="en-US"/>
        </w:rPr>
      </w:pPr>
      <w:r w:rsidRPr="00B51E30">
        <w:rPr>
          <w:rFonts w:ascii="Calibri" w:hAnsi="Calibri" w:cs="Calibri"/>
          <w:color w:val="000000"/>
          <w:lang w:val="en-US"/>
        </w:rPr>
        <w:t>Yalom I. D. The Theory and Practice of Group Psychotherapy. Basic Books, New York, 1985</w:t>
      </w:r>
    </w:p>
    <w:p w14:paraId="513DB1D5" w14:textId="77777777" w:rsidR="00D318CD" w:rsidRPr="00B51E30" w:rsidRDefault="00D318CD" w:rsidP="00D318CD">
      <w:pPr>
        <w:rPr>
          <w:rFonts w:ascii="Calibri" w:hAnsi="Calibri" w:cs="Calibri"/>
          <w:color w:val="000000"/>
          <w:lang w:val="en-US"/>
        </w:rPr>
      </w:pPr>
    </w:p>
    <w:p w14:paraId="46DC2BD8" w14:textId="77777777" w:rsidR="00D318CD" w:rsidRDefault="00D318CD" w:rsidP="00D318CD">
      <w:pPr>
        <w:rPr>
          <w:rFonts w:ascii="Calibri" w:hAnsi="Calibri" w:cs="Calibri"/>
          <w:color w:val="000000"/>
          <w:lang w:val="en-US"/>
        </w:rPr>
      </w:pPr>
      <w:r w:rsidRPr="00B51E30">
        <w:rPr>
          <w:rFonts w:ascii="Calibri" w:hAnsi="Calibri" w:cs="Calibri"/>
          <w:color w:val="000000"/>
          <w:lang w:val="en-US"/>
        </w:rPr>
        <w:t>Bjork, RA. Retrieval practice and the maintenance of knowledge. In: Gruneberg, MM.; Morris, PE.; Sykes, RN., editors. Practical aspects of memory: current research and issues. New York: Wiley; 1988. p. 396-401.</w:t>
      </w:r>
    </w:p>
    <w:p w14:paraId="078AD3CA" w14:textId="77777777" w:rsidR="00D318CD" w:rsidRDefault="00D318CD" w:rsidP="00D318CD">
      <w:pPr>
        <w:rPr>
          <w:rFonts w:ascii="Calibri" w:hAnsi="Calibri" w:cs="Calibri"/>
          <w:color w:val="000000"/>
          <w:lang w:val="en-US"/>
        </w:rPr>
      </w:pPr>
    </w:p>
    <w:p w14:paraId="73EBA972" w14:textId="5C70B10F" w:rsidR="00D318CD" w:rsidRDefault="00D318CD" w:rsidP="00D318CD">
      <w:pPr>
        <w:rPr>
          <w:rFonts w:ascii="Calibri" w:hAnsi="Calibri" w:cs="Calibri"/>
          <w:color w:val="000000"/>
          <w:lang w:val="en-US"/>
        </w:rPr>
      </w:pPr>
      <w:r w:rsidRPr="00B51E30">
        <w:rPr>
          <w:rFonts w:ascii="Calibri" w:hAnsi="Calibri" w:cs="Calibri"/>
          <w:color w:val="000000"/>
          <w:lang w:val="en-US"/>
        </w:rPr>
        <w:t>Harden RM. Outcome-based education—The ostrich, the peacock and the beaver. Med Teach. 2007;29~7!:666– 671.</w:t>
      </w:r>
    </w:p>
    <w:p w14:paraId="6A456670" w14:textId="77777777" w:rsidR="00FE2084" w:rsidRDefault="00FE2084" w:rsidP="00D318CD">
      <w:pPr>
        <w:rPr>
          <w:rFonts w:ascii="Calibri" w:hAnsi="Calibri" w:cs="Calibri"/>
          <w:color w:val="000000"/>
          <w:lang w:val="en-US"/>
        </w:rPr>
      </w:pPr>
    </w:p>
    <w:p w14:paraId="54BFC836" w14:textId="2BF79018" w:rsidR="00FE2084" w:rsidRPr="006917C1" w:rsidRDefault="00FE2084" w:rsidP="00FE2084">
      <w:pPr>
        <w:rPr>
          <w:rFonts w:ascii="Calibri" w:hAnsi="Calibri"/>
          <w:color w:val="000000"/>
          <w:lang w:val="en-US"/>
        </w:rPr>
      </w:pPr>
      <w:r w:rsidRPr="00FE2084">
        <w:rPr>
          <w:rFonts w:ascii="Calibri" w:hAnsi="Calibri"/>
          <w:color w:val="000000"/>
          <w:lang w:val="en-US"/>
        </w:rPr>
        <w:lastRenderedPageBreak/>
        <w:t xml:space="preserve">Halpern SD, Asch DA, Volpp KG. Commitment contracts as a way to health. </w:t>
      </w:r>
      <w:r w:rsidRPr="006917C1">
        <w:rPr>
          <w:rFonts w:ascii="Calibri" w:hAnsi="Calibri"/>
          <w:color w:val="000000"/>
          <w:lang w:val="en-US"/>
        </w:rPr>
        <w:t>BMJ 2012;344:e522.</w:t>
      </w:r>
    </w:p>
    <w:p w14:paraId="535FB093" w14:textId="77777777" w:rsidR="00066D96" w:rsidRPr="006917C1" w:rsidRDefault="00066D96" w:rsidP="00FE2084">
      <w:pPr>
        <w:rPr>
          <w:rFonts w:ascii="Calibri" w:hAnsi="Calibri"/>
          <w:color w:val="000000"/>
          <w:lang w:val="en-US"/>
        </w:rPr>
      </w:pPr>
    </w:p>
    <w:p w14:paraId="13A13EEC" w14:textId="2B13985F" w:rsidR="00066D96" w:rsidRPr="006917C1" w:rsidRDefault="00066D96" w:rsidP="00066D96">
      <w:pPr>
        <w:tabs>
          <w:tab w:val="right" w:pos="9632"/>
        </w:tabs>
        <w:rPr>
          <w:rFonts w:ascii="Calibri" w:hAnsi="Calibri"/>
          <w:color w:val="000000"/>
          <w:lang w:val="en-US"/>
        </w:rPr>
      </w:pPr>
      <w:r w:rsidRPr="00066D96">
        <w:rPr>
          <w:rFonts w:ascii="Calibri" w:hAnsi="Calibri"/>
          <w:color w:val="000000"/>
          <w:lang w:val="en-US"/>
        </w:rPr>
        <w:t xml:space="preserve">Kazdin A. Behaviour modifi cation in applied settings, 6th edn. </w:t>
      </w:r>
      <w:r w:rsidRPr="006917C1">
        <w:rPr>
          <w:rFonts w:ascii="Calibri" w:hAnsi="Calibri"/>
          <w:color w:val="000000"/>
          <w:lang w:val="en-US"/>
        </w:rPr>
        <w:t>Belmont, CA: Wadsworth, 2001.</w:t>
      </w:r>
      <w:r w:rsidRPr="006917C1">
        <w:rPr>
          <w:rFonts w:ascii="Calibri" w:hAnsi="Calibri"/>
          <w:color w:val="000000"/>
          <w:lang w:val="en-US"/>
        </w:rPr>
        <w:tab/>
      </w:r>
    </w:p>
    <w:p w14:paraId="29C931CE" w14:textId="268875A4" w:rsidR="00066D96" w:rsidRPr="006917C1" w:rsidRDefault="00066D96" w:rsidP="00066D96">
      <w:pPr>
        <w:tabs>
          <w:tab w:val="right" w:pos="9632"/>
        </w:tabs>
        <w:rPr>
          <w:rFonts w:ascii="Calibri" w:hAnsi="Calibri"/>
          <w:color w:val="000000"/>
          <w:lang w:val="en-US"/>
        </w:rPr>
      </w:pPr>
    </w:p>
    <w:p w14:paraId="592080B3" w14:textId="77777777" w:rsidR="00066D96" w:rsidRPr="006917C1" w:rsidRDefault="00066D96" w:rsidP="00066D96">
      <w:pPr>
        <w:rPr>
          <w:rFonts w:ascii="Calibri" w:hAnsi="Calibri"/>
          <w:color w:val="000000"/>
          <w:lang w:val="en-US"/>
        </w:rPr>
      </w:pPr>
      <w:r w:rsidRPr="00066D96">
        <w:rPr>
          <w:rFonts w:ascii="Calibri" w:hAnsi="Calibri"/>
          <w:color w:val="000000"/>
          <w:lang w:val="en-US"/>
        </w:rPr>
        <w:t xml:space="preserve">Mackie D. M., Worth L. T. and Asuncion A. G. Processing of persuasive in-group messages. </w:t>
      </w:r>
      <w:r w:rsidRPr="006917C1">
        <w:rPr>
          <w:rFonts w:ascii="Calibri" w:hAnsi="Calibri"/>
          <w:color w:val="000000"/>
          <w:lang w:val="en-US"/>
        </w:rPr>
        <w:t>J. Personality Sac. Psychol. 58, 812, 1990.</w:t>
      </w:r>
    </w:p>
    <w:p w14:paraId="1CFEED71" w14:textId="77777777" w:rsidR="00066D96" w:rsidRPr="006917C1" w:rsidRDefault="00066D96" w:rsidP="00FE2084">
      <w:pPr>
        <w:rPr>
          <w:rFonts w:ascii="Calibri" w:hAnsi="Calibri"/>
          <w:color w:val="000000"/>
          <w:lang w:val="en-US"/>
        </w:rPr>
      </w:pPr>
    </w:p>
    <w:p w14:paraId="0EB0B4D5" w14:textId="1FDA3081" w:rsidR="00066D96" w:rsidRPr="00A16D7D" w:rsidRDefault="00066D96" w:rsidP="00066D96">
      <w:pPr>
        <w:rPr>
          <w:rFonts w:ascii="Calibri" w:hAnsi="Calibri"/>
          <w:color w:val="000000"/>
          <w:lang w:val="en-US"/>
        </w:rPr>
      </w:pPr>
      <w:r w:rsidRPr="00066D96">
        <w:rPr>
          <w:rFonts w:ascii="Calibri" w:hAnsi="Calibri"/>
          <w:color w:val="000000"/>
          <w:lang w:val="en-US"/>
        </w:rPr>
        <w:t xml:space="preserve">Weber A. L. Introduction to Psychology. </w:t>
      </w:r>
      <w:r w:rsidRPr="00A16D7D">
        <w:rPr>
          <w:rFonts w:ascii="Calibri" w:hAnsi="Calibri"/>
          <w:color w:val="000000"/>
          <w:lang w:val="en-US"/>
        </w:rPr>
        <w:t>Harper Collins, New York, 1991.</w:t>
      </w:r>
    </w:p>
    <w:p w14:paraId="10837E43" w14:textId="1F8F8910" w:rsidR="00066D96" w:rsidRPr="00A16D7D" w:rsidRDefault="00066D96" w:rsidP="00066D96">
      <w:pPr>
        <w:rPr>
          <w:rFonts w:ascii="Calibri" w:hAnsi="Calibri"/>
          <w:color w:val="000000"/>
          <w:lang w:val="en-US"/>
        </w:rPr>
      </w:pPr>
    </w:p>
    <w:p w14:paraId="43457E32" w14:textId="77777777" w:rsidR="00066D96" w:rsidRPr="00066D96" w:rsidRDefault="00066D96" w:rsidP="00066D96">
      <w:pPr>
        <w:rPr>
          <w:rFonts w:ascii="Calibri" w:hAnsi="Calibri"/>
          <w:color w:val="000000"/>
        </w:rPr>
      </w:pPr>
      <w:r w:rsidRPr="00066D96">
        <w:rPr>
          <w:rFonts w:ascii="Calibri" w:hAnsi="Calibri"/>
          <w:color w:val="000000"/>
          <w:lang w:val="en-US"/>
        </w:rPr>
        <w:t xml:space="preserve">Karpicke JD, Roediger HL 3rd. The critical importance of retrieval for learning. </w:t>
      </w:r>
      <w:r w:rsidRPr="00066D96">
        <w:rPr>
          <w:rFonts w:ascii="Calibri" w:hAnsi="Calibri"/>
          <w:color w:val="000000"/>
        </w:rPr>
        <w:t>Science 2008;319(5865):966–8. [PubMed: 18276894]</w:t>
      </w:r>
    </w:p>
    <w:p w14:paraId="6089F18B" w14:textId="77777777" w:rsidR="00066D96" w:rsidRPr="00066D96" w:rsidRDefault="00066D96" w:rsidP="00066D96">
      <w:pPr>
        <w:rPr>
          <w:rFonts w:ascii="Calibri" w:hAnsi="Calibri"/>
          <w:color w:val="000000"/>
        </w:rPr>
      </w:pPr>
    </w:p>
    <w:p w14:paraId="277734FF" w14:textId="77777777" w:rsidR="00FE2084" w:rsidRPr="00D318CD" w:rsidRDefault="00FE2084" w:rsidP="00D318CD">
      <w:pPr>
        <w:rPr>
          <w:rFonts w:ascii="Calibri" w:hAnsi="Calibri" w:cs="Calibri"/>
          <w:color w:val="000000"/>
          <w:lang w:val="en-US"/>
        </w:rPr>
      </w:pPr>
    </w:p>
    <w:p w14:paraId="32D07C0B" w14:textId="77777777" w:rsidR="00D318CD" w:rsidRPr="00B51E30" w:rsidRDefault="00D318CD" w:rsidP="00D318CD">
      <w:pPr>
        <w:rPr>
          <w:rFonts w:ascii="Calibri" w:hAnsi="Calibri" w:cs="Calibri"/>
          <w:color w:val="000000"/>
          <w:lang w:val="en-US"/>
        </w:rPr>
      </w:pPr>
    </w:p>
    <w:p w14:paraId="03336EC4" w14:textId="77777777" w:rsidR="00D318CD" w:rsidRPr="00B51E30" w:rsidRDefault="00D318CD" w:rsidP="00D318CD">
      <w:pPr>
        <w:pStyle w:val="Heading2"/>
        <w:rPr>
          <w:rFonts w:eastAsia="Times New Roman"/>
          <w:lang w:val="en-US"/>
        </w:rPr>
      </w:pPr>
      <w:r>
        <w:rPr>
          <w:rFonts w:eastAsia="Times New Roman"/>
          <w:lang w:val="en-US"/>
        </w:rPr>
        <w:t>Process models</w:t>
      </w:r>
    </w:p>
    <w:p w14:paraId="672D1497" w14:textId="7CA2FF69" w:rsidR="00D318CD" w:rsidRDefault="00D318CD" w:rsidP="00D318CD">
      <w:pPr>
        <w:rPr>
          <w:rFonts w:ascii="Calibri" w:hAnsi="Calibri" w:cs="Calibri"/>
          <w:b/>
          <w:color w:val="000000"/>
          <w:lang w:val="en-US"/>
        </w:rPr>
      </w:pPr>
    </w:p>
    <w:p w14:paraId="06B9F848" w14:textId="77777777" w:rsidR="006917C1" w:rsidRPr="00A16D7D" w:rsidRDefault="006917C1" w:rsidP="006917C1">
      <w:pPr>
        <w:rPr>
          <w:rFonts w:ascii="Calibri" w:hAnsi="Calibri"/>
          <w:color w:val="000000"/>
          <w:lang w:val="en-US"/>
        </w:rPr>
      </w:pPr>
      <w:r w:rsidRPr="006917C1">
        <w:rPr>
          <w:rFonts w:ascii="Calibri" w:hAnsi="Calibri"/>
          <w:color w:val="000000"/>
          <w:lang w:val="en-US"/>
        </w:rPr>
        <w:t xml:space="preserve">Graham ID, Logan J, Harrison MB, et al. Lost in knowledge translation: time for a MAP? </w:t>
      </w:r>
      <w:r w:rsidRPr="00A16D7D">
        <w:rPr>
          <w:rFonts w:ascii="Calibri" w:hAnsi="Calibri"/>
          <w:color w:val="000000"/>
          <w:lang w:val="en-US"/>
        </w:rPr>
        <w:t>J Contin Educ Health Prof 2006;26:13–24.</w:t>
      </w:r>
    </w:p>
    <w:p w14:paraId="142D511D" w14:textId="77777777" w:rsidR="006917C1" w:rsidRDefault="006917C1" w:rsidP="00D318CD">
      <w:pPr>
        <w:rPr>
          <w:rFonts w:ascii="Calibri" w:hAnsi="Calibri" w:cs="Calibri"/>
          <w:b/>
          <w:color w:val="000000"/>
          <w:lang w:val="en-US"/>
        </w:rPr>
      </w:pPr>
    </w:p>
    <w:p w14:paraId="68189F89" w14:textId="77777777" w:rsidR="00D318CD" w:rsidRDefault="00D318CD" w:rsidP="00D318CD">
      <w:pPr>
        <w:rPr>
          <w:lang w:val="en-US"/>
        </w:rPr>
      </w:pPr>
    </w:p>
    <w:p w14:paraId="13AD2702" w14:textId="77777777" w:rsidR="00D318CD" w:rsidRDefault="00D318CD" w:rsidP="00D318CD">
      <w:pPr>
        <w:pStyle w:val="Heading2"/>
        <w:rPr>
          <w:lang w:val="en-US"/>
        </w:rPr>
      </w:pPr>
      <w:r>
        <w:rPr>
          <w:lang w:val="en-US"/>
        </w:rPr>
        <w:t>Evaluation frameworks</w:t>
      </w:r>
    </w:p>
    <w:p w14:paraId="74BE4234" w14:textId="2A25B9B7" w:rsidR="00D318CD" w:rsidRDefault="00D318CD" w:rsidP="00D318CD">
      <w:pPr>
        <w:rPr>
          <w:rFonts w:ascii="Calibri" w:hAnsi="Calibri" w:cs="Calibri"/>
          <w:b/>
          <w:color w:val="000000"/>
          <w:lang w:val="en-US"/>
        </w:rPr>
      </w:pPr>
    </w:p>
    <w:p w14:paraId="10540868" w14:textId="77777777" w:rsidR="00CB5B50" w:rsidRPr="00563098" w:rsidRDefault="00CB5B50" w:rsidP="00CB5B50">
      <w:pPr>
        <w:rPr>
          <w:rFonts w:ascii="Calibri" w:hAnsi="Calibri" w:cs="Calibri"/>
          <w:b/>
          <w:color w:val="000000"/>
          <w:lang w:val="en-US"/>
        </w:rPr>
      </w:pPr>
      <w:r w:rsidRPr="00563098">
        <w:rPr>
          <w:rFonts w:ascii="Calibri" w:hAnsi="Calibri" w:cs="Calibri"/>
          <w:b/>
          <w:color w:val="000000"/>
          <w:lang w:val="en-US"/>
        </w:rPr>
        <w:t>Theoretical Domains Framework of behaviour change</w:t>
      </w:r>
    </w:p>
    <w:p w14:paraId="02D342F2" w14:textId="77777777" w:rsidR="00CB5B50" w:rsidRPr="00D318CD" w:rsidRDefault="00CB5B50" w:rsidP="00CB5B50">
      <w:pPr>
        <w:rPr>
          <w:rFonts w:ascii="Calibri" w:hAnsi="Calibri" w:cs="Calibri"/>
          <w:color w:val="000000"/>
          <w:lang w:val="en-US"/>
        </w:rPr>
      </w:pPr>
      <w:r w:rsidRPr="00563098">
        <w:rPr>
          <w:rFonts w:ascii="Calibri" w:hAnsi="Calibri" w:cs="Calibri"/>
          <w:color w:val="000000"/>
          <w:lang w:val="en-US"/>
        </w:rPr>
        <w:t>Cane J, O’Connor D, Michie S (2012) Validation of the theoretical domains framework for use in behaviour change and implementation research. Implement Sci 7: 37.</w:t>
      </w:r>
    </w:p>
    <w:p w14:paraId="7DBBE420" w14:textId="77777777" w:rsidR="00CB5B50" w:rsidRDefault="00CB5B50" w:rsidP="00CB5B50">
      <w:pPr>
        <w:rPr>
          <w:lang w:val="en-US"/>
        </w:rPr>
      </w:pPr>
    </w:p>
    <w:p w14:paraId="2C2B91E5" w14:textId="77777777" w:rsidR="00CB5B50" w:rsidRPr="00D318CD" w:rsidRDefault="00CB5B50" w:rsidP="00CB5B50">
      <w:pPr>
        <w:rPr>
          <w:rFonts w:ascii="Calibri" w:hAnsi="Calibri" w:cs="Calibri"/>
          <w:color w:val="000000"/>
          <w:lang w:val="en-US"/>
        </w:rPr>
      </w:pPr>
      <w:r w:rsidRPr="00563098">
        <w:rPr>
          <w:rFonts w:ascii="Calibri" w:hAnsi="Calibri" w:cs="Calibri"/>
          <w:color w:val="000000"/>
          <w:lang w:val="en-US"/>
        </w:rPr>
        <w:t xml:space="preserve">Michie S, Johnston M, Francis JJ, Hardeman W, Eccles M. From theory to intervention: mapping theoretically derived behavioural determinants to behaviour change techniques. Appl Psychol:An Inter Rev. 2008;57:660–80.  </w:t>
      </w:r>
    </w:p>
    <w:p w14:paraId="1E88C8BF" w14:textId="77777777" w:rsidR="00CB5B50" w:rsidRDefault="00CB5B50" w:rsidP="00CB5B50">
      <w:pPr>
        <w:rPr>
          <w:lang w:val="en-US"/>
        </w:rPr>
      </w:pPr>
    </w:p>
    <w:p w14:paraId="04526B24" w14:textId="4C9FB176" w:rsidR="00CB5B50" w:rsidRPr="00CB5B50" w:rsidRDefault="00CB5B50" w:rsidP="00D318CD">
      <w:pPr>
        <w:rPr>
          <w:rFonts w:ascii="Calibri" w:hAnsi="Calibri" w:cs="Calibri"/>
          <w:color w:val="000000"/>
          <w:lang w:val="en-US"/>
        </w:rPr>
      </w:pPr>
      <w:r w:rsidRPr="00563098">
        <w:rPr>
          <w:rFonts w:ascii="Calibri" w:hAnsi="Calibri" w:cs="Calibri"/>
          <w:color w:val="000000"/>
          <w:lang w:val="en-US"/>
        </w:rPr>
        <w:t>Michie S, Johnston M, Abraham C, Lawton R, Parker D, Walker A. Making</w:t>
      </w:r>
      <w:r>
        <w:rPr>
          <w:rFonts w:ascii="Calibri" w:hAnsi="Calibri" w:cs="Calibri"/>
          <w:color w:val="000000"/>
          <w:lang w:val="en-US"/>
        </w:rPr>
        <w:t xml:space="preserve"> </w:t>
      </w:r>
      <w:r w:rsidRPr="00563098">
        <w:rPr>
          <w:rFonts w:ascii="Calibri" w:hAnsi="Calibri" w:cs="Calibri"/>
          <w:color w:val="000000"/>
          <w:lang w:val="en-US"/>
        </w:rPr>
        <w:t>psychological theory useful for implementing evidence based practice: a</w:t>
      </w:r>
      <w:r>
        <w:rPr>
          <w:rFonts w:ascii="Calibri" w:hAnsi="Calibri" w:cs="Calibri"/>
          <w:color w:val="000000"/>
          <w:lang w:val="en-US"/>
        </w:rPr>
        <w:t xml:space="preserve"> </w:t>
      </w:r>
      <w:r w:rsidRPr="00563098">
        <w:rPr>
          <w:rFonts w:ascii="Calibri" w:hAnsi="Calibri" w:cs="Calibri"/>
          <w:color w:val="000000"/>
          <w:lang w:val="en-US"/>
        </w:rPr>
        <w:t>consensus approach. Qual Saf Health Care. 2005;14:26–33.</w:t>
      </w:r>
    </w:p>
    <w:p w14:paraId="306791E0" w14:textId="77777777" w:rsidR="00CB5B50" w:rsidRDefault="00CB5B50" w:rsidP="00D318CD">
      <w:pPr>
        <w:rPr>
          <w:rFonts w:ascii="Calibri" w:hAnsi="Calibri" w:cs="Calibri"/>
          <w:b/>
          <w:color w:val="000000"/>
          <w:lang w:val="en-US"/>
        </w:rPr>
      </w:pPr>
    </w:p>
    <w:p w14:paraId="41FEB3DC" w14:textId="77777777" w:rsidR="00D318CD" w:rsidRPr="00563098" w:rsidRDefault="00D318CD" w:rsidP="00D318CD">
      <w:pPr>
        <w:rPr>
          <w:rFonts w:ascii="Calibri" w:hAnsi="Calibri" w:cs="Calibri"/>
          <w:b/>
          <w:color w:val="000000"/>
          <w:lang w:val="en-US"/>
        </w:rPr>
      </w:pPr>
      <w:r w:rsidRPr="00563098">
        <w:rPr>
          <w:rFonts w:ascii="Calibri" w:hAnsi="Calibri" w:cs="Calibri"/>
          <w:b/>
          <w:color w:val="000000"/>
          <w:lang w:val="en-US"/>
        </w:rPr>
        <w:t>Predisposing, Reinforcing and Enabling Constructs in Educational Diagnosis and Evaluation (PRECEDE) model of behavior change</w:t>
      </w:r>
    </w:p>
    <w:p w14:paraId="6346D935" w14:textId="77777777" w:rsidR="00D318CD" w:rsidRPr="00D318CD" w:rsidRDefault="00D318CD" w:rsidP="00D318CD">
      <w:pPr>
        <w:rPr>
          <w:rFonts w:ascii="Calibri" w:hAnsi="Calibri" w:cs="Calibri"/>
          <w:color w:val="000000"/>
          <w:lang w:val="en-US"/>
        </w:rPr>
      </w:pPr>
      <w:r w:rsidRPr="00563098">
        <w:rPr>
          <w:rFonts w:ascii="Calibri" w:hAnsi="Calibri" w:cs="Calibri"/>
          <w:color w:val="000000"/>
          <w:lang w:val="en-US"/>
        </w:rPr>
        <w:t>Green LW, Kreuter M. Health Program Planning: an Educational and Ecological Approach. New York: McGraw-Hill, 2005.</w:t>
      </w:r>
    </w:p>
    <w:p w14:paraId="3007C1BD" w14:textId="77777777" w:rsidR="00D318CD" w:rsidRDefault="00D318CD" w:rsidP="00D318CD">
      <w:pPr>
        <w:rPr>
          <w:lang w:val="en-US"/>
        </w:rPr>
      </w:pPr>
    </w:p>
    <w:p w14:paraId="34A03053" w14:textId="77777777" w:rsidR="00D318CD" w:rsidRPr="00563098" w:rsidRDefault="00D318CD" w:rsidP="00D318CD">
      <w:pPr>
        <w:rPr>
          <w:rFonts w:ascii="Calibri" w:hAnsi="Calibri" w:cs="Calibri"/>
          <w:color w:val="000000"/>
          <w:lang w:val="en-US"/>
        </w:rPr>
      </w:pPr>
      <w:r w:rsidRPr="00563098">
        <w:rPr>
          <w:rFonts w:ascii="Calibri" w:hAnsi="Calibri" w:cs="Calibri"/>
          <w:color w:val="000000"/>
          <w:lang w:val="en-US"/>
        </w:rPr>
        <w:t>Mullen PD, Hersey JC, Iverson DC. Health behavior models compared. Soc Sci Med. 1987;24:973-981.</w:t>
      </w:r>
    </w:p>
    <w:p w14:paraId="006AB0A1" w14:textId="77777777" w:rsidR="00D318CD" w:rsidRDefault="00D318CD" w:rsidP="00D318CD">
      <w:pPr>
        <w:rPr>
          <w:lang w:val="en-US"/>
        </w:rPr>
      </w:pPr>
    </w:p>
    <w:p w14:paraId="1806C71D" w14:textId="77777777" w:rsidR="00D318CD" w:rsidRPr="00563098" w:rsidRDefault="00D318CD" w:rsidP="00D318CD">
      <w:pPr>
        <w:rPr>
          <w:rFonts w:ascii="Calibri" w:hAnsi="Calibri" w:cs="Calibri"/>
          <w:b/>
          <w:color w:val="000000"/>
          <w:lang w:val="en-US"/>
        </w:rPr>
      </w:pPr>
      <w:r w:rsidRPr="00563098">
        <w:rPr>
          <w:rFonts w:ascii="Calibri" w:hAnsi="Calibri" w:cs="Calibri"/>
          <w:b/>
          <w:color w:val="000000"/>
          <w:lang w:val="en-US"/>
        </w:rPr>
        <w:t>Process evaluation on quality improvement interventions</w:t>
      </w:r>
    </w:p>
    <w:p w14:paraId="571166F9" w14:textId="16DA6667" w:rsidR="00D318CD" w:rsidRDefault="00D318CD" w:rsidP="00D318CD">
      <w:pPr>
        <w:rPr>
          <w:rFonts w:ascii="Calibri" w:hAnsi="Calibri" w:cs="Calibri"/>
          <w:color w:val="000000"/>
          <w:lang w:val="en-US"/>
        </w:rPr>
      </w:pPr>
      <w:r w:rsidRPr="00563098">
        <w:rPr>
          <w:rFonts w:ascii="Calibri" w:hAnsi="Calibri" w:cs="Calibri"/>
          <w:color w:val="000000"/>
          <w:lang w:val="en-US"/>
        </w:rPr>
        <w:t>Hulscher ME, Laurant MG, Grol RP. Process evaluation on quality improvement interventions. Qual Saf Health Care 2003; 12: 40–6.</w:t>
      </w:r>
    </w:p>
    <w:p w14:paraId="53974760" w14:textId="6D9A0311" w:rsidR="006917C1" w:rsidRDefault="006917C1" w:rsidP="00D318CD">
      <w:pPr>
        <w:rPr>
          <w:rFonts w:ascii="Calibri" w:hAnsi="Calibri" w:cs="Calibri"/>
          <w:color w:val="000000"/>
          <w:lang w:val="en-US"/>
        </w:rPr>
      </w:pPr>
    </w:p>
    <w:p w14:paraId="4874912C" w14:textId="4AF1B0F2" w:rsidR="006917C1" w:rsidRDefault="006917C1" w:rsidP="00D318CD">
      <w:pPr>
        <w:rPr>
          <w:rFonts w:ascii="Calibri" w:hAnsi="Calibri" w:cs="Calibri"/>
          <w:b/>
          <w:color w:val="000000"/>
          <w:lang w:val="en-US"/>
        </w:rPr>
      </w:pPr>
      <w:r>
        <w:rPr>
          <w:rFonts w:ascii="Calibri" w:hAnsi="Calibri" w:cs="Calibri"/>
          <w:b/>
          <w:color w:val="000000"/>
          <w:lang w:val="en-US"/>
        </w:rPr>
        <w:t>Other</w:t>
      </w:r>
    </w:p>
    <w:p w14:paraId="120FA113" w14:textId="77777777" w:rsidR="006917C1" w:rsidRPr="006917C1" w:rsidRDefault="006917C1" w:rsidP="006917C1">
      <w:pPr>
        <w:rPr>
          <w:rFonts w:ascii="Calibri" w:hAnsi="Calibri"/>
          <w:color w:val="000000"/>
        </w:rPr>
      </w:pPr>
      <w:r w:rsidRPr="006917C1">
        <w:rPr>
          <w:rFonts w:ascii="Calibri" w:hAnsi="Calibri"/>
          <w:color w:val="000000"/>
          <w:lang w:val="en-US"/>
        </w:rPr>
        <w:lastRenderedPageBreak/>
        <w:t xml:space="preserve">Michie S, Richardson M, Johnston M, Abraham C, Francis J, Hardman W, et al. The behavior change technique taxonomy (v1) of 93 hierarchically clustered techniques: building an international consensus for the reporting of behavior change interventions. </w:t>
      </w:r>
      <w:r w:rsidRPr="006917C1">
        <w:rPr>
          <w:rFonts w:ascii="Calibri" w:hAnsi="Calibri"/>
          <w:color w:val="000000"/>
        </w:rPr>
        <w:t>Ann Behav Med. 2013; 46:81–95. doi: 10.1007/ s12160-013-9486-6 PMID: 23512568</w:t>
      </w:r>
    </w:p>
    <w:p w14:paraId="351E1925" w14:textId="77777777" w:rsidR="006917C1" w:rsidRPr="006917C1" w:rsidRDefault="006917C1" w:rsidP="00D318CD">
      <w:pPr>
        <w:rPr>
          <w:rFonts w:ascii="Calibri" w:hAnsi="Calibri" w:cs="Calibri"/>
          <w:b/>
          <w:color w:val="000000"/>
          <w:lang w:val="en-US"/>
        </w:rPr>
      </w:pPr>
    </w:p>
    <w:p w14:paraId="51A82FB7" w14:textId="77777777" w:rsidR="00D318CD" w:rsidRDefault="00D318CD" w:rsidP="00D318CD">
      <w:pPr>
        <w:rPr>
          <w:lang w:val="en-US"/>
        </w:rPr>
      </w:pPr>
    </w:p>
    <w:p w14:paraId="3C3B6C21" w14:textId="77777777" w:rsidR="00D318CD" w:rsidRDefault="00D318CD" w:rsidP="00D318CD">
      <w:pPr>
        <w:pStyle w:val="Heading2"/>
        <w:rPr>
          <w:lang w:val="en-US"/>
        </w:rPr>
      </w:pPr>
      <w:r>
        <w:rPr>
          <w:lang w:val="en-US"/>
        </w:rPr>
        <w:t>Determinant frameworks</w:t>
      </w:r>
    </w:p>
    <w:p w14:paraId="7EBD5AD4" w14:textId="77777777" w:rsidR="00D318CD" w:rsidRDefault="00D318CD" w:rsidP="00D318CD">
      <w:pPr>
        <w:rPr>
          <w:rFonts w:ascii="Calibri" w:hAnsi="Calibri" w:cs="Calibri"/>
          <w:color w:val="000000"/>
          <w:lang w:val="en-US"/>
        </w:rPr>
      </w:pPr>
    </w:p>
    <w:p w14:paraId="41527040" w14:textId="77777777" w:rsidR="00D318CD" w:rsidRPr="00563098" w:rsidRDefault="00D318CD" w:rsidP="00D318CD">
      <w:pPr>
        <w:rPr>
          <w:rFonts w:ascii="Calibri" w:hAnsi="Calibri" w:cs="Calibri"/>
          <w:b/>
          <w:color w:val="000000"/>
          <w:lang w:val="en-US"/>
        </w:rPr>
      </w:pPr>
      <w:r w:rsidRPr="00563098">
        <w:rPr>
          <w:rFonts w:ascii="Calibri" w:hAnsi="Calibri" w:cs="Calibri"/>
          <w:b/>
          <w:color w:val="000000"/>
          <w:lang w:val="en-US"/>
        </w:rPr>
        <w:t>Barriers and facilitators to implementing shared decision making in clinical practice: update of a systematic review of health professionals perceptions.</w:t>
      </w:r>
    </w:p>
    <w:p w14:paraId="12A91D32" w14:textId="77777777" w:rsidR="00D318CD" w:rsidRPr="00D318CD" w:rsidRDefault="00D318CD" w:rsidP="00D318CD">
      <w:pPr>
        <w:rPr>
          <w:rFonts w:ascii="Calibri" w:hAnsi="Calibri" w:cs="Calibri"/>
          <w:color w:val="000000"/>
          <w:lang w:val="en-US"/>
        </w:rPr>
      </w:pPr>
      <w:r w:rsidRPr="00563098">
        <w:rPr>
          <w:rFonts w:ascii="Calibri" w:hAnsi="Calibri" w:cs="Calibri"/>
          <w:color w:val="000000"/>
          <w:lang w:val="en-US"/>
        </w:rPr>
        <w:t>Le´gare´ F, Ratte´ S, Gravel K, Graham ID. Barriers and facilitators to implementing shared decision making in clinical practice: update of a systematic review of health professionals perceptions. Patient Education and Counseling, 2008; 73: 526–535.</w:t>
      </w:r>
    </w:p>
    <w:p w14:paraId="7CD1C7C0" w14:textId="77777777" w:rsidR="00D318CD" w:rsidRDefault="00D318CD" w:rsidP="00D318CD">
      <w:pPr>
        <w:rPr>
          <w:rFonts w:ascii="Calibri" w:hAnsi="Calibri" w:cs="Calibri"/>
          <w:color w:val="000000"/>
          <w:lang w:val="en-US"/>
        </w:rPr>
      </w:pPr>
    </w:p>
    <w:p w14:paraId="16E9009F" w14:textId="77777777" w:rsidR="00D318CD" w:rsidRPr="00563098" w:rsidRDefault="00D318CD" w:rsidP="00D318CD">
      <w:pPr>
        <w:rPr>
          <w:rFonts w:ascii="Calibri" w:hAnsi="Calibri" w:cs="Calibri"/>
          <w:b/>
          <w:color w:val="000000"/>
          <w:lang w:val="en-US"/>
        </w:rPr>
      </w:pPr>
      <w:r w:rsidRPr="00563098">
        <w:rPr>
          <w:rFonts w:ascii="Calibri" w:hAnsi="Calibri" w:cs="Calibri"/>
          <w:b/>
          <w:color w:val="000000"/>
          <w:lang w:val="en-US"/>
        </w:rPr>
        <w:t>A conceptual framework for understanding and reducing overuse by primary care providers</w:t>
      </w:r>
    </w:p>
    <w:p w14:paraId="03C98E96" w14:textId="77777777" w:rsidR="00D318CD" w:rsidRPr="00D318CD" w:rsidRDefault="00D318CD" w:rsidP="00D318CD">
      <w:pPr>
        <w:rPr>
          <w:rFonts w:ascii="Calibri" w:hAnsi="Calibri" w:cs="Calibri"/>
          <w:color w:val="000000"/>
          <w:lang w:val="en-US"/>
        </w:rPr>
      </w:pPr>
      <w:r w:rsidRPr="00563098">
        <w:rPr>
          <w:rFonts w:ascii="Calibri" w:hAnsi="Calibri" w:cs="Calibri"/>
          <w:color w:val="000000"/>
          <w:lang w:val="en-US"/>
        </w:rPr>
        <w:t>Powell AA, Bloomfield HE, Burgess DJ, Wilt TJ, Partin MR. A Conceptual framework for understanding and reducing overuse by primary care providers. Med Care Res Rev. 2013;70(5):451–72.</w:t>
      </w:r>
    </w:p>
    <w:p w14:paraId="666FB428" w14:textId="77777777" w:rsidR="00D318CD" w:rsidRDefault="00D318CD" w:rsidP="00D318CD">
      <w:pPr>
        <w:rPr>
          <w:rFonts w:ascii="Calibri" w:hAnsi="Calibri" w:cs="Calibri"/>
          <w:color w:val="000000"/>
          <w:lang w:val="en-US"/>
        </w:rPr>
      </w:pPr>
    </w:p>
    <w:p w14:paraId="665F4E0D" w14:textId="77777777" w:rsidR="00D318CD" w:rsidRDefault="00D318CD" w:rsidP="00D318CD">
      <w:pPr>
        <w:pStyle w:val="Heading2"/>
        <w:rPr>
          <w:rFonts w:eastAsia="Times New Roman"/>
          <w:lang w:val="en-US"/>
        </w:rPr>
      </w:pPr>
      <w:r>
        <w:rPr>
          <w:rFonts w:eastAsia="Times New Roman"/>
          <w:lang w:val="en-US"/>
        </w:rPr>
        <w:t>Implementation theory</w:t>
      </w:r>
    </w:p>
    <w:p w14:paraId="71423BA9" w14:textId="77777777" w:rsidR="00D318CD" w:rsidRPr="00D318CD" w:rsidRDefault="00D318CD" w:rsidP="00D318CD">
      <w:pPr>
        <w:rPr>
          <w:rFonts w:ascii="Calibri" w:hAnsi="Calibri" w:cs="Calibri"/>
          <w:b/>
          <w:color w:val="000000"/>
          <w:lang w:val="en-US"/>
        </w:rPr>
      </w:pPr>
      <w:r w:rsidRPr="00E3716A">
        <w:rPr>
          <w:rFonts w:ascii="Calibri" w:hAnsi="Calibri" w:cs="Calibri"/>
          <w:b/>
          <w:color w:val="000000"/>
          <w:lang w:val="en-US"/>
        </w:rPr>
        <w:t>Knowledge-to-Action framework</w:t>
      </w:r>
    </w:p>
    <w:p w14:paraId="14F7B4AA" w14:textId="03F6A58E" w:rsidR="00D318CD" w:rsidRDefault="00D318CD" w:rsidP="00D318CD">
      <w:pPr>
        <w:rPr>
          <w:rFonts w:ascii="Calibri" w:hAnsi="Calibri" w:cs="Calibri"/>
          <w:color w:val="000000"/>
          <w:lang w:val="en-US"/>
        </w:rPr>
      </w:pPr>
      <w:r w:rsidRPr="00E3716A">
        <w:rPr>
          <w:rFonts w:ascii="Calibri" w:hAnsi="Calibri" w:cs="Calibri"/>
          <w:color w:val="000000"/>
          <w:lang w:val="en-US"/>
        </w:rPr>
        <w:t>Graham ID, Logan J, Harrison MB, et al. Lost in knowledge translation: time for a map?. J Contin Educ Health Prof. 2006;26(1):13-24. doi:10.1002/chp.47</w:t>
      </w:r>
    </w:p>
    <w:p w14:paraId="2839F787" w14:textId="52D9BFB2" w:rsidR="00066D96" w:rsidRDefault="00066D96" w:rsidP="00D318CD">
      <w:pPr>
        <w:rPr>
          <w:rFonts w:ascii="Calibri" w:hAnsi="Calibri" w:cs="Calibri"/>
          <w:color w:val="000000"/>
          <w:lang w:val="en-US"/>
        </w:rPr>
      </w:pPr>
    </w:p>
    <w:p w14:paraId="298746F0" w14:textId="77777777" w:rsidR="00066D96" w:rsidRDefault="00066D96" w:rsidP="00066D96">
      <w:pPr>
        <w:rPr>
          <w:rFonts w:ascii="Calibri" w:hAnsi="Calibri" w:cs="Calibri"/>
          <w:b/>
          <w:color w:val="000000"/>
          <w:lang w:val="en-US"/>
        </w:rPr>
      </w:pPr>
      <w:r w:rsidRPr="00B51E30">
        <w:rPr>
          <w:rFonts w:ascii="Calibri" w:hAnsi="Calibri" w:cs="Calibri"/>
          <w:b/>
          <w:color w:val="000000"/>
          <w:lang w:val="en-US"/>
        </w:rPr>
        <w:t>Principles of educational outreach (“academic detailing”) to improve clinical decision making</w:t>
      </w:r>
    </w:p>
    <w:p w14:paraId="45B92F37" w14:textId="77777777" w:rsidR="00066D96" w:rsidRPr="00563098" w:rsidRDefault="00066D96" w:rsidP="00066D96">
      <w:pPr>
        <w:rPr>
          <w:rFonts w:ascii="Calibri" w:hAnsi="Calibri" w:cs="Calibri"/>
          <w:color w:val="000000"/>
          <w:lang w:val="en-US"/>
        </w:rPr>
      </w:pPr>
      <w:r w:rsidRPr="00B51E30">
        <w:rPr>
          <w:rFonts w:ascii="Calibri" w:hAnsi="Calibri" w:cs="Calibri"/>
          <w:color w:val="000000"/>
          <w:lang w:val="en-US"/>
        </w:rPr>
        <w:t>Soumerai SB, Avorn J. Principles of educational outreach (“academic detailing”) to improve clinical decision making. JAMA 1990;263:549–556</w:t>
      </w:r>
    </w:p>
    <w:p w14:paraId="069BFEB6" w14:textId="00DE05DC" w:rsidR="00066D96" w:rsidRDefault="00066D96" w:rsidP="00D318CD">
      <w:pPr>
        <w:rPr>
          <w:rFonts w:ascii="Calibri" w:hAnsi="Calibri" w:cs="Calibri"/>
          <w:color w:val="000000"/>
          <w:lang w:val="en-US"/>
        </w:rPr>
      </w:pPr>
    </w:p>
    <w:p w14:paraId="5917E5E6" w14:textId="74570C29" w:rsidR="00066D96" w:rsidRPr="00066D96" w:rsidRDefault="00066D96" w:rsidP="00066D96">
      <w:pPr>
        <w:rPr>
          <w:rFonts w:ascii="Calibri" w:hAnsi="Calibri"/>
          <w:b/>
          <w:color w:val="000000"/>
          <w:lang w:val="en-US"/>
        </w:rPr>
      </w:pPr>
      <w:r w:rsidRPr="00066D96">
        <w:rPr>
          <w:rFonts w:ascii="Calibri" w:hAnsi="Calibri"/>
          <w:b/>
          <w:color w:val="000000"/>
          <w:lang w:val="en-US"/>
        </w:rPr>
        <w:t>Social learning theory and the health belief model</w:t>
      </w:r>
    </w:p>
    <w:p w14:paraId="3865A747" w14:textId="2ECF12FB" w:rsidR="00066D96" w:rsidRPr="00CB5B50" w:rsidRDefault="00066D96" w:rsidP="00066D96">
      <w:pPr>
        <w:rPr>
          <w:rFonts w:ascii="Calibri" w:hAnsi="Calibri"/>
          <w:color w:val="000000"/>
          <w:lang w:val="en-US"/>
        </w:rPr>
      </w:pPr>
      <w:r w:rsidRPr="00066D96">
        <w:rPr>
          <w:rFonts w:ascii="Calibri" w:hAnsi="Calibri"/>
          <w:color w:val="000000"/>
          <w:lang w:val="en-US"/>
        </w:rPr>
        <w:t xml:space="preserve">Rosenstock IM, Strecher VJ, Becker MH. Social learning theory and the health belief model. </w:t>
      </w:r>
      <w:r w:rsidRPr="00CB5B50">
        <w:rPr>
          <w:rFonts w:ascii="Calibri" w:hAnsi="Calibri"/>
          <w:color w:val="000000"/>
          <w:lang w:val="en-US"/>
        </w:rPr>
        <w:t>Health Educ Q. 1988;15:175-183.</w:t>
      </w:r>
    </w:p>
    <w:p w14:paraId="60938576" w14:textId="77777777" w:rsidR="00066D96" w:rsidRPr="00D318CD" w:rsidRDefault="00066D96" w:rsidP="00D318CD">
      <w:pPr>
        <w:rPr>
          <w:rFonts w:ascii="Calibri" w:hAnsi="Calibri" w:cs="Calibri"/>
          <w:color w:val="000000"/>
          <w:lang w:val="en-US"/>
        </w:rPr>
      </w:pPr>
    </w:p>
    <w:p w14:paraId="7DDA9161" w14:textId="77777777" w:rsidR="00D318CD" w:rsidRPr="00D318CD" w:rsidRDefault="00D318CD" w:rsidP="00D318CD">
      <w:pPr>
        <w:rPr>
          <w:rFonts w:ascii="Calibri" w:hAnsi="Calibri" w:cs="Calibri"/>
          <w:b/>
          <w:color w:val="000000"/>
          <w:lang w:val="en-US"/>
        </w:rPr>
      </w:pPr>
    </w:p>
    <w:p w14:paraId="45083C36" w14:textId="77777777" w:rsidR="00D318CD" w:rsidRPr="00D318CD" w:rsidRDefault="00D318CD" w:rsidP="00D318CD">
      <w:pPr>
        <w:rPr>
          <w:rFonts w:ascii="Calibri" w:hAnsi="Calibri" w:cs="Calibri"/>
          <w:b/>
          <w:color w:val="000000"/>
          <w:lang w:val="en-US"/>
        </w:rPr>
      </w:pPr>
      <w:r w:rsidRPr="00D318CD">
        <w:rPr>
          <w:rFonts w:ascii="Calibri" w:hAnsi="Calibri" w:cs="Calibri"/>
          <w:b/>
          <w:color w:val="000000"/>
          <w:lang w:val="en-US"/>
        </w:rPr>
        <w:t>Other theoretical articles cited</w:t>
      </w:r>
    </w:p>
    <w:p w14:paraId="67FAB4C3" w14:textId="77777777" w:rsidR="00D318CD" w:rsidRPr="00D318CD" w:rsidRDefault="00D318CD" w:rsidP="00D318CD">
      <w:pPr>
        <w:rPr>
          <w:rFonts w:ascii="Calibri" w:hAnsi="Calibri" w:cs="Calibri"/>
          <w:color w:val="000000"/>
          <w:lang w:val="en-US"/>
        </w:rPr>
      </w:pPr>
      <w:r w:rsidRPr="00E3716A">
        <w:rPr>
          <w:rFonts w:ascii="Calibri" w:hAnsi="Calibri" w:cs="Calibri"/>
          <w:color w:val="000000"/>
          <w:lang w:val="en-US"/>
        </w:rPr>
        <w:t xml:space="preserve">Grol R. Implementing guidelines in general practice care. QHC 1992; 2: 184–91.   </w:t>
      </w:r>
    </w:p>
    <w:p w14:paraId="17F5922E" w14:textId="77777777" w:rsidR="00D318CD" w:rsidRPr="00D318CD" w:rsidRDefault="00D318CD" w:rsidP="00D318CD">
      <w:pPr>
        <w:rPr>
          <w:rFonts w:ascii="Calibri" w:hAnsi="Calibri" w:cs="Calibri"/>
          <w:b/>
          <w:color w:val="000000"/>
          <w:lang w:val="en-US"/>
        </w:rPr>
      </w:pPr>
    </w:p>
    <w:p w14:paraId="42F5B36C" w14:textId="77777777" w:rsidR="00D318CD" w:rsidRDefault="00D318CD" w:rsidP="00D318CD">
      <w:pPr>
        <w:rPr>
          <w:rFonts w:ascii="Calibri" w:hAnsi="Calibri" w:cs="Calibri"/>
          <w:color w:val="000000"/>
          <w:lang w:val="en-US"/>
        </w:rPr>
      </w:pPr>
      <w:r w:rsidRPr="00E3716A">
        <w:rPr>
          <w:rFonts w:ascii="Calibri" w:hAnsi="Calibri" w:cs="Calibri"/>
          <w:color w:val="000000"/>
          <w:lang w:val="en-US"/>
        </w:rPr>
        <w:t>Lomas J. Teaching old (and not so old) docs new tricks: effective ways</w:t>
      </w:r>
      <w:r>
        <w:rPr>
          <w:rFonts w:ascii="Calibri" w:hAnsi="Calibri" w:cs="Calibri"/>
          <w:color w:val="000000"/>
          <w:lang w:val="en-US"/>
        </w:rPr>
        <w:t xml:space="preserve"> </w:t>
      </w:r>
      <w:r w:rsidRPr="00E3716A">
        <w:rPr>
          <w:rFonts w:ascii="Calibri" w:hAnsi="Calibri" w:cs="Calibri"/>
          <w:color w:val="000000"/>
          <w:lang w:val="en-US"/>
        </w:rPr>
        <w:t>to implement research</w:t>
      </w:r>
      <w:r>
        <w:rPr>
          <w:rFonts w:ascii="Calibri" w:hAnsi="Calibri" w:cs="Calibri"/>
          <w:color w:val="000000"/>
          <w:lang w:val="en-US"/>
        </w:rPr>
        <w:t xml:space="preserve"> </w:t>
      </w:r>
      <w:r w:rsidRPr="00E3716A">
        <w:rPr>
          <w:rFonts w:ascii="Calibri" w:hAnsi="Calibri" w:cs="Calibri"/>
          <w:color w:val="000000"/>
          <w:lang w:val="en-US"/>
        </w:rPr>
        <w:t>findings. In: Dunn EV, Norton PG, Stewart M,</w:t>
      </w:r>
      <w:r>
        <w:rPr>
          <w:rFonts w:ascii="Calibri" w:hAnsi="Calibri" w:cs="Calibri"/>
          <w:color w:val="000000"/>
          <w:lang w:val="en-US"/>
        </w:rPr>
        <w:t xml:space="preserve"> </w:t>
      </w:r>
      <w:r w:rsidRPr="00E3716A">
        <w:rPr>
          <w:rFonts w:ascii="Calibri" w:hAnsi="Calibri" w:cs="Calibri"/>
          <w:color w:val="000000"/>
          <w:lang w:val="en-US"/>
        </w:rPr>
        <w:t>Tudiver F, Bass MJ, eds. Disseminating</w:t>
      </w:r>
      <w:r>
        <w:rPr>
          <w:rFonts w:ascii="Calibri" w:hAnsi="Calibri" w:cs="Calibri"/>
          <w:color w:val="000000"/>
          <w:lang w:val="en-US"/>
        </w:rPr>
        <w:t xml:space="preserve"> </w:t>
      </w:r>
      <w:r w:rsidRPr="00E3716A">
        <w:rPr>
          <w:rFonts w:ascii="Calibri" w:hAnsi="Calibri" w:cs="Calibri"/>
          <w:color w:val="000000"/>
          <w:lang w:val="en-US"/>
        </w:rPr>
        <w:t>research/changing practice.</w:t>
      </w:r>
      <w:r>
        <w:rPr>
          <w:rFonts w:ascii="Calibri" w:hAnsi="Calibri" w:cs="Calibri"/>
          <w:color w:val="000000"/>
          <w:lang w:val="en-US"/>
        </w:rPr>
        <w:t xml:space="preserve"> </w:t>
      </w:r>
      <w:r w:rsidRPr="00E3716A">
        <w:rPr>
          <w:rFonts w:ascii="Calibri" w:hAnsi="Calibri" w:cs="Calibri"/>
          <w:color w:val="000000"/>
          <w:lang w:val="en-US"/>
        </w:rPr>
        <w:t>London: Sage, 1994: 1–18.</w:t>
      </w:r>
    </w:p>
    <w:p w14:paraId="66F0FF5D" w14:textId="77777777" w:rsidR="00D318CD" w:rsidRDefault="00D318CD" w:rsidP="00D318CD">
      <w:pPr>
        <w:rPr>
          <w:rFonts w:ascii="Calibri" w:hAnsi="Calibri" w:cs="Calibri"/>
          <w:color w:val="000000"/>
          <w:lang w:val="en-US"/>
        </w:rPr>
      </w:pPr>
    </w:p>
    <w:p w14:paraId="4681776A" w14:textId="77777777" w:rsidR="00D318CD" w:rsidRPr="00066D96" w:rsidRDefault="00D318CD" w:rsidP="00D318CD">
      <w:pPr>
        <w:rPr>
          <w:rFonts w:ascii="Calibri" w:hAnsi="Calibri" w:cs="Calibri"/>
          <w:color w:val="000000"/>
          <w:lang w:val="en-US"/>
        </w:rPr>
      </w:pPr>
      <w:r w:rsidRPr="00E3716A">
        <w:rPr>
          <w:rFonts w:ascii="Calibri" w:hAnsi="Calibri" w:cs="Calibri"/>
          <w:color w:val="000000"/>
          <w:lang w:val="en-US"/>
        </w:rPr>
        <w:t xml:space="preserve">Grol R, Baker R, Moss F. Quality improvement research: understanding the science of change in health care. </w:t>
      </w:r>
      <w:r w:rsidRPr="00066D96">
        <w:rPr>
          <w:rFonts w:ascii="Calibri" w:hAnsi="Calibri" w:cs="Calibri"/>
          <w:color w:val="000000"/>
          <w:lang w:val="en-US"/>
        </w:rPr>
        <w:t xml:space="preserve">Qual Saf Health Care 2002;11:110-1.  </w:t>
      </w:r>
    </w:p>
    <w:p w14:paraId="6FCEF52C" w14:textId="77777777" w:rsidR="00D318CD" w:rsidRDefault="00D318CD" w:rsidP="000F588F">
      <w:pPr>
        <w:rPr>
          <w:lang w:val="en-US"/>
        </w:rPr>
      </w:pPr>
    </w:p>
    <w:p w14:paraId="44553F28" w14:textId="1905D8A9" w:rsidR="00066D96" w:rsidRPr="00CB5B50" w:rsidRDefault="00066D96" w:rsidP="00066D96">
      <w:pPr>
        <w:rPr>
          <w:rFonts w:ascii="Calibri" w:hAnsi="Calibri"/>
          <w:color w:val="000000"/>
          <w:lang w:val="en-US"/>
        </w:rPr>
      </w:pPr>
      <w:r w:rsidRPr="00066D96">
        <w:rPr>
          <w:rFonts w:ascii="Calibri" w:hAnsi="Calibri"/>
          <w:color w:val="000000"/>
          <w:lang w:val="en-US"/>
        </w:rPr>
        <w:t xml:space="preserve">Yardley L, Morrison L, Bradbury K et al. The person-based approach to intervention development: application to digital health-related behavior change interventions. </w:t>
      </w:r>
      <w:r w:rsidRPr="00CB5B50">
        <w:rPr>
          <w:rFonts w:ascii="Calibri" w:hAnsi="Calibri"/>
          <w:color w:val="000000"/>
          <w:lang w:val="en-US"/>
        </w:rPr>
        <w:t>J Med Internet Res 2015; 17: e30.</w:t>
      </w:r>
    </w:p>
    <w:p w14:paraId="10559C65" w14:textId="3F5D8FBB" w:rsidR="00066D96" w:rsidRPr="00CB5B50" w:rsidRDefault="00066D96" w:rsidP="00066D96">
      <w:pPr>
        <w:rPr>
          <w:rFonts w:ascii="Calibri" w:hAnsi="Calibri"/>
          <w:color w:val="000000"/>
          <w:lang w:val="en-US"/>
        </w:rPr>
      </w:pPr>
    </w:p>
    <w:p w14:paraId="035FC5E4" w14:textId="3954962C" w:rsidR="00066D96" w:rsidRPr="00CB5B50" w:rsidRDefault="00066D96" w:rsidP="00066D96">
      <w:pPr>
        <w:rPr>
          <w:rFonts w:ascii="Calibri" w:hAnsi="Calibri"/>
          <w:color w:val="000000"/>
          <w:lang w:val="en-US"/>
        </w:rPr>
      </w:pPr>
      <w:r w:rsidRPr="00066D96">
        <w:rPr>
          <w:rFonts w:ascii="Calibri" w:hAnsi="Calibri"/>
          <w:color w:val="000000"/>
          <w:lang w:val="en-US"/>
        </w:rPr>
        <w:lastRenderedPageBreak/>
        <w:t xml:space="preserve">Green LW, Kreuter MW. Health Program Planning: An Educational and Ecological Approach. </w:t>
      </w:r>
      <w:r w:rsidRPr="00CB5B50">
        <w:rPr>
          <w:rFonts w:ascii="Calibri" w:hAnsi="Calibri"/>
          <w:color w:val="000000"/>
          <w:lang w:val="en-US"/>
        </w:rPr>
        <w:t>4th ed. New York, NY: McGraw-Hill; 2005</w:t>
      </w:r>
    </w:p>
    <w:p w14:paraId="7D11F810" w14:textId="35667519" w:rsidR="00066D96" w:rsidRPr="00CB5B50" w:rsidRDefault="00066D96" w:rsidP="00066D96">
      <w:pPr>
        <w:rPr>
          <w:rFonts w:ascii="Calibri" w:hAnsi="Calibri"/>
          <w:color w:val="000000"/>
          <w:lang w:val="en-US"/>
        </w:rPr>
      </w:pPr>
    </w:p>
    <w:p w14:paraId="17610A8A" w14:textId="4A7A8751" w:rsidR="00066D96" w:rsidRPr="00CB5B50" w:rsidRDefault="00066D96" w:rsidP="00066D96">
      <w:pPr>
        <w:rPr>
          <w:rFonts w:ascii="Calibri" w:hAnsi="Calibri"/>
          <w:color w:val="000000"/>
          <w:lang w:val="en-US"/>
        </w:rPr>
      </w:pPr>
      <w:r w:rsidRPr="00066D96">
        <w:rPr>
          <w:rFonts w:ascii="Calibri" w:hAnsi="Calibri"/>
          <w:color w:val="000000"/>
          <w:lang w:val="en-US"/>
        </w:rPr>
        <w:t xml:space="preserve">Rollnick S, Kinnersley P, Butler C. Context-bound communication skills training: development of a new method. </w:t>
      </w:r>
      <w:r w:rsidRPr="00CB5B50">
        <w:rPr>
          <w:rFonts w:ascii="Calibri" w:hAnsi="Calibri"/>
          <w:color w:val="000000"/>
          <w:lang w:val="en-US"/>
        </w:rPr>
        <w:t>Med Educ 2002;36:377-83</w:t>
      </w:r>
    </w:p>
    <w:p w14:paraId="59A6032B" w14:textId="50D4732B" w:rsidR="00066D96" w:rsidRPr="00CB5B50" w:rsidRDefault="00066D96" w:rsidP="00066D96">
      <w:pPr>
        <w:rPr>
          <w:rFonts w:ascii="Calibri" w:hAnsi="Calibri"/>
          <w:color w:val="000000"/>
          <w:lang w:val="en-US"/>
        </w:rPr>
      </w:pPr>
    </w:p>
    <w:p w14:paraId="7F14BEC7" w14:textId="6D2FDA1A" w:rsidR="00066D96" w:rsidRPr="00CB5B50" w:rsidRDefault="00066D96" w:rsidP="00066D96">
      <w:pPr>
        <w:rPr>
          <w:rFonts w:ascii="Calibri" w:hAnsi="Calibri"/>
          <w:color w:val="000000"/>
          <w:lang w:val="en-US"/>
        </w:rPr>
      </w:pPr>
      <w:r w:rsidRPr="00066D96">
        <w:rPr>
          <w:rFonts w:ascii="Calibri" w:hAnsi="Calibri"/>
          <w:color w:val="000000"/>
          <w:lang w:val="en-US"/>
        </w:rPr>
        <w:t xml:space="preserve">Elder JP, Ayala GX, Harris S. Theories and intervention approaches to health-behavior change in primary care. </w:t>
      </w:r>
      <w:r w:rsidRPr="00CB5B50">
        <w:rPr>
          <w:rFonts w:ascii="Calibri" w:hAnsi="Calibri"/>
          <w:color w:val="000000"/>
          <w:lang w:val="en-US"/>
        </w:rPr>
        <w:t>Am J Prev Med. 1999;17:275-284.</w:t>
      </w:r>
    </w:p>
    <w:p w14:paraId="5FCEFFAB" w14:textId="23333670" w:rsidR="00066D96" w:rsidRPr="00CB5B50" w:rsidRDefault="00066D96" w:rsidP="00066D96">
      <w:pPr>
        <w:rPr>
          <w:rFonts w:ascii="Calibri" w:hAnsi="Calibri"/>
          <w:color w:val="000000"/>
          <w:lang w:val="en-US"/>
        </w:rPr>
      </w:pPr>
    </w:p>
    <w:p w14:paraId="7EBC2F11" w14:textId="2265DB8C" w:rsidR="00066D96" w:rsidRPr="00CB5B50" w:rsidRDefault="00066D96" w:rsidP="00066D96">
      <w:pPr>
        <w:rPr>
          <w:rFonts w:ascii="Calibri" w:hAnsi="Calibri"/>
          <w:color w:val="000000"/>
          <w:lang w:val="en-US"/>
        </w:rPr>
      </w:pPr>
      <w:r w:rsidRPr="00066D96">
        <w:rPr>
          <w:rFonts w:ascii="Calibri" w:hAnsi="Calibri"/>
          <w:color w:val="000000"/>
          <w:lang w:val="en-US"/>
        </w:rPr>
        <w:t xml:space="preserve">Harden RM. AMEE Guide No. 14: Outcome-based education: Part 1—An introduction to outcome-based education. </w:t>
      </w:r>
      <w:r w:rsidRPr="00CB5B50">
        <w:rPr>
          <w:rFonts w:ascii="Calibri" w:hAnsi="Calibri"/>
          <w:color w:val="000000"/>
          <w:lang w:val="en-US"/>
        </w:rPr>
        <w:t>Med Teach. 1999;21~1!:7–14.</w:t>
      </w:r>
    </w:p>
    <w:p w14:paraId="38A446DA" w14:textId="113EED7E" w:rsidR="00066D96" w:rsidRPr="00CB5B50" w:rsidRDefault="00066D96" w:rsidP="00066D96">
      <w:pPr>
        <w:rPr>
          <w:rFonts w:ascii="Calibri" w:hAnsi="Calibri"/>
          <w:color w:val="000000"/>
          <w:lang w:val="en-US"/>
        </w:rPr>
      </w:pPr>
    </w:p>
    <w:p w14:paraId="3629BB83" w14:textId="72DB438D" w:rsidR="00066D96" w:rsidRPr="00CB5B50" w:rsidRDefault="00066D96" w:rsidP="00066D96">
      <w:pPr>
        <w:rPr>
          <w:rFonts w:ascii="Calibri" w:hAnsi="Calibri"/>
          <w:color w:val="000000"/>
          <w:lang w:val="en-US"/>
        </w:rPr>
      </w:pPr>
      <w:r w:rsidRPr="00066D96">
        <w:rPr>
          <w:rFonts w:ascii="Calibri" w:hAnsi="Calibri"/>
          <w:color w:val="000000"/>
          <w:lang w:val="en-US"/>
        </w:rPr>
        <w:t xml:space="preserve">Harden RM. Outcome-based education—The ostrich, the peacock and the beaver. </w:t>
      </w:r>
      <w:r w:rsidRPr="00CB5B50">
        <w:rPr>
          <w:rFonts w:ascii="Calibri" w:hAnsi="Calibri"/>
          <w:color w:val="000000"/>
          <w:lang w:val="en-US"/>
        </w:rPr>
        <w:t>Med Teach. 2007;29~7!:666– 671.</w:t>
      </w:r>
    </w:p>
    <w:p w14:paraId="662A3E31" w14:textId="7DA0BF94" w:rsidR="00066D96" w:rsidRPr="00CB5B50" w:rsidRDefault="00066D96" w:rsidP="00066D96">
      <w:pPr>
        <w:rPr>
          <w:rFonts w:ascii="Calibri" w:hAnsi="Calibri"/>
          <w:color w:val="000000"/>
          <w:lang w:val="en-US"/>
        </w:rPr>
      </w:pPr>
    </w:p>
    <w:p w14:paraId="24A9C43D" w14:textId="77777777" w:rsidR="00066D96" w:rsidRPr="00066D96" w:rsidRDefault="00066D96" w:rsidP="00066D96">
      <w:pPr>
        <w:rPr>
          <w:rFonts w:ascii="Calibri" w:hAnsi="Calibri"/>
          <w:color w:val="000000"/>
          <w:lang w:val="en-US"/>
        </w:rPr>
      </w:pPr>
      <w:r w:rsidRPr="00066D96">
        <w:rPr>
          <w:rFonts w:ascii="Calibri" w:hAnsi="Calibri"/>
          <w:color w:val="000000"/>
          <w:lang w:val="en-US"/>
        </w:rPr>
        <w:t>Raisch D. W. A model of methods for influencing prescribing: Part I--A review of prescribing models, persuasion theories, and administrative and educational methods. DICP 24, 417, 1990</w:t>
      </w:r>
    </w:p>
    <w:p w14:paraId="1AE2928B" w14:textId="77777777" w:rsidR="00066D96" w:rsidRPr="00066D96" w:rsidRDefault="00066D96" w:rsidP="00066D96">
      <w:pPr>
        <w:rPr>
          <w:rFonts w:ascii="Calibri" w:hAnsi="Calibri"/>
          <w:color w:val="000000"/>
          <w:lang w:val="en-US"/>
        </w:rPr>
      </w:pPr>
    </w:p>
    <w:p w14:paraId="6455D408" w14:textId="77777777" w:rsidR="00066D96" w:rsidRPr="00CB5B50" w:rsidRDefault="00066D96" w:rsidP="00066D96">
      <w:pPr>
        <w:rPr>
          <w:rFonts w:ascii="Calibri" w:hAnsi="Calibri"/>
          <w:color w:val="000000"/>
          <w:lang w:val="en-US"/>
        </w:rPr>
      </w:pPr>
      <w:r w:rsidRPr="00066D96">
        <w:rPr>
          <w:rFonts w:ascii="Calibri" w:hAnsi="Calibri"/>
          <w:color w:val="000000"/>
          <w:lang w:val="en-US"/>
        </w:rPr>
        <w:t xml:space="preserve">Holmboe ES, Lipner R, Greiner A. Assessing quality of care: knowledge matters. </w:t>
      </w:r>
      <w:r w:rsidRPr="00CB5B50">
        <w:rPr>
          <w:rFonts w:ascii="Calibri" w:hAnsi="Calibri"/>
          <w:color w:val="000000"/>
          <w:lang w:val="en-US"/>
        </w:rPr>
        <w:t>JAMA 2008;299(3):338–40. [PubMed: 18212320]</w:t>
      </w:r>
    </w:p>
    <w:p w14:paraId="01531DB4" w14:textId="4BB412C5" w:rsidR="00066D96" w:rsidRPr="00CB5B50" w:rsidRDefault="00066D96" w:rsidP="00066D96">
      <w:pPr>
        <w:rPr>
          <w:rFonts w:ascii="Calibri" w:hAnsi="Calibri"/>
          <w:color w:val="000000"/>
          <w:lang w:val="en-US"/>
        </w:rPr>
      </w:pPr>
    </w:p>
    <w:p w14:paraId="60219B8F" w14:textId="04599D3C" w:rsidR="00066D96" w:rsidRPr="00CB5B50" w:rsidRDefault="00066D96" w:rsidP="00066D96">
      <w:pPr>
        <w:rPr>
          <w:rFonts w:ascii="Calibri" w:hAnsi="Calibri"/>
          <w:color w:val="000000"/>
          <w:lang w:val="en-US"/>
        </w:rPr>
      </w:pPr>
      <w:r w:rsidRPr="00066D96">
        <w:rPr>
          <w:rFonts w:ascii="Calibri" w:hAnsi="Calibri"/>
          <w:color w:val="000000"/>
          <w:lang w:val="en-US"/>
        </w:rPr>
        <w:t xml:space="preserve">IOM. Redesigning continuing education in the health professions. </w:t>
      </w:r>
      <w:r w:rsidRPr="00CB5B50">
        <w:rPr>
          <w:rFonts w:ascii="Calibri" w:hAnsi="Calibri"/>
          <w:color w:val="000000"/>
          <w:lang w:val="en-US"/>
        </w:rPr>
        <w:t>Washington DC: National</w:t>
      </w:r>
      <w:r w:rsidRPr="00CB5B50">
        <w:rPr>
          <w:rFonts w:ascii="Calibri" w:hAnsi="Calibri"/>
          <w:color w:val="000000"/>
          <w:lang w:val="en-US"/>
        </w:rPr>
        <w:br/>
        <w:t>Academies Press; 2010.</w:t>
      </w:r>
    </w:p>
    <w:p w14:paraId="7CF1C9EE" w14:textId="62DCA612" w:rsidR="00066D96" w:rsidRPr="00CB5B50" w:rsidRDefault="00066D96" w:rsidP="00066D96">
      <w:pPr>
        <w:rPr>
          <w:rFonts w:ascii="Calibri" w:hAnsi="Calibri"/>
          <w:color w:val="000000"/>
          <w:lang w:val="en-US"/>
        </w:rPr>
      </w:pPr>
    </w:p>
    <w:p w14:paraId="7BC26F2C" w14:textId="6D3BA711" w:rsidR="00066D96" w:rsidRPr="00CB5B50" w:rsidRDefault="00066D96" w:rsidP="00066D96">
      <w:pPr>
        <w:rPr>
          <w:rFonts w:ascii="Calibri" w:hAnsi="Calibri"/>
          <w:color w:val="000000"/>
          <w:lang w:val="en-US"/>
        </w:rPr>
      </w:pPr>
      <w:r w:rsidRPr="00066D96">
        <w:rPr>
          <w:rFonts w:ascii="Calibri" w:hAnsi="Calibri"/>
          <w:color w:val="000000"/>
          <w:lang w:val="en-US"/>
        </w:rPr>
        <w:t xml:space="preserve">Bennett NL, Davis DA, Easterling WE, Jr., Friedmann P, Green JS, Koeppen BM, Mazmanian PE, Waxman HS. Continuing medical education: A new vision of the professional development of physicians. </w:t>
      </w:r>
      <w:r w:rsidRPr="00CB5B50">
        <w:rPr>
          <w:rFonts w:ascii="Calibri" w:hAnsi="Calibri"/>
          <w:color w:val="000000"/>
          <w:lang w:val="en-US"/>
        </w:rPr>
        <w:t>Acad Med. 2000;75~12!:1167–1172.</w:t>
      </w:r>
    </w:p>
    <w:p w14:paraId="24852193" w14:textId="77777777" w:rsidR="00066D96" w:rsidRPr="00CB5B50" w:rsidRDefault="00066D96" w:rsidP="00066D96">
      <w:pPr>
        <w:rPr>
          <w:rFonts w:ascii="Calibri" w:hAnsi="Calibri"/>
          <w:color w:val="000000"/>
          <w:lang w:val="en-US"/>
        </w:rPr>
      </w:pPr>
    </w:p>
    <w:p w14:paraId="10000E92" w14:textId="77777777" w:rsidR="00066D96" w:rsidRPr="00066D96" w:rsidRDefault="00066D96" w:rsidP="00066D96">
      <w:pPr>
        <w:rPr>
          <w:rFonts w:ascii="Calibri" w:hAnsi="Calibri"/>
          <w:color w:val="000000"/>
        </w:rPr>
      </w:pPr>
      <w:r w:rsidRPr="00066D96">
        <w:rPr>
          <w:rFonts w:ascii="Calibri" w:hAnsi="Calibri"/>
          <w:color w:val="000000"/>
          <w:lang w:val="en-US"/>
        </w:rPr>
        <w:t xml:space="preserve">Harrison R, Mitchell L. Using outcomes-based methodology for the education, training and assessment of competence of healthcare professionals. </w:t>
      </w:r>
      <w:r w:rsidRPr="00066D96">
        <w:rPr>
          <w:rFonts w:ascii="Calibri" w:hAnsi="Calibri"/>
          <w:color w:val="000000"/>
        </w:rPr>
        <w:t>Med Teach. 2006;28~2!:165–170.</w:t>
      </w:r>
    </w:p>
    <w:p w14:paraId="3165DAFD" w14:textId="77777777" w:rsidR="00066D96" w:rsidRPr="00066D96" w:rsidRDefault="00066D96" w:rsidP="00066D96">
      <w:pPr>
        <w:rPr>
          <w:rFonts w:ascii="Calibri" w:hAnsi="Calibri"/>
          <w:color w:val="000000"/>
        </w:rPr>
      </w:pPr>
    </w:p>
    <w:p w14:paraId="45DBEF0F" w14:textId="77777777" w:rsidR="00066D96" w:rsidRPr="00066D96" w:rsidRDefault="00066D96" w:rsidP="00066D96">
      <w:pPr>
        <w:rPr>
          <w:rFonts w:ascii="Calibri" w:hAnsi="Calibri"/>
          <w:color w:val="000000"/>
        </w:rPr>
      </w:pPr>
    </w:p>
    <w:p w14:paraId="5640DD91" w14:textId="77777777" w:rsidR="00066D96" w:rsidRPr="00066D96" w:rsidRDefault="00066D96" w:rsidP="00066D96">
      <w:pPr>
        <w:rPr>
          <w:rFonts w:ascii="Calibri" w:hAnsi="Calibri"/>
          <w:color w:val="000000"/>
        </w:rPr>
      </w:pPr>
    </w:p>
    <w:p w14:paraId="36A72084" w14:textId="77777777" w:rsidR="00066D96" w:rsidRPr="00066D96" w:rsidRDefault="00066D96" w:rsidP="00066D96">
      <w:pPr>
        <w:rPr>
          <w:rFonts w:ascii="Calibri" w:hAnsi="Calibri"/>
          <w:color w:val="000000"/>
        </w:rPr>
      </w:pPr>
    </w:p>
    <w:p w14:paraId="71A086C0" w14:textId="77777777" w:rsidR="00503C32" w:rsidRDefault="00503C32" w:rsidP="000F588F">
      <w:pPr>
        <w:rPr>
          <w:lang w:val="en-US"/>
        </w:rPr>
      </w:pPr>
    </w:p>
    <w:p w14:paraId="365E7800" w14:textId="77777777" w:rsidR="00503C32" w:rsidRDefault="00503C32" w:rsidP="000F588F">
      <w:pPr>
        <w:rPr>
          <w:lang w:val="en-US"/>
        </w:rPr>
      </w:pPr>
    </w:p>
    <w:p w14:paraId="612E6267" w14:textId="77777777" w:rsidR="00503C32" w:rsidRDefault="00503C32" w:rsidP="000F588F">
      <w:pPr>
        <w:rPr>
          <w:lang w:val="en-US"/>
        </w:rPr>
      </w:pPr>
    </w:p>
    <w:p w14:paraId="4B81F16B" w14:textId="77777777" w:rsidR="00EB674C" w:rsidRDefault="00EB674C" w:rsidP="000F588F">
      <w:pPr>
        <w:rPr>
          <w:lang w:val="en-US"/>
        </w:rPr>
      </w:pPr>
    </w:p>
    <w:p w14:paraId="53177434" w14:textId="77777777" w:rsidR="00EB674C" w:rsidRDefault="00EB674C" w:rsidP="000F588F">
      <w:pPr>
        <w:rPr>
          <w:lang w:val="en-US"/>
        </w:rPr>
      </w:pPr>
    </w:p>
    <w:p w14:paraId="45D1E308" w14:textId="77777777" w:rsidR="00EB674C" w:rsidRDefault="00EB674C" w:rsidP="000F588F">
      <w:pPr>
        <w:rPr>
          <w:lang w:val="en-US"/>
        </w:rPr>
      </w:pPr>
    </w:p>
    <w:p w14:paraId="1FFF7237" w14:textId="77777777" w:rsidR="00EB674C" w:rsidRDefault="00EB674C" w:rsidP="000F588F">
      <w:pPr>
        <w:rPr>
          <w:lang w:val="en-US"/>
        </w:rPr>
      </w:pPr>
    </w:p>
    <w:p w14:paraId="25CD6653" w14:textId="77777777" w:rsidR="00EB674C" w:rsidRDefault="00EB674C" w:rsidP="000F588F">
      <w:pPr>
        <w:rPr>
          <w:lang w:val="en-US"/>
        </w:rPr>
      </w:pPr>
    </w:p>
    <w:p w14:paraId="53DB366C" w14:textId="77777777" w:rsidR="00EB674C" w:rsidRDefault="00EB674C" w:rsidP="000F588F">
      <w:pPr>
        <w:rPr>
          <w:lang w:val="en-US"/>
        </w:rPr>
      </w:pPr>
    </w:p>
    <w:p w14:paraId="1BC3B6E3" w14:textId="77777777" w:rsidR="00EB674C" w:rsidRDefault="00EB674C" w:rsidP="000F588F">
      <w:pPr>
        <w:rPr>
          <w:lang w:val="en-US"/>
        </w:rPr>
      </w:pPr>
    </w:p>
    <w:p w14:paraId="3E4BDA49" w14:textId="77777777" w:rsidR="00EB674C" w:rsidRDefault="00EB674C" w:rsidP="000F588F">
      <w:pPr>
        <w:rPr>
          <w:lang w:val="en-US"/>
        </w:rPr>
      </w:pPr>
    </w:p>
    <w:p w14:paraId="7F0208B8" w14:textId="77777777" w:rsidR="00EB674C" w:rsidRDefault="00EB674C" w:rsidP="000F588F">
      <w:pPr>
        <w:rPr>
          <w:lang w:val="en-US"/>
        </w:rPr>
      </w:pPr>
    </w:p>
    <w:p w14:paraId="2A4EE685" w14:textId="2E421A19" w:rsidR="002029AD" w:rsidRDefault="002029AD" w:rsidP="000F588F">
      <w:pPr>
        <w:rPr>
          <w:lang w:val="en-US"/>
        </w:rPr>
      </w:pPr>
    </w:p>
    <w:p w14:paraId="38F004ED" w14:textId="77777777" w:rsidR="00562FD9" w:rsidRDefault="00562FD9" w:rsidP="000F588F">
      <w:pPr>
        <w:rPr>
          <w:b/>
          <w:lang w:val="en-US"/>
        </w:rPr>
      </w:pPr>
    </w:p>
    <w:p w14:paraId="4EE4EECD" w14:textId="0EBC376B" w:rsidR="00503C32" w:rsidRPr="000C0EC1" w:rsidRDefault="000C0EC1" w:rsidP="000F588F">
      <w:pPr>
        <w:rPr>
          <w:rFonts w:ascii="Calibri" w:hAnsi="Calibri" w:cs="Calibri"/>
          <w:b/>
          <w:sz w:val="26"/>
          <w:szCs w:val="26"/>
          <w:lang w:val="en-US"/>
        </w:rPr>
      </w:pPr>
      <w:r w:rsidRPr="000C0EC1">
        <w:rPr>
          <w:b/>
          <w:sz w:val="26"/>
          <w:szCs w:val="26"/>
          <w:lang w:val="en-US"/>
        </w:rPr>
        <w:lastRenderedPageBreak/>
        <w:t>eTable 3.</w:t>
      </w:r>
      <w:r w:rsidRPr="000C0EC1">
        <w:rPr>
          <w:sz w:val="26"/>
          <w:szCs w:val="26"/>
          <w:lang w:val="en-US"/>
        </w:rPr>
        <w:t xml:space="preserve"> Citations for included studies</w:t>
      </w:r>
      <w:r w:rsidRPr="000C0EC1">
        <w:rPr>
          <w:sz w:val="26"/>
          <w:szCs w:val="26"/>
          <w:lang w:val="en-US"/>
        </w:rPr>
        <w:tab/>
      </w:r>
    </w:p>
    <w:tbl>
      <w:tblPr>
        <w:tblW w:w="0" w:type="auto"/>
        <w:tblLook w:val="04A0" w:firstRow="1" w:lastRow="0" w:firstColumn="1" w:lastColumn="0" w:noHBand="0" w:noVBand="1"/>
      </w:tblPr>
      <w:tblGrid>
        <w:gridCol w:w="9662"/>
      </w:tblGrid>
      <w:tr w:rsidR="00503C32" w14:paraId="778F67EE" w14:textId="77777777" w:rsidTr="004379C1">
        <w:tc>
          <w:tcPr>
            <w:tcW w:w="0" w:type="auto"/>
            <w:tcMar>
              <w:top w:w="15" w:type="dxa"/>
              <w:left w:w="15" w:type="dxa"/>
              <w:bottom w:w="15" w:type="dxa"/>
              <w:right w:w="15" w:type="dxa"/>
            </w:tcMar>
            <w:hideMark/>
          </w:tcPr>
          <w:p w14:paraId="3FA9FE59" w14:textId="77777777" w:rsidR="00503C32" w:rsidRDefault="00503C32" w:rsidP="004379C1">
            <w:pPr>
              <w:spacing w:before="30" w:after="30"/>
              <w:ind w:left="60" w:right="60"/>
            </w:pPr>
            <w:r>
              <w:rPr>
                <w:b/>
                <w:bCs/>
                <w:lang w:val="en-US"/>
              </w:rPr>
              <w:t>Agnew,​ J.,​Taaffe,​ M.,​Darker,​ C.,​O'Shea,​ B.,​Clarke,​ J.</w:t>
            </w:r>
            <w:r>
              <w:rPr>
                <w:lang w:val="en-US"/>
              </w:rPr>
              <w:t xml:space="preserve">. Delayed prescribing of antibiotics for respiratory tract infections: use of information leaflets. </w:t>
            </w:r>
            <w:r>
              <w:rPr>
                <w:i/>
                <w:iCs/>
              </w:rPr>
              <w:t>Ir Med J.</w:t>
            </w:r>
            <w:r>
              <w:t xml:space="preserve"> 2013. 106:243-4</w:t>
            </w:r>
          </w:p>
        </w:tc>
      </w:tr>
      <w:tr w:rsidR="00503C32" w14:paraId="4E483A32" w14:textId="77777777" w:rsidTr="004379C1">
        <w:tc>
          <w:tcPr>
            <w:tcW w:w="0" w:type="auto"/>
            <w:tcMar>
              <w:top w:w="15" w:type="dxa"/>
              <w:left w:w="15" w:type="dxa"/>
              <w:bottom w:w="15" w:type="dxa"/>
              <w:right w:w="15" w:type="dxa"/>
            </w:tcMar>
            <w:hideMark/>
          </w:tcPr>
          <w:p w14:paraId="5393203A" w14:textId="77777777" w:rsidR="00503C32" w:rsidRDefault="00503C32" w:rsidP="004379C1">
            <w:pPr>
              <w:spacing w:before="30" w:after="30"/>
              <w:ind w:left="60" w:right="60"/>
            </w:pPr>
            <w:r>
              <w:rPr>
                <w:b/>
                <w:bCs/>
                <w:lang w:val="en-US"/>
              </w:rPr>
              <w:t>Alder,​ Stephen C.,​Trunnell,​ Eric P.,​White,​ George L.,​Lyon,​ Joseph L.,​Reading,​ James P.,​Samore,​ Matthew H.,​Magill,​ Michael K.</w:t>
            </w:r>
            <w:r>
              <w:rPr>
                <w:lang w:val="en-US"/>
              </w:rPr>
              <w:t xml:space="preserve">. Reducing Parental Demand for Antibiotics by Promoting Communication Skills. </w:t>
            </w:r>
            <w:r>
              <w:rPr>
                <w:i/>
                <w:iCs/>
                <w:lang w:val="en-US"/>
              </w:rPr>
              <w:t>American Journal of Health Education.</w:t>
            </w:r>
            <w:r>
              <w:rPr>
                <w:lang w:val="en-US"/>
              </w:rPr>
              <w:t xml:space="preserve"> </w:t>
            </w:r>
            <w:r>
              <w:t>2005. 36:132-139</w:t>
            </w:r>
          </w:p>
        </w:tc>
      </w:tr>
      <w:tr w:rsidR="00503C32" w14:paraId="051FA484" w14:textId="77777777" w:rsidTr="004379C1">
        <w:tc>
          <w:tcPr>
            <w:tcW w:w="0" w:type="auto"/>
            <w:tcMar>
              <w:top w:w="15" w:type="dxa"/>
              <w:left w:w="15" w:type="dxa"/>
              <w:bottom w:w="15" w:type="dxa"/>
              <w:right w:w="15" w:type="dxa"/>
            </w:tcMar>
            <w:hideMark/>
          </w:tcPr>
          <w:p w14:paraId="43ED63EF" w14:textId="77777777" w:rsidR="00503C32" w:rsidRDefault="00503C32" w:rsidP="004379C1">
            <w:pPr>
              <w:spacing w:before="30" w:after="30"/>
              <w:ind w:left="60" w:right="60"/>
            </w:pPr>
            <w:r>
              <w:rPr>
                <w:b/>
                <w:bCs/>
                <w:lang w:val="en-US"/>
              </w:rPr>
              <w:t>Alexander,​ E.,​Weingarten,​ S.,​Mohsenifar,​ Z.</w:t>
            </w:r>
            <w:r>
              <w:rPr>
                <w:lang w:val="en-US"/>
              </w:rPr>
              <w:t xml:space="preserve">. Clinical strategies to reduce utilization of chest physiotherapy without compromising patient care. </w:t>
            </w:r>
            <w:r>
              <w:rPr>
                <w:i/>
                <w:iCs/>
              </w:rPr>
              <w:t>Chest.</w:t>
            </w:r>
            <w:r>
              <w:t xml:space="preserve"> 1996. 110:430-2</w:t>
            </w:r>
          </w:p>
        </w:tc>
      </w:tr>
      <w:tr w:rsidR="00503C32" w14:paraId="044EB533" w14:textId="77777777" w:rsidTr="004379C1">
        <w:tc>
          <w:tcPr>
            <w:tcW w:w="0" w:type="auto"/>
            <w:tcMar>
              <w:top w:w="15" w:type="dxa"/>
              <w:left w:w="15" w:type="dxa"/>
              <w:bottom w:w="15" w:type="dxa"/>
              <w:right w:w="15" w:type="dxa"/>
            </w:tcMar>
            <w:hideMark/>
          </w:tcPr>
          <w:p w14:paraId="29F70384" w14:textId="77777777" w:rsidR="00503C32" w:rsidRDefault="00503C32" w:rsidP="004379C1">
            <w:pPr>
              <w:spacing w:before="30" w:after="30"/>
              <w:ind w:left="60" w:right="60"/>
            </w:pPr>
            <w:r>
              <w:rPr>
                <w:b/>
                <w:bCs/>
              </w:rPr>
              <w:t>Alexandrino,​ A. S.,​Santos,​ R.,​Melo,​ C.,​Bastos,​ J. M.</w:t>
            </w:r>
            <w:r>
              <w:t xml:space="preserve">. </w:t>
            </w:r>
            <w:r>
              <w:rPr>
                <w:lang w:val="en-US"/>
              </w:rPr>
              <w:t xml:space="preserve">Impact of caregivers' education regarding respiratory infections on the health status of day-care children: a randomized trial. </w:t>
            </w:r>
            <w:r>
              <w:rPr>
                <w:i/>
                <w:iCs/>
              </w:rPr>
              <w:t>Fam Pract.</w:t>
            </w:r>
            <w:r>
              <w:t xml:space="preserve"> 2016. 33:476-81</w:t>
            </w:r>
          </w:p>
        </w:tc>
      </w:tr>
      <w:tr w:rsidR="00503C32" w14:paraId="7F52A881" w14:textId="77777777" w:rsidTr="004379C1">
        <w:tc>
          <w:tcPr>
            <w:tcW w:w="0" w:type="auto"/>
            <w:tcMar>
              <w:top w:w="15" w:type="dxa"/>
              <w:left w:w="15" w:type="dxa"/>
              <w:bottom w:w="15" w:type="dxa"/>
              <w:right w:w="15" w:type="dxa"/>
            </w:tcMar>
            <w:hideMark/>
          </w:tcPr>
          <w:p w14:paraId="5A8A1BA0" w14:textId="77777777" w:rsidR="00503C32" w:rsidRDefault="00503C32" w:rsidP="004379C1">
            <w:pPr>
              <w:spacing w:before="30" w:after="30"/>
              <w:ind w:left="60" w:right="60"/>
            </w:pPr>
            <w:r>
              <w:rPr>
                <w:b/>
                <w:bCs/>
                <w:lang w:val="en-US"/>
              </w:rPr>
              <w:t>Althabe,​ F.,​Belizán,​ J. M.,​Villar,​ J.,​Alexander,​ S.,​Bergel,​ E.,​Ramos,​ S.,​Romero,​ M.,​Donner,​ A.,​Lindmark,​ G.,​Langer,​ A.,​Farnot,​ U.,​Cecatti,​ J. G.,​Carroli,​ G.,​Kestler,​ E.</w:t>
            </w:r>
            <w:r>
              <w:rPr>
                <w:lang w:val="en-US"/>
              </w:rPr>
              <w:t xml:space="preserve">. Mandatory second opinion to reduce rates of unnecessary caesarean sections in Latin America: A cluster randomised controlled trial. </w:t>
            </w:r>
            <w:r>
              <w:rPr>
                <w:i/>
                <w:iCs/>
              </w:rPr>
              <w:t>Lancet.</w:t>
            </w:r>
            <w:r>
              <w:t xml:space="preserve"> 2004. 363:1934-1940</w:t>
            </w:r>
          </w:p>
        </w:tc>
      </w:tr>
      <w:tr w:rsidR="00503C32" w14:paraId="19AA77B8" w14:textId="77777777" w:rsidTr="004379C1">
        <w:tc>
          <w:tcPr>
            <w:tcW w:w="0" w:type="auto"/>
            <w:tcMar>
              <w:top w:w="15" w:type="dxa"/>
              <w:left w:w="15" w:type="dxa"/>
              <w:bottom w:w="15" w:type="dxa"/>
              <w:right w:w="15" w:type="dxa"/>
            </w:tcMar>
            <w:hideMark/>
          </w:tcPr>
          <w:p w14:paraId="211765D6" w14:textId="77777777" w:rsidR="00503C32" w:rsidRDefault="00503C32" w:rsidP="004379C1">
            <w:pPr>
              <w:spacing w:before="30" w:after="30"/>
              <w:ind w:left="60" w:right="60"/>
            </w:pPr>
            <w:r>
              <w:rPr>
                <w:b/>
                <w:bCs/>
                <w:lang w:val="en-US"/>
              </w:rPr>
              <w:t>Altiner,​ Attila,​Brockmann,​ Silke,​Sielk,​ Martin,​Wilm,​ Stefan,​Wegscheider,​ Karl,​Abholz,​ Heinz-Harald</w:t>
            </w:r>
            <w:r>
              <w:rPr>
                <w:lang w:val="en-US"/>
              </w:rPr>
              <w:t xml:space="preserve">. Reducing antibiotic prescriptions for acute cough by motivating GPs to change their attitudes to communication and empowering patients: a cluster-randomized intervention study. </w:t>
            </w:r>
            <w:r>
              <w:rPr>
                <w:i/>
                <w:iCs/>
              </w:rPr>
              <w:t>The Journal of antimicrobial chemotherapy.</w:t>
            </w:r>
            <w:r>
              <w:t xml:space="preserve"> 2007. 60:638-44</w:t>
            </w:r>
          </w:p>
        </w:tc>
      </w:tr>
      <w:tr w:rsidR="00503C32" w14:paraId="3F3AFCA8" w14:textId="77777777" w:rsidTr="004379C1">
        <w:tc>
          <w:tcPr>
            <w:tcW w:w="0" w:type="auto"/>
            <w:tcMar>
              <w:top w:w="15" w:type="dxa"/>
              <w:left w:w="15" w:type="dxa"/>
              <w:bottom w:w="15" w:type="dxa"/>
              <w:right w:w="15" w:type="dxa"/>
            </w:tcMar>
            <w:hideMark/>
          </w:tcPr>
          <w:p w14:paraId="3BBF916E" w14:textId="77777777" w:rsidR="00503C32" w:rsidRDefault="00503C32" w:rsidP="004379C1">
            <w:pPr>
              <w:spacing w:before="30" w:after="30"/>
              <w:ind w:left="60" w:right="60"/>
            </w:pPr>
            <w:r>
              <w:rPr>
                <w:b/>
                <w:bCs/>
                <w:lang w:val="en-US"/>
              </w:rPr>
              <w:t>Anderson,​ J. F.,​McEwan,​ K. L.,​Hrudey,​ W. P.</w:t>
            </w:r>
            <w:r>
              <w:rPr>
                <w:lang w:val="en-US"/>
              </w:rPr>
              <w:t xml:space="preserve">. Effectiveness of notification and group education in modifying prescribing of regulated analgesics. </w:t>
            </w:r>
            <w:r>
              <w:rPr>
                <w:i/>
                <w:iCs/>
                <w:lang w:val="en-US"/>
              </w:rPr>
              <w:t>CMAJ : Canadian Medical Association journal = journal de l'Association medicale canadienne.</w:t>
            </w:r>
            <w:r>
              <w:rPr>
                <w:lang w:val="en-US"/>
              </w:rPr>
              <w:t xml:space="preserve"> </w:t>
            </w:r>
            <w:r>
              <w:t>1996. 154:31-9</w:t>
            </w:r>
          </w:p>
        </w:tc>
      </w:tr>
      <w:tr w:rsidR="00503C32" w14:paraId="51A02DCC" w14:textId="77777777" w:rsidTr="004379C1">
        <w:tc>
          <w:tcPr>
            <w:tcW w:w="0" w:type="auto"/>
            <w:tcMar>
              <w:top w:w="15" w:type="dxa"/>
              <w:left w:w="15" w:type="dxa"/>
              <w:bottom w:w="15" w:type="dxa"/>
              <w:right w:w="15" w:type="dxa"/>
            </w:tcMar>
            <w:hideMark/>
          </w:tcPr>
          <w:p w14:paraId="54FB8EC0" w14:textId="77777777" w:rsidR="00503C32" w:rsidRDefault="00503C32" w:rsidP="004379C1">
            <w:pPr>
              <w:spacing w:before="30" w:after="30"/>
              <w:ind w:left="60" w:right="60"/>
            </w:pPr>
            <w:r>
              <w:rPr>
                <w:b/>
                <w:bCs/>
                <w:lang w:val="en-US"/>
              </w:rPr>
              <w:t>Angunawela,​ I. I.,​Diwan,​ V. K.,​Tomson,​ G.</w:t>
            </w:r>
            <w:r>
              <w:rPr>
                <w:lang w:val="en-US"/>
              </w:rPr>
              <w:t xml:space="preserve">. Experimental evaluation of the effects of drug information on antibiotic prescribing: a study in outpatient care in an area of Sri lanka. </w:t>
            </w:r>
            <w:r>
              <w:rPr>
                <w:i/>
                <w:iCs/>
              </w:rPr>
              <w:t>International journal of epidemiology.</w:t>
            </w:r>
            <w:r>
              <w:t xml:space="preserve"> 1991. 20:558-64</w:t>
            </w:r>
          </w:p>
        </w:tc>
      </w:tr>
      <w:tr w:rsidR="00503C32" w14:paraId="563D16CD" w14:textId="77777777" w:rsidTr="004379C1">
        <w:tc>
          <w:tcPr>
            <w:tcW w:w="0" w:type="auto"/>
            <w:tcMar>
              <w:top w:w="15" w:type="dxa"/>
              <w:left w:w="15" w:type="dxa"/>
              <w:bottom w:w="15" w:type="dxa"/>
              <w:right w:w="15" w:type="dxa"/>
            </w:tcMar>
            <w:hideMark/>
          </w:tcPr>
          <w:p w14:paraId="0909C0FB" w14:textId="77777777" w:rsidR="00503C32" w:rsidRDefault="00503C32" w:rsidP="004379C1">
            <w:pPr>
              <w:spacing w:before="30" w:after="30"/>
              <w:ind w:left="60" w:right="60"/>
            </w:pPr>
            <w:r>
              <w:rPr>
                <w:b/>
                <w:bCs/>
                <w:lang w:val="en-US"/>
              </w:rPr>
              <w:t>Ashworth,​ Nigel,​Kain,​ Nicole,​Wiebe,​ Delaney,​Hernandez-Ceron,​ Nancy,​Jess,​ Ed,​Mazurek,​ Karen</w:t>
            </w:r>
            <w:r>
              <w:rPr>
                <w:lang w:val="en-US"/>
              </w:rPr>
              <w:t xml:space="preserve">. Reducing prescribing of benzodiazepines in older adults: a comparison of four physician-focused interventions by a medical regulatory authority. </w:t>
            </w:r>
            <w:r>
              <w:rPr>
                <w:i/>
                <w:iCs/>
              </w:rPr>
              <w:t>BMC family practice.</w:t>
            </w:r>
            <w:r>
              <w:t xml:space="preserve"> 2021. 22:68</w:t>
            </w:r>
          </w:p>
        </w:tc>
      </w:tr>
      <w:tr w:rsidR="00503C32" w14:paraId="2EB8519A" w14:textId="77777777" w:rsidTr="004379C1">
        <w:tc>
          <w:tcPr>
            <w:tcW w:w="0" w:type="auto"/>
            <w:tcMar>
              <w:top w:w="15" w:type="dxa"/>
              <w:left w:w="15" w:type="dxa"/>
              <w:bottom w:w="15" w:type="dxa"/>
              <w:right w:w="15" w:type="dxa"/>
            </w:tcMar>
            <w:hideMark/>
          </w:tcPr>
          <w:p w14:paraId="00A0AA77" w14:textId="77777777" w:rsidR="00503C32" w:rsidRDefault="00503C32" w:rsidP="004379C1">
            <w:pPr>
              <w:spacing w:before="30" w:after="30"/>
              <w:ind w:left="60" w:right="60"/>
            </w:pPr>
            <w:r>
              <w:rPr>
                <w:b/>
                <w:bCs/>
                <w:lang w:val="en-US"/>
              </w:rPr>
              <w:t>Auleley,​ Guy-Robert,​Ravaud,​ Philippe,​Giraudeau,​ Bruno,​Kerboull,​ Luc,​Nizard,​ Rémy,​Massin,​ Philippe,​de Loubresse,​ Christian Garreau,​Vallée,​ Christian,​Durieux,​ Pierre</w:t>
            </w:r>
            <w:r>
              <w:rPr>
                <w:lang w:val="en-US"/>
              </w:rPr>
              <w:t xml:space="preserve">. Implementation of the Ottawa Ankle Rules in France: A Multicenter Randomized Controlled Trial. </w:t>
            </w:r>
            <w:r>
              <w:rPr>
                <w:i/>
                <w:iCs/>
              </w:rPr>
              <w:t>JAMA.</w:t>
            </w:r>
            <w:r>
              <w:t xml:space="preserve"> 1997. 277:1935-1939</w:t>
            </w:r>
          </w:p>
        </w:tc>
      </w:tr>
      <w:tr w:rsidR="00503C32" w14:paraId="7B07EF6D" w14:textId="77777777" w:rsidTr="004379C1">
        <w:tc>
          <w:tcPr>
            <w:tcW w:w="0" w:type="auto"/>
            <w:tcMar>
              <w:top w:w="15" w:type="dxa"/>
              <w:left w:w="15" w:type="dxa"/>
              <w:bottom w:w="15" w:type="dxa"/>
              <w:right w:w="15" w:type="dxa"/>
            </w:tcMar>
            <w:hideMark/>
          </w:tcPr>
          <w:p w14:paraId="701F4787" w14:textId="77777777" w:rsidR="00503C32" w:rsidRDefault="00503C32" w:rsidP="004379C1">
            <w:pPr>
              <w:spacing w:before="30" w:after="30"/>
              <w:ind w:left="60" w:right="60"/>
            </w:pPr>
            <w:r>
              <w:rPr>
                <w:b/>
                <w:bCs/>
                <w:lang w:val="en-US"/>
              </w:rPr>
              <w:t>Avorn,​ J.,​Soumerai,​ S. B.</w:t>
            </w:r>
            <w:r>
              <w:rPr>
                <w:lang w:val="en-US"/>
              </w:rPr>
              <w:t xml:space="preserve">. Improving drug-therapy decisions through educational outreach. A randomized controlled trial of academically based "detailing". </w:t>
            </w:r>
            <w:r>
              <w:rPr>
                <w:i/>
                <w:iCs/>
                <w:lang w:val="en-US"/>
              </w:rPr>
              <w:t>The New England journal of medicine.</w:t>
            </w:r>
            <w:r>
              <w:rPr>
                <w:lang w:val="en-US"/>
              </w:rPr>
              <w:t xml:space="preserve"> </w:t>
            </w:r>
            <w:r>
              <w:t>1983. 308:1457-63</w:t>
            </w:r>
          </w:p>
        </w:tc>
      </w:tr>
      <w:tr w:rsidR="00503C32" w14:paraId="15025384" w14:textId="77777777" w:rsidTr="004379C1">
        <w:tc>
          <w:tcPr>
            <w:tcW w:w="0" w:type="auto"/>
            <w:tcMar>
              <w:top w:w="15" w:type="dxa"/>
              <w:left w:w="15" w:type="dxa"/>
              <w:bottom w:w="15" w:type="dxa"/>
              <w:right w:w="15" w:type="dxa"/>
            </w:tcMar>
            <w:hideMark/>
          </w:tcPr>
          <w:p w14:paraId="7A79280C" w14:textId="77777777" w:rsidR="00503C32" w:rsidRDefault="00503C32" w:rsidP="004379C1">
            <w:pPr>
              <w:spacing w:before="30" w:after="30"/>
              <w:ind w:left="60" w:right="60"/>
            </w:pPr>
            <w:r>
              <w:rPr>
                <w:b/>
                <w:bCs/>
                <w:lang w:val="en-US"/>
              </w:rPr>
              <w:t>Awad,​ A. I.,​Eltayeb,​ I. B.,​Baraka,​ O. Z.</w:t>
            </w:r>
            <w:r>
              <w:rPr>
                <w:lang w:val="en-US"/>
              </w:rPr>
              <w:t xml:space="preserve">. Changing antibiotics prescribing practices in health centers of Khartoum State,​ Sudan. </w:t>
            </w:r>
            <w:r>
              <w:rPr>
                <w:i/>
                <w:iCs/>
              </w:rPr>
              <w:t>European journal of clinical pharmacology.</w:t>
            </w:r>
            <w:r>
              <w:t xml:space="preserve"> 2006. 62:135-42</w:t>
            </w:r>
          </w:p>
        </w:tc>
      </w:tr>
      <w:tr w:rsidR="00503C32" w14:paraId="6CB05756" w14:textId="77777777" w:rsidTr="004379C1">
        <w:tc>
          <w:tcPr>
            <w:tcW w:w="0" w:type="auto"/>
            <w:tcMar>
              <w:top w:w="15" w:type="dxa"/>
              <w:left w:w="15" w:type="dxa"/>
              <w:bottom w:w="15" w:type="dxa"/>
              <w:right w:w="15" w:type="dxa"/>
            </w:tcMar>
            <w:hideMark/>
          </w:tcPr>
          <w:p w14:paraId="154AABDF" w14:textId="77777777" w:rsidR="00503C32" w:rsidRDefault="00503C32" w:rsidP="004379C1">
            <w:pPr>
              <w:spacing w:before="30" w:after="30"/>
              <w:ind w:left="60" w:right="60"/>
            </w:pPr>
            <w:r>
              <w:rPr>
                <w:b/>
                <w:bCs/>
              </w:rPr>
              <w:t>Bates,​ D. W.,​Kuperman,​ G. J.,​Jha,​ A.,​Teich,​ J. M.,​Orav,​ E. J.,​Ma'luf,​ N.,​Onderdonk,​ A.,​Pugatch,​ R.,​Wybenga,​ D.,​Winkelman,​ J.,​Brennan,​ T. A.,​Komaroff,​ A. L.,​Tanasijevic,​ M. J.</w:t>
            </w:r>
            <w:r>
              <w:t xml:space="preserve">. </w:t>
            </w:r>
            <w:r>
              <w:rPr>
                <w:lang w:val="en-US"/>
              </w:rPr>
              <w:t xml:space="preserve">Does the computerized display of charges affect inpatient ancillary test utilization?. </w:t>
            </w:r>
            <w:r>
              <w:rPr>
                <w:i/>
                <w:iCs/>
              </w:rPr>
              <w:t>Archives of internal medicine.</w:t>
            </w:r>
            <w:r>
              <w:t xml:space="preserve"> 1997. 157:2501-8</w:t>
            </w:r>
          </w:p>
        </w:tc>
      </w:tr>
      <w:tr w:rsidR="00503C32" w14:paraId="37C1D15F" w14:textId="77777777" w:rsidTr="004379C1">
        <w:tc>
          <w:tcPr>
            <w:tcW w:w="0" w:type="auto"/>
            <w:tcMar>
              <w:top w:w="15" w:type="dxa"/>
              <w:left w:w="15" w:type="dxa"/>
              <w:bottom w:w="15" w:type="dxa"/>
              <w:right w:w="15" w:type="dxa"/>
            </w:tcMar>
            <w:hideMark/>
          </w:tcPr>
          <w:p w14:paraId="44136977" w14:textId="77777777" w:rsidR="00503C32" w:rsidRDefault="00503C32" w:rsidP="004379C1">
            <w:pPr>
              <w:spacing w:before="30" w:after="30"/>
              <w:ind w:left="60" w:right="60"/>
            </w:pPr>
            <w:r>
              <w:rPr>
                <w:b/>
                <w:bCs/>
              </w:rPr>
              <w:t>Bates,​ D. W.,​Kuperman,​ G. J.,​Rittenberg,​ E.,​Teich,​ J. M.,​Fiskio,​ J.,​Ma'luf,​ N.,​Onderdonk,​ A.,​Wybenga,​ D.,​Winkelman,​ J.,​Brennan,​ T. A.,​Komaroff,​ A. L.,​Tanasijevic,​ M.</w:t>
            </w:r>
            <w:r>
              <w:t xml:space="preserve">. </w:t>
            </w:r>
            <w:r>
              <w:rPr>
                <w:lang w:val="en-US"/>
              </w:rPr>
              <w:t xml:space="preserve">A randomized trial of a computer-based intervention to reduce utilization of redundant laboratory tests. </w:t>
            </w:r>
            <w:r>
              <w:rPr>
                <w:i/>
                <w:iCs/>
              </w:rPr>
              <w:t>The American journal of medicine.</w:t>
            </w:r>
            <w:r>
              <w:t xml:space="preserve"> 1999. 106:144-50</w:t>
            </w:r>
          </w:p>
        </w:tc>
      </w:tr>
      <w:tr w:rsidR="00503C32" w14:paraId="481C74F1" w14:textId="77777777" w:rsidTr="004379C1">
        <w:tc>
          <w:tcPr>
            <w:tcW w:w="0" w:type="auto"/>
            <w:tcMar>
              <w:top w:w="15" w:type="dxa"/>
              <w:left w:w="15" w:type="dxa"/>
              <w:bottom w:w="15" w:type="dxa"/>
              <w:right w:w="15" w:type="dxa"/>
            </w:tcMar>
            <w:hideMark/>
          </w:tcPr>
          <w:p w14:paraId="218A0CDE" w14:textId="77777777" w:rsidR="00503C32" w:rsidRDefault="00503C32" w:rsidP="004379C1">
            <w:pPr>
              <w:spacing w:before="30" w:after="30"/>
              <w:ind w:left="60" w:right="60"/>
            </w:pPr>
            <w:r>
              <w:rPr>
                <w:b/>
                <w:bCs/>
                <w:lang w:val="en-US"/>
              </w:rPr>
              <w:lastRenderedPageBreak/>
              <w:t>Berings,​ D.,​Blondeel,​ L.,​Habraken,​ H.</w:t>
            </w:r>
            <w:r>
              <w:rPr>
                <w:lang w:val="en-US"/>
              </w:rPr>
              <w:t xml:space="preserve">. The effect of industry-independent drug information on the prescribing of benzodiazepines in general practice. </w:t>
            </w:r>
            <w:r>
              <w:rPr>
                <w:i/>
                <w:iCs/>
              </w:rPr>
              <w:t>Eur J Clin Pharmacol.</w:t>
            </w:r>
            <w:r>
              <w:t xml:space="preserve"> 1994. 46:501-5</w:t>
            </w:r>
          </w:p>
        </w:tc>
      </w:tr>
      <w:tr w:rsidR="00503C32" w14:paraId="6E87661B" w14:textId="77777777" w:rsidTr="004379C1">
        <w:tc>
          <w:tcPr>
            <w:tcW w:w="0" w:type="auto"/>
            <w:tcMar>
              <w:top w:w="15" w:type="dxa"/>
              <w:left w:w="15" w:type="dxa"/>
              <w:bottom w:w="15" w:type="dxa"/>
              <w:right w:w="15" w:type="dxa"/>
            </w:tcMar>
            <w:hideMark/>
          </w:tcPr>
          <w:p w14:paraId="06BF28A8" w14:textId="77777777" w:rsidR="00503C32" w:rsidRDefault="00503C32" w:rsidP="004379C1">
            <w:pPr>
              <w:spacing w:before="30" w:after="30"/>
              <w:ind w:left="60" w:right="60"/>
            </w:pPr>
            <w:r>
              <w:rPr>
                <w:b/>
                <w:bCs/>
                <w:lang w:val="en-US"/>
              </w:rPr>
              <w:t>Bernal-Delgado,​ E.,​Galeote-Mayor,​ M.,​Pradas-Arnal,​ F.,​Peiro-Moreno,​ S.</w:t>
            </w:r>
            <w:r>
              <w:rPr>
                <w:lang w:val="en-US"/>
              </w:rPr>
              <w:t xml:space="preserve">. Evidence based educational outreach visits: effects on prescriptions of non-steroidal anti-inflammatory drugs. </w:t>
            </w:r>
            <w:r>
              <w:rPr>
                <w:i/>
                <w:iCs/>
              </w:rPr>
              <w:t>Journal of epidemiology and community health.</w:t>
            </w:r>
            <w:r>
              <w:t xml:space="preserve"> 2002. 56:653-8</w:t>
            </w:r>
          </w:p>
        </w:tc>
      </w:tr>
      <w:tr w:rsidR="00503C32" w14:paraId="507E5898" w14:textId="77777777" w:rsidTr="004379C1">
        <w:tc>
          <w:tcPr>
            <w:tcW w:w="0" w:type="auto"/>
            <w:tcMar>
              <w:top w:w="15" w:type="dxa"/>
              <w:left w:w="15" w:type="dxa"/>
              <w:bottom w:w="15" w:type="dxa"/>
              <w:right w:w="15" w:type="dxa"/>
            </w:tcMar>
            <w:hideMark/>
          </w:tcPr>
          <w:p w14:paraId="5B651909" w14:textId="77777777" w:rsidR="00503C32" w:rsidRDefault="00503C32" w:rsidP="004379C1">
            <w:pPr>
              <w:spacing w:before="30" w:after="30"/>
              <w:ind w:left="60" w:right="60"/>
            </w:pPr>
            <w:r>
              <w:rPr>
                <w:b/>
                <w:bCs/>
                <w:lang w:val="en-US"/>
              </w:rPr>
              <w:t>Bexell,​ A.,​Lwando,​ E.,​von Hofsten,​ B.,​Tembo,​ S.,​Eriksson,​ B.,​Diwan,​ V. K.</w:t>
            </w:r>
            <w:r>
              <w:rPr>
                <w:lang w:val="en-US"/>
              </w:rPr>
              <w:t xml:space="preserve">. Improving drug use through continuing education: a randomized controlled trial in Zambia. </w:t>
            </w:r>
            <w:r>
              <w:rPr>
                <w:i/>
                <w:iCs/>
              </w:rPr>
              <w:t>J Clin Epidemiol.</w:t>
            </w:r>
            <w:r>
              <w:t xml:space="preserve"> 1996. 49:355-7</w:t>
            </w:r>
          </w:p>
        </w:tc>
      </w:tr>
      <w:tr w:rsidR="00503C32" w14:paraId="619ED6CD" w14:textId="77777777" w:rsidTr="004379C1">
        <w:tc>
          <w:tcPr>
            <w:tcW w:w="0" w:type="auto"/>
            <w:tcMar>
              <w:top w:w="15" w:type="dxa"/>
              <w:left w:w="15" w:type="dxa"/>
              <w:bottom w:w="15" w:type="dxa"/>
              <w:right w:w="15" w:type="dxa"/>
            </w:tcMar>
            <w:hideMark/>
          </w:tcPr>
          <w:p w14:paraId="1A198F65" w14:textId="77777777" w:rsidR="00503C32" w:rsidRDefault="00503C32" w:rsidP="004379C1">
            <w:pPr>
              <w:spacing w:before="30" w:after="30"/>
              <w:ind w:left="60" w:right="60"/>
            </w:pPr>
            <w:r>
              <w:rPr>
                <w:b/>
                <w:bCs/>
                <w:lang w:val="en-US"/>
              </w:rPr>
              <w:t>Bhatia,​ R. S.,​Dudzinski,​ D. M.,​Malhotra,​ R.,​Milford,​ C. E.,​Yoerger Sanborn,​ D. M.,​Picard,​ M. H.,​Weiner,​ R. B.</w:t>
            </w:r>
            <w:r>
              <w:rPr>
                <w:lang w:val="en-US"/>
              </w:rPr>
              <w:t xml:space="preserve">. Educational intervention to reduce outpatient inappropriate echocardiograms: a randomized control trial. </w:t>
            </w:r>
            <w:r>
              <w:rPr>
                <w:i/>
                <w:iCs/>
              </w:rPr>
              <w:t>JACC Cardiovasc Imaging.</w:t>
            </w:r>
            <w:r>
              <w:t xml:space="preserve"> 2014. 7:857-66</w:t>
            </w:r>
          </w:p>
        </w:tc>
      </w:tr>
      <w:tr w:rsidR="00503C32" w14:paraId="0A2986BD" w14:textId="77777777" w:rsidTr="004379C1">
        <w:tc>
          <w:tcPr>
            <w:tcW w:w="0" w:type="auto"/>
            <w:tcMar>
              <w:top w:w="15" w:type="dxa"/>
              <w:left w:w="15" w:type="dxa"/>
              <w:bottom w:w="15" w:type="dxa"/>
              <w:right w:w="15" w:type="dxa"/>
            </w:tcMar>
            <w:hideMark/>
          </w:tcPr>
          <w:p w14:paraId="25A370C2" w14:textId="77777777" w:rsidR="00503C32" w:rsidRDefault="00503C32" w:rsidP="004379C1">
            <w:pPr>
              <w:spacing w:before="30" w:after="30"/>
              <w:ind w:left="60" w:right="60"/>
            </w:pPr>
            <w:r>
              <w:rPr>
                <w:b/>
                <w:bCs/>
              </w:rPr>
              <w:t>Bhatia,​ R. S.,​Ivers,​ N. M.,​Yin,​ X. C.,​Myers,​ D.,​Nesbitt,​ G. C.,​Edwards,​ J.,​Yared,​ K.,​Wadhera,​ R. K.,​Wu,​ J. C.,​Kithcart,​ A. P.,​Wong,​ B. M.,​Hansen,​ M. S.,​Weinerman,​ A. S.,​Shadowitz,​ S.,​Elman,​ D.,​Farkouh,​ M. E.,​Thavendiranathan,​ P.,​Udell,​ J. A.,​Johri,​ A. M.,​Chow,​ C. M.,​Hall,​ J.,​Bouck,​ Z.,​Cohen,​ A.,​Thorpe,​ K. E.,​Rakowski,​ H.,​Picard,​ M. H.,​Weiner,​ R. B.</w:t>
            </w:r>
            <w:r>
              <w:t xml:space="preserve">. </w:t>
            </w:r>
            <w:r>
              <w:rPr>
                <w:lang w:val="en-US"/>
              </w:rPr>
              <w:t xml:space="preserve">Improving the Appropriate Use of Transthoracic Echocardiography: The Echo WISELY Trial. </w:t>
            </w:r>
            <w:r>
              <w:rPr>
                <w:i/>
                <w:iCs/>
              </w:rPr>
              <w:t>Journal of the American College of Cardiology.</w:t>
            </w:r>
            <w:r>
              <w:t xml:space="preserve"> 2017. 70:1135-1144</w:t>
            </w:r>
          </w:p>
        </w:tc>
      </w:tr>
      <w:tr w:rsidR="00503C32" w14:paraId="2F1FF4F6" w14:textId="77777777" w:rsidTr="004379C1">
        <w:tc>
          <w:tcPr>
            <w:tcW w:w="0" w:type="auto"/>
            <w:tcMar>
              <w:top w:w="15" w:type="dxa"/>
              <w:left w:w="15" w:type="dxa"/>
              <w:bottom w:w="15" w:type="dxa"/>
              <w:right w:w="15" w:type="dxa"/>
            </w:tcMar>
            <w:hideMark/>
          </w:tcPr>
          <w:p w14:paraId="7622C657" w14:textId="77777777" w:rsidR="00503C32" w:rsidRDefault="00503C32" w:rsidP="004379C1">
            <w:pPr>
              <w:spacing w:before="30" w:after="30"/>
              <w:ind w:left="60" w:right="60"/>
            </w:pPr>
            <w:r>
              <w:rPr>
                <w:b/>
                <w:bCs/>
              </w:rPr>
              <w:t>Bhunia,​ R.,​Hutin,​ Y.,​Ramkrishnan,​ R.,​Ghosh,​ P. K.,​Dey,​ S.,​Murhekar,​ M.</w:t>
            </w:r>
            <w:r>
              <w:t xml:space="preserve">. </w:t>
            </w:r>
            <w:r>
              <w:rPr>
                <w:lang w:val="en-US"/>
              </w:rPr>
              <w:t xml:space="preserve">Reducing use of injections through interactional group discussions: a randomized controlled trial. </w:t>
            </w:r>
            <w:r>
              <w:rPr>
                <w:i/>
                <w:iCs/>
              </w:rPr>
              <w:t>Indian pediatrics.</w:t>
            </w:r>
            <w:r>
              <w:t xml:space="preserve"> 2010. 47:409-14</w:t>
            </w:r>
          </w:p>
        </w:tc>
      </w:tr>
      <w:tr w:rsidR="00503C32" w14:paraId="7FE2196C" w14:textId="77777777" w:rsidTr="004379C1">
        <w:tc>
          <w:tcPr>
            <w:tcW w:w="0" w:type="auto"/>
            <w:tcMar>
              <w:top w:w="15" w:type="dxa"/>
              <w:left w:w="15" w:type="dxa"/>
              <w:bottom w:w="15" w:type="dxa"/>
              <w:right w:w="15" w:type="dxa"/>
            </w:tcMar>
            <w:hideMark/>
          </w:tcPr>
          <w:p w14:paraId="780556DB" w14:textId="77777777" w:rsidR="00503C32" w:rsidRDefault="00503C32" w:rsidP="004379C1">
            <w:pPr>
              <w:spacing w:before="30" w:after="30"/>
              <w:ind w:left="60" w:right="60"/>
            </w:pPr>
            <w:r>
              <w:rPr>
                <w:b/>
                <w:bCs/>
                <w:lang w:val="en-US"/>
              </w:rPr>
              <w:t>Bindels,​ R.,​Hasman,​ A.,​Kester,​ A.,​Talmon,​ J. L.,​de Clercq,​ P. A.,​Winkens,​ R. A. G.</w:t>
            </w:r>
            <w:r>
              <w:rPr>
                <w:lang w:val="en-US"/>
              </w:rPr>
              <w:t xml:space="preserve">. The efficacy of an automated feedback system for general practitioners. </w:t>
            </w:r>
            <w:r>
              <w:rPr>
                <w:i/>
                <w:iCs/>
              </w:rPr>
              <w:t>Informatics in Primary Care.</w:t>
            </w:r>
            <w:r>
              <w:t xml:space="preserve"> 2003. 11:69-74</w:t>
            </w:r>
          </w:p>
        </w:tc>
      </w:tr>
      <w:tr w:rsidR="00503C32" w14:paraId="46EE3FF3" w14:textId="77777777" w:rsidTr="004379C1">
        <w:tc>
          <w:tcPr>
            <w:tcW w:w="0" w:type="auto"/>
            <w:tcMar>
              <w:top w:w="15" w:type="dxa"/>
              <w:left w:w="15" w:type="dxa"/>
              <w:bottom w:w="15" w:type="dxa"/>
              <w:right w:w="15" w:type="dxa"/>
            </w:tcMar>
            <w:hideMark/>
          </w:tcPr>
          <w:p w14:paraId="1FF64CD5" w14:textId="77777777" w:rsidR="00503C32" w:rsidRDefault="00503C32" w:rsidP="004379C1">
            <w:pPr>
              <w:spacing w:before="30" w:after="30"/>
              <w:ind w:left="60" w:right="60"/>
            </w:pPr>
            <w:r>
              <w:rPr>
                <w:b/>
                <w:bCs/>
                <w:lang w:val="en-US"/>
              </w:rPr>
              <w:t>Blair,​ Peter S.,​Turnbull,​ Sophie,​Ingram,​ Jenny,​Redmond,​ Niamh,​Lucas,​ Patricia Jane,​Cabral,​ Christie,​Hollinghurst,​ Sandra,​Dixon,​ Padraig,​Peters,​ Tim,​Horwood,​ Jeremy,​Little,​ Paul,​Francis,​ Nick A.,​Gilbertson,​ Anna,​Jameson,​ Catherine,​Hay,​ Alastair D.</w:t>
            </w:r>
            <w:r>
              <w:rPr>
                <w:lang w:val="en-US"/>
              </w:rPr>
              <w:t xml:space="preserve">. Feasibility cluster randomised controlled trial of a within-consultation intervention to reduce antibiotic prescribing for children presenting to primary care with acute respiratory tract infection and cough. </w:t>
            </w:r>
            <w:r>
              <w:rPr>
                <w:i/>
                <w:iCs/>
              </w:rPr>
              <w:t>BMJ open.</w:t>
            </w:r>
            <w:r>
              <w:t xml:space="preserve"> 2017. 7:e014506</w:t>
            </w:r>
          </w:p>
        </w:tc>
      </w:tr>
      <w:tr w:rsidR="00503C32" w14:paraId="636D9263" w14:textId="77777777" w:rsidTr="004379C1">
        <w:tc>
          <w:tcPr>
            <w:tcW w:w="0" w:type="auto"/>
            <w:tcMar>
              <w:top w:w="15" w:type="dxa"/>
              <w:left w:w="15" w:type="dxa"/>
              <w:bottom w:w="15" w:type="dxa"/>
              <w:right w:w="15" w:type="dxa"/>
            </w:tcMar>
            <w:hideMark/>
          </w:tcPr>
          <w:p w14:paraId="3D182C70" w14:textId="77777777" w:rsidR="00503C32" w:rsidRDefault="00503C32" w:rsidP="004379C1">
            <w:pPr>
              <w:spacing w:before="30" w:after="30"/>
              <w:ind w:left="60" w:right="60"/>
            </w:pPr>
            <w:r>
              <w:rPr>
                <w:b/>
                <w:bCs/>
                <w:lang w:val="en-US"/>
              </w:rPr>
              <w:t>Boulet,​ L.,​Vermeulin,​ T.,​Vasiliu,​ A.,​Gillibert,​ A.,​Lottin,​ M.,​Frébourg,​ N.,​Boyer,​ S.,​Merle,​ V.</w:t>
            </w:r>
            <w:r>
              <w:rPr>
                <w:lang w:val="en-US"/>
              </w:rPr>
              <w:t xml:space="preserve">. Lack of effect of a poster-based intervention to reduce the number of blood culture samples collected. </w:t>
            </w:r>
            <w:r>
              <w:rPr>
                <w:i/>
                <w:iCs/>
              </w:rPr>
              <w:t>Medecine et Maladies Infectieuses.</w:t>
            </w:r>
            <w:r>
              <w:t xml:space="preserve"> 2019. #volume#:#pages#</w:t>
            </w:r>
          </w:p>
        </w:tc>
      </w:tr>
      <w:tr w:rsidR="00503C32" w14:paraId="7619AD94" w14:textId="77777777" w:rsidTr="004379C1">
        <w:tc>
          <w:tcPr>
            <w:tcW w:w="0" w:type="auto"/>
            <w:tcMar>
              <w:top w:w="15" w:type="dxa"/>
              <w:left w:w="15" w:type="dxa"/>
              <w:bottom w:w="15" w:type="dxa"/>
              <w:right w:w="15" w:type="dxa"/>
            </w:tcMar>
            <w:hideMark/>
          </w:tcPr>
          <w:p w14:paraId="7D95C7AA" w14:textId="77777777" w:rsidR="00503C32" w:rsidRDefault="00503C32" w:rsidP="004379C1">
            <w:pPr>
              <w:spacing w:before="30" w:after="30"/>
              <w:ind w:left="60" w:right="60"/>
            </w:pPr>
            <w:r>
              <w:rPr>
                <w:b/>
                <w:bCs/>
                <w:lang w:val="en-US"/>
              </w:rPr>
              <w:t>Bourgeois,​ Fabienne C.,​Linder,​ Jeffrey,​Johnson,​ Sarah A.,​Co,​ John Patrick T.,​Fiskio,​ Julie,​Ferris,​ Timothy G.</w:t>
            </w:r>
            <w:r>
              <w:rPr>
                <w:lang w:val="en-US"/>
              </w:rPr>
              <w:t xml:space="preserve">. Impact of a computerized template on antibiotic prescribing for acute respiratory infections in children and adolescents. </w:t>
            </w:r>
            <w:r>
              <w:rPr>
                <w:i/>
                <w:iCs/>
              </w:rPr>
              <w:t>Clinical pediatrics.</w:t>
            </w:r>
            <w:r>
              <w:t xml:space="preserve"> 2010. 49:976-83</w:t>
            </w:r>
          </w:p>
        </w:tc>
      </w:tr>
      <w:tr w:rsidR="00503C32" w14:paraId="7235A214" w14:textId="77777777" w:rsidTr="004379C1">
        <w:tc>
          <w:tcPr>
            <w:tcW w:w="0" w:type="auto"/>
            <w:tcMar>
              <w:top w:w="15" w:type="dxa"/>
              <w:left w:w="15" w:type="dxa"/>
              <w:bottom w:w="15" w:type="dxa"/>
              <w:right w:w="15" w:type="dxa"/>
            </w:tcMar>
            <w:hideMark/>
          </w:tcPr>
          <w:p w14:paraId="52250B76" w14:textId="77777777" w:rsidR="00503C32" w:rsidRDefault="00503C32" w:rsidP="004379C1">
            <w:pPr>
              <w:spacing w:before="30" w:after="30"/>
              <w:ind w:left="60" w:right="60"/>
            </w:pPr>
            <w:r>
              <w:rPr>
                <w:b/>
                <w:bCs/>
                <w:lang w:val="en-US"/>
              </w:rPr>
              <w:t>Briel,​ Matthias,​Langewitz,​ Wolf,​Tschudi,​ Peter,​Young,​ Jim,​Hugenschmidt,​ Christa,​Bucher,​ Heiner C.</w:t>
            </w:r>
            <w:r>
              <w:rPr>
                <w:lang w:val="en-US"/>
              </w:rPr>
              <w:t xml:space="preserve">. Communication training and antibiotic use in acute respiratory tract infections. A cluster randomised controlled trial in general practice. </w:t>
            </w:r>
            <w:r>
              <w:rPr>
                <w:i/>
                <w:iCs/>
                <w:lang w:val="en-US"/>
              </w:rPr>
              <w:t>Swiss medical weekly.</w:t>
            </w:r>
            <w:r>
              <w:rPr>
                <w:lang w:val="en-US"/>
              </w:rPr>
              <w:t xml:space="preserve"> </w:t>
            </w:r>
            <w:r>
              <w:t>2006. 136:241-7</w:t>
            </w:r>
          </w:p>
        </w:tc>
      </w:tr>
      <w:tr w:rsidR="00503C32" w14:paraId="70E954A6" w14:textId="77777777" w:rsidTr="004379C1">
        <w:tc>
          <w:tcPr>
            <w:tcW w:w="0" w:type="auto"/>
            <w:tcMar>
              <w:top w:w="15" w:type="dxa"/>
              <w:left w:w="15" w:type="dxa"/>
              <w:bottom w:w="15" w:type="dxa"/>
              <w:right w:w="15" w:type="dxa"/>
            </w:tcMar>
            <w:hideMark/>
          </w:tcPr>
          <w:p w14:paraId="0E97CEE8" w14:textId="77777777" w:rsidR="00503C32" w:rsidRDefault="00503C32" w:rsidP="004379C1">
            <w:pPr>
              <w:spacing w:before="30" w:after="30"/>
              <w:ind w:left="60" w:right="60"/>
            </w:pPr>
            <w:r>
              <w:rPr>
                <w:b/>
                <w:bCs/>
                <w:lang w:val="en-US"/>
              </w:rPr>
              <w:t>Bunt,​ Christopher W.,​Burke,​ Harry B.,​Towbin,​ Alexander J.,​Hoang,​ Albert,​Stephens,​ Mark B.,​Fontelo,​ Paul,​Liu,​ Fang,​Gimbel,​ Ronald W.</w:t>
            </w:r>
            <w:r>
              <w:rPr>
                <w:lang w:val="en-US"/>
              </w:rPr>
              <w:t xml:space="preserve">. Point-of-Care Estimated Radiation Exposure and Imaging Guidelines Can Reduce Pediatric Radiation Burden. </w:t>
            </w:r>
            <w:r>
              <w:rPr>
                <w:i/>
                <w:iCs/>
              </w:rPr>
              <w:t>Journal of the American Board of Family Medicine : JABFM.</w:t>
            </w:r>
            <w:r>
              <w:t xml:space="preserve"> 2015. 28:343-50</w:t>
            </w:r>
          </w:p>
        </w:tc>
      </w:tr>
      <w:tr w:rsidR="00503C32" w14:paraId="2A76E249" w14:textId="77777777" w:rsidTr="004379C1">
        <w:tc>
          <w:tcPr>
            <w:tcW w:w="0" w:type="auto"/>
            <w:tcMar>
              <w:top w:w="15" w:type="dxa"/>
              <w:left w:w="15" w:type="dxa"/>
              <w:bottom w:w="15" w:type="dxa"/>
              <w:right w:w="15" w:type="dxa"/>
            </w:tcMar>
            <w:hideMark/>
          </w:tcPr>
          <w:p w14:paraId="42615140" w14:textId="77777777" w:rsidR="00503C32" w:rsidRDefault="00503C32" w:rsidP="004379C1">
            <w:pPr>
              <w:spacing w:before="30" w:after="30"/>
              <w:ind w:left="60" w:right="60"/>
            </w:pPr>
            <w:r>
              <w:rPr>
                <w:b/>
                <w:bCs/>
                <w:lang w:val="en-US"/>
              </w:rPr>
              <w:t>Butler,​ Christopher C.,​Simpson,​ Sharon A.,​Dunstan,​ Frank,​Rollnick,​ Stephen,​Cohen,​ David,​Gillespie,​ David,​Evans,​ Meirion R.,​Alam,​ M. Fasihul,​Bekkers,​ Marie-Jet,​Evans,​ John,​Moore,​ Laurence,​Howe,​ Robin,​Hayes,​ Jamie,​Hare,​ Monika,​Hood,​ Kerenza</w:t>
            </w:r>
            <w:r>
              <w:rPr>
                <w:lang w:val="en-US"/>
              </w:rPr>
              <w:t xml:space="preserve">. Effectiveness of multifaceted educational programme to reduce antibiotic dispensing in primary care: practice </w:t>
            </w:r>
            <w:r>
              <w:rPr>
                <w:lang w:val="en-US"/>
              </w:rPr>
              <w:lastRenderedPageBreak/>
              <w:t xml:space="preserve">based randomised controlled trial. </w:t>
            </w:r>
            <w:r>
              <w:rPr>
                <w:i/>
                <w:iCs/>
              </w:rPr>
              <w:t>BMJ (Clinical research ed.).</w:t>
            </w:r>
            <w:r>
              <w:t xml:space="preserve"> 2012. 344:d8173</w:t>
            </w:r>
          </w:p>
        </w:tc>
      </w:tr>
      <w:tr w:rsidR="00503C32" w14:paraId="0849FD25" w14:textId="77777777" w:rsidTr="004379C1">
        <w:tc>
          <w:tcPr>
            <w:tcW w:w="0" w:type="auto"/>
            <w:tcMar>
              <w:top w:w="15" w:type="dxa"/>
              <w:left w:w="15" w:type="dxa"/>
              <w:bottom w:w="15" w:type="dxa"/>
              <w:right w:w="15" w:type="dxa"/>
            </w:tcMar>
            <w:hideMark/>
          </w:tcPr>
          <w:p w14:paraId="2DD3E2C9" w14:textId="77777777" w:rsidR="00503C32" w:rsidRPr="004379C1" w:rsidRDefault="00503C32" w:rsidP="004379C1">
            <w:pPr>
              <w:spacing w:before="30" w:after="30"/>
              <w:ind w:left="60" w:right="60"/>
              <w:rPr>
                <w:lang w:val="en-US"/>
              </w:rPr>
            </w:pPr>
            <w:r>
              <w:rPr>
                <w:b/>
                <w:bCs/>
                <w:lang w:val="en-US"/>
              </w:rPr>
              <w:lastRenderedPageBreak/>
              <w:t>Cals,​ Jochen W. L.,​Butler,​ Christopher C.,​Hopstaken,​ Rogier M.,​Hood,​ Kerenza,​Dinant,​ Geert-Jan</w:t>
            </w:r>
            <w:r>
              <w:rPr>
                <w:lang w:val="en-US"/>
              </w:rPr>
              <w:t xml:space="preserve">. Effect of point of care testing for C reactive protein and training in communication skills on antibiotic use in lower respiratory tract infections: cluster randomised trial. </w:t>
            </w:r>
            <w:r w:rsidRPr="004379C1">
              <w:rPr>
                <w:i/>
                <w:iCs/>
                <w:lang w:val="en-US"/>
              </w:rPr>
              <w:t>BMJ (Clinical research ed.).</w:t>
            </w:r>
            <w:r w:rsidRPr="004379C1">
              <w:rPr>
                <w:lang w:val="en-US"/>
              </w:rPr>
              <w:t xml:space="preserve"> 2009. 338:b1374</w:t>
            </w:r>
          </w:p>
          <w:p w14:paraId="34B011D0" w14:textId="77777777" w:rsidR="00503C32" w:rsidRPr="004379C1" w:rsidRDefault="00503C32" w:rsidP="004379C1">
            <w:pPr>
              <w:pStyle w:val="ListParagraph"/>
              <w:spacing w:before="30" w:after="30"/>
              <w:ind w:left="420" w:right="60"/>
              <w:rPr>
                <w:lang w:val="en-US"/>
              </w:rPr>
            </w:pPr>
            <w:r>
              <w:rPr>
                <w:b/>
                <w:bCs/>
                <w:lang w:val="en-US"/>
              </w:rPr>
              <w:t>Cals,​ Jochen W. L.,​Ament,​ Andre J. H. A.,​Hood,​ Kerenza,​Butler,​ Christopher C.,​Hopstaken,​ Rogier M.,​Wassink,​ Geert F.,​Dinant,​ Geert-Jan</w:t>
            </w:r>
            <w:r>
              <w:rPr>
                <w:lang w:val="en-US"/>
              </w:rPr>
              <w:t xml:space="preserve">. C-reactive protein point of care testing and physician communication skills training for lower respiratory tract infections in general practice: economic evaluation of a cluster randomized trial. </w:t>
            </w:r>
            <w:r w:rsidRPr="004379C1">
              <w:rPr>
                <w:i/>
                <w:iCs/>
                <w:lang w:val="en-US"/>
              </w:rPr>
              <w:t>Journal of evaluation in clinical practice.</w:t>
            </w:r>
            <w:r w:rsidRPr="004379C1">
              <w:rPr>
                <w:lang w:val="en-US"/>
              </w:rPr>
              <w:t xml:space="preserve"> 2011. 17:1059-69</w:t>
            </w:r>
          </w:p>
          <w:p w14:paraId="61A81567" w14:textId="77777777" w:rsidR="00503C32" w:rsidRDefault="00503C32" w:rsidP="004379C1">
            <w:pPr>
              <w:pStyle w:val="ListParagraph"/>
              <w:spacing w:before="30" w:after="30"/>
              <w:ind w:left="420" w:right="60"/>
            </w:pPr>
            <w:r>
              <w:rPr>
                <w:b/>
                <w:bCs/>
                <w:lang w:val="en-US"/>
              </w:rPr>
              <w:t>Cals,​ Jochen W. L.,​de Bock,​ Leon,​Beckers,​ Pieter-Jan H. W.,​Francis,​ Nick A.,​Hopstaken,​ Rogier M.,​Hood,​ Kerenza,​de Bont,​ Eefje G. P. M.,​Butler,​ Christopher C.,​Dinant,​ Geert-Jan</w:t>
            </w:r>
            <w:r>
              <w:rPr>
                <w:lang w:val="en-US"/>
              </w:rPr>
              <w:t xml:space="preserve">. Enhanced communication skills and C-reactive protein point-of-care testing for respiratory tract infection: 3.5-year follow-up of a cluster randomized trial. </w:t>
            </w:r>
            <w:r w:rsidRPr="004726BA">
              <w:rPr>
                <w:i/>
                <w:iCs/>
                <w:lang w:val="en-US"/>
              </w:rPr>
              <w:t>Annals of family medicine.</w:t>
            </w:r>
            <w:r w:rsidRPr="004726BA">
              <w:rPr>
                <w:lang w:val="en-US"/>
              </w:rPr>
              <w:t xml:space="preserve"> 2013. </w:t>
            </w:r>
            <w:r>
              <w:t>11:157-64</w:t>
            </w:r>
          </w:p>
        </w:tc>
      </w:tr>
      <w:tr w:rsidR="00503C32" w14:paraId="085E7125" w14:textId="77777777" w:rsidTr="004379C1">
        <w:tc>
          <w:tcPr>
            <w:tcW w:w="0" w:type="auto"/>
            <w:tcMar>
              <w:top w:w="15" w:type="dxa"/>
              <w:left w:w="15" w:type="dxa"/>
              <w:bottom w:w="15" w:type="dxa"/>
              <w:right w:w="15" w:type="dxa"/>
            </w:tcMar>
            <w:hideMark/>
          </w:tcPr>
          <w:p w14:paraId="19811710" w14:textId="77777777" w:rsidR="00503C32" w:rsidRDefault="00503C32" w:rsidP="004379C1">
            <w:pPr>
              <w:spacing w:before="30" w:after="30"/>
              <w:ind w:left="60" w:right="60"/>
            </w:pPr>
            <w:r>
              <w:rPr>
                <w:b/>
                <w:bCs/>
                <w:lang w:val="en-US"/>
              </w:rPr>
              <w:t>Chaillet,​ N.,​Dumont,​ A.,​Abrahamowicz,​ M.,​Pasquier,​ J. C.,​Audibert,​ F.,​Monnier,​ P.,​Abenhaim,​ H. A.,​Dubé,​ E.,​Dugas,​ M.,​Burne,​ R.,​Fraser,​ W. D.</w:t>
            </w:r>
            <w:r>
              <w:rPr>
                <w:lang w:val="en-US"/>
              </w:rPr>
              <w:t xml:space="preserve">. A cluster-randomized trial to reduce cesarean delivery rates in Quebec. </w:t>
            </w:r>
            <w:r>
              <w:rPr>
                <w:i/>
                <w:iCs/>
              </w:rPr>
              <w:t>New England Journal of Medicine.</w:t>
            </w:r>
            <w:r>
              <w:t xml:space="preserve"> 2015. 372:1710-1721</w:t>
            </w:r>
          </w:p>
        </w:tc>
      </w:tr>
      <w:tr w:rsidR="00503C32" w14:paraId="41811D91" w14:textId="77777777" w:rsidTr="004379C1">
        <w:tc>
          <w:tcPr>
            <w:tcW w:w="0" w:type="auto"/>
            <w:tcMar>
              <w:top w:w="15" w:type="dxa"/>
              <w:left w:w="15" w:type="dxa"/>
              <w:bottom w:w="15" w:type="dxa"/>
              <w:right w:w="15" w:type="dxa"/>
            </w:tcMar>
            <w:hideMark/>
          </w:tcPr>
          <w:p w14:paraId="2A2751FD" w14:textId="77777777" w:rsidR="00503C32" w:rsidRDefault="00503C32" w:rsidP="004379C1">
            <w:pPr>
              <w:spacing w:before="30" w:after="30"/>
              <w:ind w:left="60" w:right="60"/>
            </w:pPr>
            <w:r>
              <w:rPr>
                <w:b/>
                <w:bCs/>
                <w:lang w:val="en-US"/>
              </w:rPr>
              <w:t>Champion,​ Karine,​Mouly,​ Stephane,​Lloret-Linares,​ Celia,​Lopes,​ Amanda,​Vicaut,​ Eric,​Bergmann,​ Jean-Francois,​Permi Investigators Committee</w:t>
            </w:r>
            <w:r>
              <w:rPr>
                <w:lang w:val="en-US"/>
              </w:rPr>
              <w:t xml:space="preserve">. Optimizing the use of intravenous therapy in internal medicine. </w:t>
            </w:r>
            <w:r>
              <w:rPr>
                <w:i/>
                <w:iCs/>
                <w:lang w:val="en-US"/>
              </w:rPr>
              <w:t>The American journal of medicine.</w:t>
            </w:r>
            <w:r>
              <w:rPr>
                <w:lang w:val="en-US"/>
              </w:rPr>
              <w:t xml:space="preserve"> </w:t>
            </w:r>
            <w:r>
              <w:t>2013. 126:925.e1-9</w:t>
            </w:r>
          </w:p>
        </w:tc>
      </w:tr>
      <w:tr w:rsidR="00503C32" w14:paraId="7E17AF9C" w14:textId="77777777" w:rsidTr="004379C1">
        <w:tc>
          <w:tcPr>
            <w:tcW w:w="0" w:type="auto"/>
            <w:tcMar>
              <w:top w:w="15" w:type="dxa"/>
              <w:left w:w="15" w:type="dxa"/>
              <w:bottom w:w="15" w:type="dxa"/>
              <w:right w:w="15" w:type="dxa"/>
            </w:tcMar>
            <w:hideMark/>
          </w:tcPr>
          <w:p w14:paraId="11582888" w14:textId="77777777" w:rsidR="00503C32" w:rsidRDefault="00503C32" w:rsidP="004379C1">
            <w:pPr>
              <w:spacing w:before="30" w:after="30"/>
              <w:ind w:left="60" w:right="60"/>
            </w:pPr>
            <w:r>
              <w:rPr>
                <w:b/>
                <w:bCs/>
                <w:lang w:val="en-US"/>
              </w:rPr>
              <w:t>Chang,​ Yue,​ Sangthong,​ Rassamee,​ McNeil,​ Edward B.,​ Tang,​ Lei,​ Chongsuvivatwong,​ Virasakdi</w:t>
            </w:r>
            <w:r>
              <w:rPr>
                <w:lang w:val="en-US"/>
              </w:rPr>
              <w:t xml:space="preserve">. Effect of a computer network-based feedback program on antibiotic prescription rates of primary care physicians: A cluster randomized crossover-controlled trial. </w:t>
            </w:r>
            <w:r>
              <w:rPr>
                <w:i/>
                <w:iCs/>
              </w:rPr>
              <w:t>Journal of infection and public health.</w:t>
            </w:r>
            <w:r>
              <w:t xml:space="preserve"> 2020. #volume#:#pages#</w:t>
            </w:r>
          </w:p>
        </w:tc>
      </w:tr>
      <w:tr w:rsidR="00503C32" w14:paraId="6C92FCFC" w14:textId="77777777" w:rsidTr="004379C1">
        <w:tc>
          <w:tcPr>
            <w:tcW w:w="0" w:type="auto"/>
            <w:tcMar>
              <w:top w:w="15" w:type="dxa"/>
              <w:left w:w="15" w:type="dxa"/>
              <w:bottom w:w="15" w:type="dxa"/>
              <w:right w:w="15" w:type="dxa"/>
            </w:tcMar>
            <w:hideMark/>
          </w:tcPr>
          <w:p w14:paraId="6DB8FB71" w14:textId="77777777" w:rsidR="00503C32" w:rsidRDefault="00503C32" w:rsidP="004379C1">
            <w:pPr>
              <w:spacing w:before="30" w:after="30"/>
              <w:ind w:left="60" w:right="60"/>
            </w:pPr>
            <w:r>
              <w:rPr>
                <w:b/>
                <w:bCs/>
                <w:lang w:val="en-US"/>
              </w:rPr>
              <w:t>Chassin,​ M. R.,​McCue,​ S. M.</w:t>
            </w:r>
            <w:r>
              <w:rPr>
                <w:lang w:val="en-US"/>
              </w:rPr>
              <w:t xml:space="preserve">. A randomized trial of medical quality assurance. </w:t>
            </w:r>
            <w:r>
              <w:t xml:space="preserve">Improving physicians' use of pelvimetry. </w:t>
            </w:r>
            <w:r>
              <w:rPr>
                <w:i/>
                <w:iCs/>
              </w:rPr>
              <w:t>JAMA.</w:t>
            </w:r>
            <w:r>
              <w:t xml:space="preserve"> 1986. 256:1012-6</w:t>
            </w:r>
          </w:p>
        </w:tc>
      </w:tr>
      <w:tr w:rsidR="00503C32" w14:paraId="480F8366" w14:textId="77777777" w:rsidTr="004379C1">
        <w:tc>
          <w:tcPr>
            <w:tcW w:w="0" w:type="auto"/>
            <w:tcMar>
              <w:top w:w="15" w:type="dxa"/>
              <w:left w:w="15" w:type="dxa"/>
              <w:bottom w:w="15" w:type="dxa"/>
              <w:right w:w="15" w:type="dxa"/>
            </w:tcMar>
            <w:hideMark/>
          </w:tcPr>
          <w:p w14:paraId="5E002EC7" w14:textId="77777777" w:rsidR="00503C32" w:rsidRDefault="00503C32" w:rsidP="004379C1">
            <w:pPr>
              <w:spacing w:before="30" w:after="30"/>
              <w:ind w:left="60" w:right="60"/>
            </w:pPr>
            <w:r>
              <w:rPr>
                <w:b/>
                <w:bCs/>
              </w:rPr>
              <w:t>Chazan,​ Bibiana,​Turjeman,​ Ruth Ben Zur,​Frost,​ Yosef,​Besharat,​ Beshara,​Tabenkin,​ Hava,​Stainberg,​ Avi,​Sakran,​ Waheeb,​Raz,​ Raul</w:t>
            </w:r>
            <w:r>
              <w:t xml:space="preserve">. </w:t>
            </w:r>
            <w:r>
              <w:rPr>
                <w:lang w:val="en-US"/>
              </w:rPr>
              <w:t xml:space="preserve">Antibiotic consumption successfully reduced by a community intervention program. </w:t>
            </w:r>
            <w:r>
              <w:rPr>
                <w:i/>
                <w:iCs/>
                <w:lang w:val="en-US"/>
              </w:rPr>
              <w:t>The Israel Medical Association journal : IMAJ.</w:t>
            </w:r>
            <w:r>
              <w:rPr>
                <w:lang w:val="en-US"/>
              </w:rPr>
              <w:t xml:space="preserve"> 2007. </w:t>
            </w:r>
            <w:r>
              <w:t>9:16-20</w:t>
            </w:r>
          </w:p>
        </w:tc>
      </w:tr>
      <w:tr w:rsidR="00503C32" w14:paraId="68D95B05" w14:textId="77777777" w:rsidTr="004379C1">
        <w:tc>
          <w:tcPr>
            <w:tcW w:w="0" w:type="auto"/>
            <w:tcMar>
              <w:top w:w="15" w:type="dxa"/>
              <w:left w:w="15" w:type="dxa"/>
              <w:bottom w:w="15" w:type="dxa"/>
              <w:right w:w="15" w:type="dxa"/>
            </w:tcMar>
            <w:hideMark/>
          </w:tcPr>
          <w:p w14:paraId="1630CA9B" w14:textId="77777777" w:rsidR="00503C32" w:rsidRDefault="00503C32" w:rsidP="004379C1">
            <w:pPr>
              <w:spacing w:before="30" w:after="30"/>
              <w:ind w:left="60" w:right="60"/>
            </w:pPr>
            <w:r>
              <w:rPr>
                <w:b/>
                <w:bCs/>
              </w:rPr>
              <w:t>Chien,​ Alyna T.,​Lehmann,​ Lisa Soleymani,​Hatfield,​ Laura A.,​Koplan,​ Kate E.,​Petty,​ Carter R.,​Sinaiko,​ Anna D.,​Rosenthal,​ Meredith B.,​Sequist,​ Thomas D.</w:t>
            </w:r>
            <w:r>
              <w:t xml:space="preserve">. </w:t>
            </w:r>
            <w:r>
              <w:rPr>
                <w:lang w:val="en-US"/>
              </w:rPr>
              <w:t xml:space="preserve">A Randomized Trial of Displaying Paid Price Information on Imaging Study and Procedure Ordering Rates. </w:t>
            </w:r>
            <w:r>
              <w:rPr>
                <w:i/>
                <w:iCs/>
              </w:rPr>
              <w:t>Journal of general internal medicine.</w:t>
            </w:r>
            <w:r>
              <w:t xml:space="preserve"> 2017. 32:434-448</w:t>
            </w:r>
          </w:p>
        </w:tc>
      </w:tr>
      <w:tr w:rsidR="00503C32" w14:paraId="2994A24B" w14:textId="77777777" w:rsidTr="004379C1">
        <w:tc>
          <w:tcPr>
            <w:tcW w:w="0" w:type="auto"/>
            <w:tcMar>
              <w:top w:w="15" w:type="dxa"/>
              <w:left w:w="15" w:type="dxa"/>
              <w:bottom w:w="15" w:type="dxa"/>
              <w:right w:w="15" w:type="dxa"/>
            </w:tcMar>
            <w:hideMark/>
          </w:tcPr>
          <w:p w14:paraId="7585D04A" w14:textId="77777777" w:rsidR="00503C32" w:rsidRDefault="00503C32" w:rsidP="004379C1">
            <w:pPr>
              <w:spacing w:before="30" w:after="30"/>
              <w:ind w:left="60" w:right="60"/>
            </w:pPr>
            <w:r>
              <w:rPr>
                <w:b/>
                <w:bCs/>
                <w:lang w:val="en-US"/>
              </w:rPr>
              <w:t>Chin,​ K. K.,​ Svec,​ D.,​ Leung,​ B.,​ Sharp,​ C.,​ Shieh,​ L.</w:t>
            </w:r>
            <w:r>
              <w:rPr>
                <w:lang w:val="en-US"/>
              </w:rPr>
              <w:t xml:space="preserve">. E-HeaRT BPA: Electronic health record telemetry BPA. </w:t>
            </w:r>
            <w:r>
              <w:rPr>
                <w:i/>
                <w:iCs/>
                <w:lang w:val="en-US"/>
              </w:rPr>
              <w:t>Postgraduate Medical Journal.</w:t>
            </w:r>
            <w:r>
              <w:rPr>
                <w:lang w:val="en-US"/>
              </w:rPr>
              <w:t xml:space="preserve"> </w:t>
            </w:r>
            <w:r>
              <w:t>2020. #volume#:#pages#</w:t>
            </w:r>
          </w:p>
        </w:tc>
      </w:tr>
      <w:tr w:rsidR="00503C32" w14:paraId="40B96204" w14:textId="77777777" w:rsidTr="004379C1">
        <w:tc>
          <w:tcPr>
            <w:tcW w:w="0" w:type="auto"/>
            <w:tcMar>
              <w:top w:w="15" w:type="dxa"/>
              <w:left w:w="15" w:type="dxa"/>
              <w:bottom w:w="15" w:type="dxa"/>
              <w:right w:w="15" w:type="dxa"/>
            </w:tcMar>
            <w:hideMark/>
          </w:tcPr>
          <w:p w14:paraId="4622D104" w14:textId="77777777" w:rsidR="00503C32" w:rsidRDefault="00503C32" w:rsidP="004379C1">
            <w:pPr>
              <w:spacing w:before="30" w:after="30"/>
              <w:ind w:left="60" w:right="60"/>
            </w:pPr>
            <w:r>
              <w:rPr>
                <w:b/>
                <w:bCs/>
                <w:lang w:val="en-US"/>
              </w:rPr>
              <w:t>Christakis,​ D. A.,​Zimmerman,​ F. J.,​Wright,​ J. A.,​Garrison,​ M. M.,​Rivara,​ F. P.,​Davis,​ R. L.</w:t>
            </w:r>
            <w:r>
              <w:rPr>
                <w:lang w:val="en-US"/>
              </w:rPr>
              <w:t xml:space="preserve">. A randomized controlled trial of point-of-care evidence to improve the antibiotic prescribing practices for otitis media in children. </w:t>
            </w:r>
            <w:r>
              <w:rPr>
                <w:i/>
                <w:iCs/>
              </w:rPr>
              <w:t>Pediatrics.</w:t>
            </w:r>
            <w:r>
              <w:t xml:space="preserve"> 2001. 107:E15</w:t>
            </w:r>
          </w:p>
        </w:tc>
      </w:tr>
      <w:tr w:rsidR="00503C32" w14:paraId="3AC10A3F" w14:textId="77777777" w:rsidTr="004379C1">
        <w:tc>
          <w:tcPr>
            <w:tcW w:w="0" w:type="auto"/>
            <w:tcMar>
              <w:top w:w="15" w:type="dxa"/>
              <w:left w:w="15" w:type="dxa"/>
              <w:bottom w:w="15" w:type="dxa"/>
              <w:right w:w="15" w:type="dxa"/>
            </w:tcMar>
            <w:hideMark/>
          </w:tcPr>
          <w:p w14:paraId="22F20BF2" w14:textId="77777777" w:rsidR="00503C32" w:rsidRDefault="00503C32" w:rsidP="004379C1">
            <w:pPr>
              <w:spacing w:before="30" w:after="30"/>
              <w:ind w:left="60" w:right="60"/>
            </w:pPr>
            <w:r>
              <w:rPr>
                <w:b/>
                <w:bCs/>
                <w:lang w:val="en-US"/>
              </w:rPr>
              <w:t>Coenen,​ S.,​Van Royen,​ P.,​Michiels,​ B.,​Denekens,​ J.</w:t>
            </w:r>
            <w:r>
              <w:rPr>
                <w:lang w:val="en-US"/>
              </w:rPr>
              <w:t xml:space="preserve">. Optimizing antibiotic prescribing for acute cough in general practice: a cluster-randomized controlled trial. </w:t>
            </w:r>
            <w:r>
              <w:rPr>
                <w:i/>
                <w:iCs/>
              </w:rPr>
              <w:t>J Antimicrob Chemother.</w:t>
            </w:r>
            <w:r>
              <w:t xml:space="preserve"> 2004. 54:661-72</w:t>
            </w:r>
          </w:p>
        </w:tc>
      </w:tr>
      <w:tr w:rsidR="00503C32" w14:paraId="5CBD726A" w14:textId="77777777" w:rsidTr="004379C1">
        <w:tc>
          <w:tcPr>
            <w:tcW w:w="0" w:type="auto"/>
            <w:tcMar>
              <w:top w:w="15" w:type="dxa"/>
              <w:left w:w="15" w:type="dxa"/>
              <w:bottom w:w="15" w:type="dxa"/>
              <w:right w:w="15" w:type="dxa"/>
            </w:tcMar>
            <w:hideMark/>
          </w:tcPr>
          <w:p w14:paraId="1AB2E9BB" w14:textId="77777777" w:rsidR="00503C32" w:rsidRDefault="00503C32" w:rsidP="004379C1">
            <w:pPr>
              <w:spacing w:before="30" w:after="30"/>
              <w:ind w:left="60" w:right="60"/>
            </w:pPr>
            <w:r>
              <w:rPr>
                <w:b/>
                <w:bCs/>
                <w:lang w:val="en-US"/>
              </w:rPr>
              <w:t>Cohen,​ R.,​Allaert,​ F. A.,​Callens,​ A.,​Menn,​ S.,​Urbinelli,​ R.,​Roden,​ A.</w:t>
            </w:r>
            <w:r>
              <w:rPr>
                <w:lang w:val="en-US"/>
              </w:rPr>
              <w:t xml:space="preserve">. Medico-economic evaluation of an educational intervention to optimize children uncomplicated nasopharyngitis treatment in ambulatory care. </w:t>
            </w:r>
            <w:r>
              <w:rPr>
                <w:i/>
                <w:iCs/>
              </w:rPr>
              <w:t>Medecine et Maladies Infectieuses.</w:t>
            </w:r>
            <w:r>
              <w:t xml:space="preserve"> 2000. 30:691-698</w:t>
            </w:r>
          </w:p>
        </w:tc>
      </w:tr>
      <w:tr w:rsidR="00503C32" w14:paraId="75FEA31F" w14:textId="77777777" w:rsidTr="004379C1">
        <w:tc>
          <w:tcPr>
            <w:tcW w:w="0" w:type="auto"/>
            <w:tcMar>
              <w:top w:w="15" w:type="dxa"/>
              <w:left w:w="15" w:type="dxa"/>
              <w:bottom w:w="15" w:type="dxa"/>
              <w:right w:w="15" w:type="dxa"/>
            </w:tcMar>
            <w:hideMark/>
          </w:tcPr>
          <w:p w14:paraId="6ADB3149" w14:textId="77777777" w:rsidR="00503C32" w:rsidRDefault="00503C32" w:rsidP="004379C1">
            <w:pPr>
              <w:spacing w:before="30" w:after="30"/>
              <w:ind w:left="60" w:right="60"/>
            </w:pPr>
            <w:r>
              <w:rPr>
                <w:b/>
                <w:bCs/>
                <w:lang w:val="en-US"/>
              </w:rPr>
              <w:lastRenderedPageBreak/>
              <w:t>Coombs,​ Danielle M.,​Machado,​ Gustavo C.,​Richards,​ Bethan,​Needs,​ Chris,​Buchbinder,​ Rachelle,​Harris,​ Ian A.,​Howard,​ Kirsten,​McCaffery,​ Kirsten,​Billot,​ Laurent,​Edwards,​ James,​Rogan,​ Eileen,​Facer,​ Rochelle,​Li,​ Qiang,​Maher,​ Christopher G.</w:t>
            </w:r>
            <w:r>
              <w:rPr>
                <w:lang w:val="en-US"/>
              </w:rPr>
              <w:t xml:space="preserve">. Effectiveness of a multifaceted intervention to improve emergency department care of low back pain: a stepped-wedge,​ cluster-randomised trial. </w:t>
            </w:r>
            <w:r>
              <w:rPr>
                <w:i/>
                <w:iCs/>
              </w:rPr>
              <w:t>BMJ quality &amp; safety.</w:t>
            </w:r>
            <w:r>
              <w:t xml:space="preserve"> 2021. #volume#:#pages#</w:t>
            </w:r>
          </w:p>
        </w:tc>
      </w:tr>
      <w:tr w:rsidR="00503C32" w14:paraId="4B4B4104" w14:textId="77777777" w:rsidTr="004379C1">
        <w:tc>
          <w:tcPr>
            <w:tcW w:w="0" w:type="auto"/>
            <w:tcMar>
              <w:top w:w="15" w:type="dxa"/>
              <w:left w:w="15" w:type="dxa"/>
              <w:bottom w:w="15" w:type="dxa"/>
              <w:right w:w="15" w:type="dxa"/>
            </w:tcMar>
            <w:hideMark/>
          </w:tcPr>
          <w:p w14:paraId="44C4C1CA" w14:textId="77777777" w:rsidR="00503C32" w:rsidRDefault="00503C32" w:rsidP="004379C1">
            <w:pPr>
              <w:spacing w:before="30" w:after="30"/>
              <w:ind w:left="60" w:right="60"/>
            </w:pPr>
            <w:r>
              <w:rPr>
                <w:b/>
                <w:bCs/>
                <w:lang w:val="en-US"/>
              </w:rPr>
              <w:t>Cummings,​ K. M.,​Frisof,​ K. B.,​Long,​ M. J.,​Hrynkiewich,​ G.</w:t>
            </w:r>
            <w:r>
              <w:rPr>
                <w:lang w:val="en-US"/>
              </w:rPr>
              <w:t xml:space="preserve">. The effects of price information on physicians' test-ordering behavior. </w:t>
            </w:r>
            <w:r>
              <w:t xml:space="preserve">Ordering of diagnostic tests. </w:t>
            </w:r>
            <w:r>
              <w:rPr>
                <w:i/>
                <w:iCs/>
              </w:rPr>
              <w:t>Med Care.</w:t>
            </w:r>
            <w:r>
              <w:t xml:space="preserve"> 1982. 20:293-301</w:t>
            </w:r>
          </w:p>
        </w:tc>
      </w:tr>
      <w:tr w:rsidR="00503C32" w14:paraId="1C7E63A2" w14:textId="77777777" w:rsidTr="004379C1">
        <w:tc>
          <w:tcPr>
            <w:tcW w:w="0" w:type="auto"/>
            <w:tcMar>
              <w:top w:w="15" w:type="dxa"/>
              <w:left w:w="15" w:type="dxa"/>
              <w:bottom w:w="15" w:type="dxa"/>
              <w:right w:w="15" w:type="dxa"/>
            </w:tcMar>
            <w:hideMark/>
          </w:tcPr>
          <w:p w14:paraId="210A201B" w14:textId="77777777" w:rsidR="00503C32" w:rsidRDefault="00503C32" w:rsidP="004379C1">
            <w:pPr>
              <w:spacing w:before="30" w:after="30"/>
              <w:ind w:left="60" w:right="60"/>
            </w:pPr>
            <w:r>
              <w:rPr>
                <w:b/>
                <w:bCs/>
                <w:lang w:val="en-US"/>
              </w:rPr>
              <w:t>Cundill,​ Bonnie,​Mbakilwa,​ Hilda,​Chandler,​ Clare Ir,​Mtove,​ George,​Mtei,​ Frank,​Willetts,​ Annie,​Foster,​ Emily,​Muro,​ Florida,​Mwinyishehe,​ Rahim,​Mandike,​ Renata,​Olomi,​ Raimos,​Whitty,​ Christopher Jm,​Reyburn,​ Hugh</w:t>
            </w:r>
            <w:r>
              <w:rPr>
                <w:lang w:val="en-US"/>
              </w:rPr>
              <w:t xml:space="preserve">. Prescriber and patient-oriented behavioural interventions to improve use of malaria rapid diagnostic tests in Tanzania: facility-based cluster randomised trial. </w:t>
            </w:r>
            <w:r>
              <w:rPr>
                <w:i/>
                <w:iCs/>
              </w:rPr>
              <w:t>BMC medicine.</w:t>
            </w:r>
            <w:r>
              <w:t xml:space="preserve"> 2015. 13:118</w:t>
            </w:r>
          </w:p>
        </w:tc>
      </w:tr>
      <w:tr w:rsidR="00503C32" w14:paraId="01D13FDA" w14:textId="77777777" w:rsidTr="004379C1">
        <w:tc>
          <w:tcPr>
            <w:tcW w:w="0" w:type="auto"/>
            <w:tcMar>
              <w:top w:w="15" w:type="dxa"/>
              <w:left w:w="15" w:type="dxa"/>
              <w:bottom w:w="15" w:type="dxa"/>
              <w:right w:w="15" w:type="dxa"/>
            </w:tcMar>
            <w:hideMark/>
          </w:tcPr>
          <w:p w14:paraId="37C0FDB1" w14:textId="77777777" w:rsidR="00503C32" w:rsidRDefault="00503C32" w:rsidP="004379C1">
            <w:pPr>
              <w:spacing w:before="30" w:after="30"/>
              <w:ind w:left="60" w:right="60"/>
            </w:pPr>
            <w:r>
              <w:rPr>
                <w:b/>
                <w:bCs/>
                <w:lang w:val="en-US"/>
              </w:rPr>
              <w:t>Curtis,​ Helen J.,​Bacon,​ Seb,​Croker,​ Richard,​Walker,​ Alex J.,​Perera,​ Rafael,​Hallsworth,​ Michael,​Harper,​ Hugo,​Mahtani,​ Kamal R.,​Heneghan,​ Carl,​Goldacre,​ Ben</w:t>
            </w:r>
            <w:r>
              <w:rPr>
                <w:lang w:val="en-US"/>
              </w:rPr>
              <w:t xml:space="preserve">. Evaluating the impact of a very low-cost intervention to increase practices' engagement with data and change prescribing behaviour: a randomized trial in English primary care. </w:t>
            </w:r>
            <w:r>
              <w:rPr>
                <w:i/>
                <w:iCs/>
              </w:rPr>
              <w:t>Family practice.</w:t>
            </w:r>
            <w:r>
              <w:t xml:space="preserve"> 2021. #volume#:#pages#</w:t>
            </w:r>
          </w:p>
        </w:tc>
      </w:tr>
      <w:tr w:rsidR="00503C32" w14:paraId="21E743B4" w14:textId="77777777" w:rsidTr="004379C1">
        <w:tc>
          <w:tcPr>
            <w:tcW w:w="0" w:type="auto"/>
            <w:tcMar>
              <w:top w:w="15" w:type="dxa"/>
              <w:left w:w="15" w:type="dxa"/>
              <w:bottom w:w="15" w:type="dxa"/>
              <w:right w:w="15" w:type="dxa"/>
            </w:tcMar>
            <w:hideMark/>
          </w:tcPr>
          <w:p w14:paraId="538B4BC9" w14:textId="77777777" w:rsidR="00503C32" w:rsidRDefault="00503C32" w:rsidP="004379C1">
            <w:pPr>
              <w:spacing w:before="30" w:after="30"/>
              <w:ind w:left="60" w:right="60"/>
            </w:pPr>
            <w:r>
              <w:rPr>
                <w:b/>
                <w:bCs/>
                <w:lang w:val="en-US"/>
              </w:rPr>
              <w:t>Daley,​ Peter,​Garcia,​ David,​Inayatullah,​ Raheel,​Penney,​ Carla,​Boyd,​ Sarah</w:t>
            </w:r>
            <w:r>
              <w:rPr>
                <w:lang w:val="en-US"/>
              </w:rPr>
              <w:t xml:space="preserve">. Modified Reporting of Positive Urine Cultures to Reduce Inappropriate Treatment of Asymptomatic Bacteriuria Among Nonpregnant,​ Noncatheterized Inpatients: A Randomized Controlled Trial. </w:t>
            </w:r>
            <w:r>
              <w:rPr>
                <w:i/>
                <w:iCs/>
              </w:rPr>
              <w:t>Infection control and hospital epidemiology.</w:t>
            </w:r>
            <w:r>
              <w:t xml:space="preserve"> 2018. 39:814-819</w:t>
            </w:r>
          </w:p>
        </w:tc>
      </w:tr>
      <w:tr w:rsidR="00503C32" w14:paraId="34A8A7A2" w14:textId="77777777" w:rsidTr="004379C1">
        <w:tc>
          <w:tcPr>
            <w:tcW w:w="0" w:type="auto"/>
            <w:tcMar>
              <w:top w:w="15" w:type="dxa"/>
              <w:left w:w="15" w:type="dxa"/>
              <w:bottom w:w="15" w:type="dxa"/>
              <w:right w:w="15" w:type="dxa"/>
            </w:tcMar>
            <w:hideMark/>
          </w:tcPr>
          <w:p w14:paraId="401D072A" w14:textId="77777777" w:rsidR="00503C32" w:rsidRDefault="00503C32" w:rsidP="004379C1">
            <w:pPr>
              <w:spacing w:before="30" w:after="30"/>
              <w:ind w:left="60" w:right="60"/>
            </w:pPr>
            <w:r>
              <w:rPr>
                <w:b/>
                <w:bCs/>
                <w:lang w:val="en-US"/>
              </w:rPr>
              <w:t>Danaher,​ P. J.,​Milazzo,​ N. A.,​Kerr,​ K. J.,​Lagasse,​ C. A.,​Lane,​ J. W.</w:t>
            </w:r>
            <w:r>
              <w:rPr>
                <w:lang w:val="en-US"/>
              </w:rPr>
              <w:t xml:space="preserve">. The antibiotic support team--a successful educational approach to antibiotic stewardship. </w:t>
            </w:r>
            <w:r>
              <w:rPr>
                <w:i/>
                <w:iCs/>
              </w:rPr>
              <w:t>Mil Med.</w:t>
            </w:r>
            <w:r>
              <w:t xml:space="preserve"> 2009. 174:201-5</w:t>
            </w:r>
          </w:p>
        </w:tc>
      </w:tr>
      <w:tr w:rsidR="00503C32" w14:paraId="6ADB87DB" w14:textId="77777777" w:rsidTr="004379C1">
        <w:tc>
          <w:tcPr>
            <w:tcW w:w="0" w:type="auto"/>
            <w:tcMar>
              <w:top w:w="15" w:type="dxa"/>
              <w:left w:w="15" w:type="dxa"/>
              <w:bottom w:w="15" w:type="dxa"/>
              <w:right w:w="15" w:type="dxa"/>
            </w:tcMar>
            <w:hideMark/>
          </w:tcPr>
          <w:p w14:paraId="4533AF5E" w14:textId="77777777" w:rsidR="00503C32" w:rsidRDefault="00503C32" w:rsidP="004379C1">
            <w:pPr>
              <w:spacing w:before="30" w:after="30"/>
              <w:ind w:left="60" w:right="60"/>
            </w:pPr>
            <w:r>
              <w:rPr>
                <w:b/>
                <w:bCs/>
              </w:rPr>
              <w:t>Daneman,​ Nick,​Lee,​ Samantha M.,​Bai,​ Heming,​Bell,​ Chaim M.,​Bronskill,​ Susan E.,​Campitelli,​ Michael A.,​Dobell,​ Gail,​Fu,​ Longdi,​Garber,​ Gary,​Ivers,​ Noah,​Lam,​ Jonathan M. C.,​Langford,​ Bradley J.,​Laur,​ Celia,​Morris,​ Andrew,​Mulhall,​ Cara,​Pinto,​ Ruxandra,​Saxena,​ Farah E.,​Schwartz,​ Kevin L.,​Brown,​ Kevin A.</w:t>
            </w:r>
            <w:r>
              <w:t xml:space="preserve">. </w:t>
            </w:r>
            <w:r>
              <w:rPr>
                <w:lang w:val="en-US"/>
              </w:rPr>
              <w:t xml:space="preserve">Population-Wide Peer Comparison Audit and Feedback to Reduce Antibiotic Initiation and Duration in Long-Term Care Facilities with Embedded Randomized Controlled Trial. </w:t>
            </w:r>
            <w:r>
              <w:rPr>
                <w:i/>
                <w:iCs/>
                <w:lang w:val="en-US"/>
              </w:rPr>
              <w:t>Clinical infectious diseases : an official publication of the Infectious Diseases Society of America.</w:t>
            </w:r>
            <w:r>
              <w:rPr>
                <w:lang w:val="en-US"/>
              </w:rPr>
              <w:t xml:space="preserve"> </w:t>
            </w:r>
            <w:r>
              <w:t>2021. #volume#:#pages#</w:t>
            </w:r>
          </w:p>
        </w:tc>
      </w:tr>
      <w:tr w:rsidR="00503C32" w14:paraId="7787117C" w14:textId="77777777" w:rsidTr="004379C1">
        <w:tc>
          <w:tcPr>
            <w:tcW w:w="0" w:type="auto"/>
            <w:tcMar>
              <w:top w:w="15" w:type="dxa"/>
              <w:left w:w="15" w:type="dxa"/>
              <w:bottom w:w="15" w:type="dxa"/>
              <w:right w:w="15" w:type="dxa"/>
            </w:tcMar>
            <w:hideMark/>
          </w:tcPr>
          <w:p w14:paraId="02F7CD2E" w14:textId="77777777" w:rsidR="00503C32" w:rsidRDefault="00503C32" w:rsidP="004379C1">
            <w:pPr>
              <w:spacing w:before="30" w:after="30"/>
              <w:ind w:left="60" w:right="60"/>
            </w:pPr>
            <w:r>
              <w:rPr>
                <w:b/>
                <w:bCs/>
              </w:rPr>
              <w:t>Das,​ Jishnu,​Chowdhury,​ Abhijit,​Hussam,​ Reshmaan,​Banerjee,​ Abhijit V.</w:t>
            </w:r>
            <w:r>
              <w:t xml:space="preserve">. </w:t>
            </w:r>
            <w:r>
              <w:rPr>
                <w:lang w:val="en-US"/>
              </w:rPr>
              <w:t xml:space="preserve">The impact of training informal health care providers in India: A randomized controlled trial. </w:t>
            </w:r>
            <w:r>
              <w:rPr>
                <w:i/>
                <w:iCs/>
              </w:rPr>
              <w:t>Science (New York,​ N.Y.).</w:t>
            </w:r>
            <w:r>
              <w:t xml:space="preserve"> 2016. 354:#pages#</w:t>
            </w:r>
          </w:p>
        </w:tc>
      </w:tr>
      <w:tr w:rsidR="00503C32" w14:paraId="627B3A33" w14:textId="77777777" w:rsidTr="004379C1">
        <w:tc>
          <w:tcPr>
            <w:tcW w:w="0" w:type="auto"/>
            <w:tcMar>
              <w:top w:w="15" w:type="dxa"/>
              <w:left w:w="15" w:type="dxa"/>
              <w:bottom w:w="15" w:type="dxa"/>
              <w:right w:w="15" w:type="dxa"/>
            </w:tcMar>
            <w:hideMark/>
          </w:tcPr>
          <w:p w14:paraId="13B6AF99" w14:textId="77777777" w:rsidR="00503C32" w:rsidRDefault="00503C32" w:rsidP="004379C1">
            <w:pPr>
              <w:rPr>
                <w:b/>
                <w:bCs/>
                <w:color w:val="333333"/>
              </w:rPr>
            </w:pPr>
            <w:r>
              <w:rPr>
                <w:b/>
                <w:bCs/>
                <w:color w:val="333333"/>
                <w:lang w:val="en-US"/>
              </w:rPr>
              <w:t>Davidoff, F.,Goodspeed, R.,Clive, J.</w:t>
            </w:r>
            <w:r>
              <w:rPr>
                <w:color w:val="333333"/>
                <w:lang w:val="en-US"/>
              </w:rPr>
              <w:t>. Changing test ordering behavior. A randomized controlled trial comparing probabilistic reasoning with cost-containment education. </w:t>
            </w:r>
            <w:r>
              <w:rPr>
                <w:i/>
                <w:iCs/>
                <w:color w:val="333333"/>
              </w:rPr>
              <w:t>Medical care.</w:t>
            </w:r>
            <w:r>
              <w:rPr>
                <w:color w:val="333333"/>
              </w:rPr>
              <w:t> 1989. 27:45-58</w:t>
            </w:r>
          </w:p>
        </w:tc>
      </w:tr>
      <w:tr w:rsidR="00503C32" w14:paraId="12BE6AB0" w14:textId="77777777" w:rsidTr="004379C1">
        <w:tc>
          <w:tcPr>
            <w:tcW w:w="0" w:type="auto"/>
            <w:tcMar>
              <w:top w:w="15" w:type="dxa"/>
              <w:left w:w="15" w:type="dxa"/>
              <w:bottom w:w="15" w:type="dxa"/>
              <w:right w:w="15" w:type="dxa"/>
            </w:tcMar>
            <w:hideMark/>
          </w:tcPr>
          <w:p w14:paraId="2C74AA85" w14:textId="77777777" w:rsidR="00503C32" w:rsidRDefault="00503C32" w:rsidP="004379C1">
            <w:pPr>
              <w:spacing w:before="30" w:after="30"/>
              <w:ind w:left="60" w:right="60"/>
            </w:pPr>
            <w:r>
              <w:rPr>
                <w:b/>
                <w:bCs/>
                <w:lang w:val="en-US"/>
              </w:rPr>
              <w:t>de Bont,​ Eefje G. P. M.,​Dinant,​ Geert-Jan,​Elshout,​ Gijs,​van Well,​ Gijs,​Francis,​ Nick A.,​Winkens,​ Bjorn,​Cals,​ Jochen W. L.</w:t>
            </w:r>
            <w:r>
              <w:rPr>
                <w:lang w:val="en-US"/>
              </w:rPr>
              <w:t xml:space="preserve">. Booklet for Childhood Fever in Out-of-Hours Primary Care: A Cluster-Randomized Controlled Trial. </w:t>
            </w:r>
            <w:r>
              <w:rPr>
                <w:i/>
                <w:iCs/>
              </w:rPr>
              <w:t>Annals of family medicine.</w:t>
            </w:r>
            <w:r>
              <w:t xml:space="preserve"> 2018. 16:314-321</w:t>
            </w:r>
          </w:p>
        </w:tc>
      </w:tr>
      <w:tr w:rsidR="00503C32" w14:paraId="29C0D434" w14:textId="77777777" w:rsidTr="004379C1">
        <w:tc>
          <w:tcPr>
            <w:tcW w:w="0" w:type="auto"/>
            <w:tcMar>
              <w:top w:w="15" w:type="dxa"/>
              <w:left w:w="15" w:type="dxa"/>
              <w:bottom w:w="15" w:type="dxa"/>
              <w:right w:w="15" w:type="dxa"/>
            </w:tcMar>
            <w:hideMark/>
          </w:tcPr>
          <w:p w14:paraId="031AF65E" w14:textId="77777777" w:rsidR="00503C32" w:rsidRPr="006917C1" w:rsidRDefault="00503C32" w:rsidP="004379C1">
            <w:pPr>
              <w:spacing w:before="30" w:after="30"/>
              <w:ind w:left="60" w:right="60"/>
              <w:rPr>
                <w:lang w:val="en-US"/>
              </w:rPr>
            </w:pPr>
            <w:r>
              <w:rPr>
                <w:b/>
                <w:bCs/>
                <w:lang w:val="en-US"/>
              </w:rPr>
              <w:t>de Burgh,​ S.,​Mant,​ A.,​Mattick,​ R. P.,​Donnelly,​ N.,​Hall,​ W.,​Bridges-Webb,​ C.</w:t>
            </w:r>
            <w:r>
              <w:rPr>
                <w:lang w:val="en-US"/>
              </w:rPr>
              <w:t xml:space="preserve">. A controlled trial of educational visiting to improve benzodiazepine prescribing in general practice. </w:t>
            </w:r>
            <w:r w:rsidRPr="006917C1">
              <w:rPr>
                <w:i/>
                <w:iCs/>
                <w:lang w:val="en-US"/>
              </w:rPr>
              <w:t>Australian journal of public health.</w:t>
            </w:r>
            <w:r w:rsidRPr="006917C1">
              <w:rPr>
                <w:lang w:val="en-US"/>
              </w:rPr>
              <w:t xml:space="preserve"> 1995. 19:142-8</w:t>
            </w:r>
          </w:p>
          <w:p w14:paraId="2E0FA885" w14:textId="3C6A23BA" w:rsidR="000655DA" w:rsidRDefault="000655DA" w:rsidP="000655DA">
            <w:pPr>
              <w:spacing w:before="30" w:after="30"/>
              <w:ind w:left="720" w:right="60"/>
            </w:pPr>
            <w:r>
              <w:rPr>
                <w:b/>
                <w:bCs/>
                <w:lang w:val="en-US"/>
              </w:rPr>
              <w:t>Mant,​ A.,​de Burgh,​ S.,​Mattick,​ R. P.,​Donnelly,​ N.,​Hall,​ W.</w:t>
            </w:r>
            <w:r>
              <w:rPr>
                <w:lang w:val="en-US"/>
              </w:rPr>
              <w:t xml:space="preserve">. Insomnia in general practice. Results from NSW General Practice Survey 1991-1992. </w:t>
            </w:r>
            <w:r>
              <w:rPr>
                <w:i/>
                <w:iCs/>
              </w:rPr>
              <w:t>Australian family physician.</w:t>
            </w:r>
            <w:r>
              <w:t xml:space="preserve"> 1996. Suppl 1:S15-18</w:t>
            </w:r>
          </w:p>
        </w:tc>
      </w:tr>
      <w:tr w:rsidR="00503C32" w14:paraId="5097DA60" w14:textId="77777777" w:rsidTr="004379C1">
        <w:tc>
          <w:tcPr>
            <w:tcW w:w="0" w:type="auto"/>
            <w:tcMar>
              <w:top w:w="15" w:type="dxa"/>
              <w:left w:w="15" w:type="dxa"/>
              <w:bottom w:w="15" w:type="dxa"/>
              <w:right w:w="15" w:type="dxa"/>
            </w:tcMar>
            <w:hideMark/>
          </w:tcPr>
          <w:p w14:paraId="65999938" w14:textId="77777777" w:rsidR="00503C32" w:rsidRDefault="00503C32" w:rsidP="004379C1">
            <w:pPr>
              <w:spacing w:before="30" w:after="30"/>
              <w:ind w:left="60" w:right="60"/>
            </w:pPr>
            <w:r>
              <w:rPr>
                <w:b/>
                <w:bCs/>
                <w:lang w:val="en-US"/>
              </w:rPr>
              <w:t>Dekker,​ Anne R. J.,​Verheij,​ Theo J. M.,​Broekhuizen,​ Berna D. L.,​Butler,​ Christopher C.,​Cals,​ Jochen W. L.,​Francis,​ Nick A.,​Little,​ Paul,​Sanders,​ Elisabeth A. M.,​Yardley,​ Lucy,​</w:t>
            </w:r>
            <w:r>
              <w:rPr>
                <w:b/>
                <w:bCs/>
                <w:lang w:val="en-US"/>
              </w:rPr>
              <w:lastRenderedPageBreak/>
              <w:t>Zuithoff,​ Nicolaas P. A.,​van der Velden,​ Alike W.</w:t>
            </w:r>
            <w:r>
              <w:rPr>
                <w:lang w:val="en-US"/>
              </w:rPr>
              <w:t xml:space="preserve">. Effectiveness of general practitioner online training and an information booklet for parents on antibiotic prescribing for children with respiratory tract infection in primary care: a cluster randomized controlled trial. </w:t>
            </w:r>
            <w:r>
              <w:rPr>
                <w:i/>
                <w:iCs/>
              </w:rPr>
              <w:t>The Journal of antimicrobial chemotherapy.</w:t>
            </w:r>
            <w:r>
              <w:t xml:space="preserve"> 2018. 73:1416-1422</w:t>
            </w:r>
          </w:p>
        </w:tc>
      </w:tr>
      <w:tr w:rsidR="00503C32" w14:paraId="096BC549" w14:textId="77777777" w:rsidTr="004379C1">
        <w:tc>
          <w:tcPr>
            <w:tcW w:w="0" w:type="auto"/>
            <w:tcMar>
              <w:top w:w="15" w:type="dxa"/>
              <w:left w:w="15" w:type="dxa"/>
              <w:bottom w:w="15" w:type="dxa"/>
              <w:right w:w="15" w:type="dxa"/>
            </w:tcMar>
            <w:hideMark/>
          </w:tcPr>
          <w:p w14:paraId="6CA17754" w14:textId="77777777" w:rsidR="00503C32" w:rsidRDefault="00503C32" w:rsidP="004379C1">
            <w:pPr>
              <w:spacing w:before="30" w:after="30"/>
              <w:ind w:left="60" w:right="60"/>
            </w:pPr>
            <w:r>
              <w:rPr>
                <w:b/>
                <w:bCs/>
                <w:lang w:val="en-US"/>
              </w:rPr>
              <w:lastRenderedPageBreak/>
              <w:t>Dey,​ Paola,​Simpson,​ Carl W. R.,​Collins,​ Stuart I.,​Hodgson,​ G.,​Dowrick,​ Christopher F.,​Simison,​ A. J. M.,​Rose,​ M. J.</w:t>
            </w:r>
            <w:r>
              <w:rPr>
                <w:lang w:val="en-US"/>
              </w:rPr>
              <w:t xml:space="preserve">. Implementation of RCGP guidelines for acute low back pain: a cluster randomised controlled trial. </w:t>
            </w:r>
            <w:r>
              <w:rPr>
                <w:i/>
                <w:iCs/>
                <w:lang w:val="en-US"/>
              </w:rPr>
              <w:t>The British journal of general practice : the journal of the Royal College of General Practitioners.</w:t>
            </w:r>
            <w:r>
              <w:rPr>
                <w:lang w:val="en-US"/>
              </w:rPr>
              <w:t xml:space="preserve"> </w:t>
            </w:r>
            <w:r>
              <w:t>2004. 54:33-37</w:t>
            </w:r>
          </w:p>
        </w:tc>
      </w:tr>
      <w:tr w:rsidR="00503C32" w14:paraId="63F3445C" w14:textId="77777777" w:rsidTr="004379C1">
        <w:tc>
          <w:tcPr>
            <w:tcW w:w="0" w:type="auto"/>
            <w:tcMar>
              <w:top w:w="15" w:type="dxa"/>
              <w:left w:w="15" w:type="dxa"/>
              <w:bottom w:w="15" w:type="dxa"/>
              <w:right w:w="15" w:type="dxa"/>
            </w:tcMar>
            <w:hideMark/>
          </w:tcPr>
          <w:p w14:paraId="067C2710" w14:textId="77777777" w:rsidR="00503C32" w:rsidRDefault="00503C32" w:rsidP="004379C1">
            <w:pPr>
              <w:spacing w:before="30" w:after="30"/>
              <w:ind w:left="60" w:right="60"/>
            </w:pPr>
            <w:r>
              <w:rPr>
                <w:b/>
                <w:bCs/>
                <w:lang w:val="en-US"/>
              </w:rPr>
              <w:t>Dormuth,​ Colin R.,​Carney,​ Greg,​Taylor,​ Suzanne,​Bassett,​ Ken,​Maclure,​ Malcolm</w:t>
            </w:r>
            <w:r>
              <w:rPr>
                <w:lang w:val="en-US"/>
              </w:rPr>
              <w:t xml:space="preserve">. A randomized trial assessing the impact of a personal printed feedback portrait on statin prescribing in primary care. </w:t>
            </w:r>
            <w:r>
              <w:rPr>
                <w:i/>
                <w:iCs/>
              </w:rPr>
              <w:t>The Journal of continuing education in the health professions.</w:t>
            </w:r>
            <w:r>
              <w:t xml:space="preserve"> 2012. 32:153-62</w:t>
            </w:r>
          </w:p>
        </w:tc>
      </w:tr>
      <w:tr w:rsidR="00503C32" w14:paraId="3CBC36DE" w14:textId="77777777" w:rsidTr="004379C1">
        <w:tc>
          <w:tcPr>
            <w:tcW w:w="0" w:type="auto"/>
            <w:tcMar>
              <w:top w:w="15" w:type="dxa"/>
              <w:left w:w="15" w:type="dxa"/>
              <w:bottom w:w="15" w:type="dxa"/>
              <w:right w:w="15" w:type="dxa"/>
            </w:tcMar>
            <w:hideMark/>
          </w:tcPr>
          <w:p w14:paraId="06927C6E" w14:textId="77777777" w:rsidR="00503C32" w:rsidRDefault="00503C32" w:rsidP="004379C1">
            <w:pPr>
              <w:spacing w:before="30" w:after="30"/>
              <w:ind w:left="60" w:right="60"/>
            </w:pPr>
            <w:r>
              <w:rPr>
                <w:b/>
                <w:bCs/>
                <w:lang w:val="en-US"/>
              </w:rPr>
              <w:t>Doyne,​ Emanuel O.,​Alfaro,​ Mary Pat,​Siegel,​ Robert M.,​Atherton,​ Harry D.,​Schoettker,​ Pamela J.,​Bernier,​ Jeralyn,​Kotagal,​ Uma R.</w:t>
            </w:r>
            <w:r>
              <w:rPr>
                <w:lang w:val="en-US"/>
              </w:rPr>
              <w:t xml:space="preserve">. A randomized controlled trial to change antibiotic prescribing patterns in a community. </w:t>
            </w:r>
            <w:r>
              <w:rPr>
                <w:i/>
                <w:iCs/>
              </w:rPr>
              <w:t>Archives of pediatrics &amp; adolescent medicine.</w:t>
            </w:r>
            <w:r>
              <w:t xml:space="preserve"> 2004. 158:577-83</w:t>
            </w:r>
          </w:p>
        </w:tc>
      </w:tr>
      <w:tr w:rsidR="00503C32" w14:paraId="3F49AC7B" w14:textId="77777777" w:rsidTr="00EF615C">
        <w:tc>
          <w:tcPr>
            <w:tcW w:w="9632" w:type="dxa"/>
            <w:tcMar>
              <w:top w:w="15" w:type="dxa"/>
              <w:left w:w="15" w:type="dxa"/>
              <w:bottom w:w="15" w:type="dxa"/>
              <w:right w:w="15" w:type="dxa"/>
            </w:tcMar>
            <w:hideMark/>
          </w:tcPr>
          <w:p w14:paraId="1B91B140" w14:textId="77777777" w:rsidR="00503C32" w:rsidRDefault="00503C32" w:rsidP="004379C1">
            <w:pPr>
              <w:spacing w:before="30" w:after="30"/>
              <w:ind w:left="60" w:right="60"/>
            </w:pPr>
            <w:r>
              <w:rPr>
                <w:b/>
                <w:bCs/>
                <w:lang w:val="en-US"/>
              </w:rPr>
              <w:t>Dreischulte,​ Tobias,​Donnan,​ Peter,​Grant,​ Aileen,​Hapca,​ Adrian,​McCowan,​ Colin,​Guthrie,​ Bruce</w:t>
            </w:r>
            <w:r>
              <w:rPr>
                <w:lang w:val="en-US"/>
              </w:rPr>
              <w:t xml:space="preserve">. Safer Prescribing--A Trial of Education,​ Informatics,​ and Financial Incentives. </w:t>
            </w:r>
            <w:r>
              <w:rPr>
                <w:i/>
                <w:iCs/>
              </w:rPr>
              <w:t>The New England journal of medicine.</w:t>
            </w:r>
            <w:r>
              <w:t xml:space="preserve"> 2016. 374:1053-64</w:t>
            </w:r>
          </w:p>
        </w:tc>
      </w:tr>
      <w:tr w:rsidR="00503C32" w14:paraId="039793A1" w14:textId="77777777" w:rsidTr="004379C1">
        <w:tc>
          <w:tcPr>
            <w:tcW w:w="0" w:type="auto"/>
            <w:tcMar>
              <w:top w:w="15" w:type="dxa"/>
              <w:left w:w="15" w:type="dxa"/>
              <w:bottom w:w="15" w:type="dxa"/>
              <w:right w:w="15" w:type="dxa"/>
            </w:tcMar>
            <w:hideMark/>
          </w:tcPr>
          <w:p w14:paraId="086AC86C" w14:textId="77777777" w:rsidR="00503C32" w:rsidRDefault="00503C32" w:rsidP="004379C1">
            <w:pPr>
              <w:spacing w:before="30" w:after="30"/>
              <w:ind w:left="60" w:right="60"/>
            </w:pPr>
            <w:r>
              <w:rPr>
                <w:b/>
                <w:bCs/>
                <w:lang w:val="en-US"/>
              </w:rPr>
              <w:t>Dudzinski,​ David M.,​Bhatia,​ R. Sacha,​Mi,​ Michael Y.,​Isselbacher,​ Eric M.,​Picard,​ Michael H.,​Weiner,​ Rory B.</w:t>
            </w:r>
            <w:r>
              <w:rPr>
                <w:lang w:val="en-US"/>
              </w:rPr>
              <w:t xml:space="preserve">. Effect of Educational Intervention on the Rate of Rarely Appropriate Outpatient Echocardiograms Ordered by Attending Academic Cardiologists: A Randomized Clinical Trial. </w:t>
            </w:r>
            <w:r>
              <w:rPr>
                <w:i/>
                <w:iCs/>
              </w:rPr>
              <w:t>JAMA cardiology.</w:t>
            </w:r>
            <w:r>
              <w:t xml:space="preserve"> 2016. 1:805-812</w:t>
            </w:r>
          </w:p>
        </w:tc>
      </w:tr>
      <w:tr w:rsidR="00503C32" w14:paraId="57BE0CC3" w14:textId="77777777" w:rsidTr="004379C1">
        <w:trPr>
          <w:trHeight w:val="906"/>
        </w:trPr>
        <w:tc>
          <w:tcPr>
            <w:tcW w:w="0" w:type="auto"/>
            <w:tcMar>
              <w:top w:w="15" w:type="dxa"/>
              <w:left w:w="15" w:type="dxa"/>
              <w:bottom w:w="15" w:type="dxa"/>
              <w:right w:w="15" w:type="dxa"/>
            </w:tcMar>
            <w:hideMark/>
          </w:tcPr>
          <w:p w14:paraId="69074A66" w14:textId="77777777" w:rsidR="00503C32" w:rsidRDefault="00503C32" w:rsidP="004379C1">
            <w:pPr>
              <w:rPr>
                <w:b/>
                <w:bCs/>
                <w:color w:val="333333"/>
              </w:rPr>
            </w:pPr>
            <w:r>
              <w:rPr>
                <w:b/>
                <w:bCs/>
                <w:color w:val="333333"/>
                <w:lang w:val="en-US"/>
              </w:rPr>
              <w:t>Du Yan, Lily,Dean, Kristin,Park, Daniel,Thompson, James,Tong, Ian,Liu, Cindy,Hamdy, Rana F.</w:t>
            </w:r>
            <w:r>
              <w:rPr>
                <w:color w:val="333333"/>
                <w:lang w:val="en-US"/>
              </w:rPr>
              <w:t>. Education vs Clinician Feedback on Antibiotic Prescriptions for Acute Respiratory Infections in Telemedicine: a Randomized Controlled Trial. </w:t>
            </w:r>
            <w:r>
              <w:rPr>
                <w:i/>
                <w:iCs/>
                <w:color w:val="333333"/>
              </w:rPr>
              <w:t>Journal of general internal medicine.</w:t>
            </w:r>
            <w:r>
              <w:rPr>
                <w:color w:val="333333"/>
              </w:rPr>
              <w:t> 2021. 36:305-312</w:t>
            </w:r>
          </w:p>
        </w:tc>
      </w:tr>
      <w:tr w:rsidR="00503C32" w14:paraId="5E5FE431" w14:textId="77777777" w:rsidTr="004379C1">
        <w:tc>
          <w:tcPr>
            <w:tcW w:w="0" w:type="auto"/>
            <w:tcMar>
              <w:top w:w="15" w:type="dxa"/>
              <w:left w:w="15" w:type="dxa"/>
              <w:bottom w:w="15" w:type="dxa"/>
              <w:right w:w="15" w:type="dxa"/>
            </w:tcMar>
            <w:hideMark/>
          </w:tcPr>
          <w:p w14:paraId="30FC6949" w14:textId="77777777" w:rsidR="00503C32" w:rsidRDefault="00503C32" w:rsidP="004379C1">
            <w:pPr>
              <w:spacing w:before="30" w:after="30"/>
              <w:ind w:left="60" w:right="60"/>
            </w:pPr>
            <w:r>
              <w:rPr>
                <w:b/>
                <w:bCs/>
                <w:lang w:val="en-US"/>
              </w:rPr>
              <w:t>Eccles,​ M.,​Steen,​ N.,​Grimshaw,​ J.,​Thomas,​ L.,​McNamee,​ P.,​Soutter,​ J.,​Wilsdon,​ J.,​Matowe,​ L.,​Needham,​ G.,​Gilbert,​ F.,​Bond,​ S.</w:t>
            </w:r>
            <w:r>
              <w:rPr>
                <w:lang w:val="en-US"/>
              </w:rPr>
              <w:t xml:space="preserve">. Effect of audit and feedback,​ and reminder messages on primary-care radiology referrals: a randomised trial. </w:t>
            </w:r>
            <w:r>
              <w:rPr>
                <w:i/>
                <w:iCs/>
              </w:rPr>
              <w:t>Lancet (London,​ England).</w:t>
            </w:r>
            <w:r>
              <w:t xml:space="preserve"> 2001. 357:1406-9</w:t>
            </w:r>
          </w:p>
        </w:tc>
      </w:tr>
      <w:tr w:rsidR="00503C32" w14:paraId="7586C665" w14:textId="77777777" w:rsidTr="004379C1">
        <w:tc>
          <w:tcPr>
            <w:tcW w:w="0" w:type="auto"/>
            <w:tcMar>
              <w:top w:w="15" w:type="dxa"/>
              <w:left w:w="15" w:type="dxa"/>
              <w:bottom w:w="15" w:type="dxa"/>
              <w:right w:w="15" w:type="dxa"/>
            </w:tcMar>
            <w:hideMark/>
          </w:tcPr>
          <w:p w14:paraId="1FC2215E" w14:textId="77777777" w:rsidR="00503C32" w:rsidRDefault="00503C32" w:rsidP="004379C1">
            <w:pPr>
              <w:spacing w:before="30" w:after="30"/>
              <w:ind w:left="60" w:right="60"/>
            </w:pPr>
            <w:r>
              <w:rPr>
                <w:b/>
                <w:bCs/>
                <w:lang w:val="en-US"/>
              </w:rPr>
              <w:t>Egan,​ Katie G.,​ De Souza,​ Michelle,​ Muenks,​ Elizabeth,​ Nazir,​ Niaman,​ Korentager,​ Richard</w:t>
            </w:r>
            <w:r>
              <w:rPr>
                <w:lang w:val="en-US"/>
              </w:rPr>
              <w:t xml:space="preserve">. Opioid Consumption Following Breast Surgery Decreases with a Brief Educational Intervention: A Randomized,​ Controlled Trial. </w:t>
            </w:r>
            <w:r>
              <w:rPr>
                <w:i/>
                <w:iCs/>
              </w:rPr>
              <w:t>Annals of surgical oncology.</w:t>
            </w:r>
            <w:r>
              <w:t xml:space="preserve"> 2020. 27:3156-3162</w:t>
            </w:r>
          </w:p>
        </w:tc>
      </w:tr>
      <w:tr w:rsidR="00503C32" w14:paraId="23D762E7" w14:textId="77777777" w:rsidTr="004379C1">
        <w:tc>
          <w:tcPr>
            <w:tcW w:w="0" w:type="auto"/>
            <w:tcMar>
              <w:top w:w="15" w:type="dxa"/>
              <w:left w:w="15" w:type="dxa"/>
              <w:bottom w:w="15" w:type="dxa"/>
              <w:right w:w="15" w:type="dxa"/>
            </w:tcMar>
            <w:hideMark/>
          </w:tcPr>
          <w:p w14:paraId="4E761A2F" w14:textId="77777777" w:rsidR="00503C32" w:rsidRDefault="00503C32" w:rsidP="004379C1">
            <w:pPr>
              <w:spacing w:before="30" w:after="30"/>
              <w:ind w:left="60" w:right="60"/>
            </w:pPr>
            <w:r>
              <w:rPr>
                <w:b/>
                <w:bCs/>
              </w:rPr>
              <w:t>Eilermann,​ Kerstin,​Halstenberg,​ Katrin,​Kuntz,​ Ludwig,​Martakis,​ Kyriakos,​Roth,​ Bernhard,​Wiesen,​ Daniel</w:t>
            </w:r>
            <w:r>
              <w:t xml:space="preserve">. </w:t>
            </w:r>
            <w:r>
              <w:rPr>
                <w:lang w:val="en-US"/>
              </w:rPr>
              <w:t xml:space="preserve">The Effect of Expert Feedback on Antibiotic Prescribing in Pediatrics: Experimental Evidence. </w:t>
            </w:r>
            <w:r>
              <w:rPr>
                <w:i/>
                <w:iCs/>
                <w:lang w:val="en-US"/>
              </w:rPr>
              <w:t>Medical decision making : an international journal of the Society for Medical Decision Making.</w:t>
            </w:r>
            <w:r>
              <w:rPr>
                <w:lang w:val="en-US"/>
              </w:rPr>
              <w:t xml:space="preserve"> </w:t>
            </w:r>
            <w:r>
              <w:t>2019. 39:781-795</w:t>
            </w:r>
          </w:p>
        </w:tc>
      </w:tr>
      <w:tr w:rsidR="00503C32" w14:paraId="4BAABB1B" w14:textId="77777777" w:rsidTr="004379C1">
        <w:tc>
          <w:tcPr>
            <w:tcW w:w="0" w:type="auto"/>
            <w:tcMar>
              <w:top w:w="15" w:type="dxa"/>
              <w:left w:w="15" w:type="dxa"/>
              <w:bottom w:w="15" w:type="dxa"/>
              <w:right w:w="15" w:type="dxa"/>
            </w:tcMar>
            <w:hideMark/>
          </w:tcPr>
          <w:p w14:paraId="18FA0BFD" w14:textId="77777777" w:rsidR="00503C32" w:rsidRDefault="00503C32" w:rsidP="004379C1">
            <w:pPr>
              <w:spacing w:before="30" w:after="30"/>
              <w:ind w:left="60" w:right="60"/>
            </w:pPr>
            <w:r>
              <w:rPr>
                <w:b/>
                <w:bCs/>
                <w:lang w:val="en-US"/>
              </w:rPr>
              <w:t>Elouafkaoui,​ Paula,​Young,​ Linda,​Newlands,​ Rumana,​Duncan,​ Eilidh M.,​Elders,​ Andrew,​Clarkson,​ Jan E.,​Ramsay,​ Craig R.,​Translation Research in a Dental Setting Research Methodology,​ Group</w:t>
            </w:r>
            <w:r>
              <w:rPr>
                <w:lang w:val="en-US"/>
              </w:rPr>
              <w:t xml:space="preserve">. An Audit and Feedback Intervention for Reducing Antibiotic Prescribing in General Dental Practice: The RAPiD Cluster Randomised Controlled Trial. </w:t>
            </w:r>
            <w:r>
              <w:rPr>
                <w:i/>
                <w:iCs/>
              </w:rPr>
              <w:t>PLoS medicine.</w:t>
            </w:r>
            <w:r>
              <w:t xml:space="preserve"> 2016. 13:e1002115</w:t>
            </w:r>
          </w:p>
        </w:tc>
      </w:tr>
      <w:tr w:rsidR="00503C32" w14:paraId="6DE104C6" w14:textId="77777777" w:rsidTr="004379C1">
        <w:tc>
          <w:tcPr>
            <w:tcW w:w="0" w:type="auto"/>
            <w:tcMar>
              <w:top w:w="15" w:type="dxa"/>
              <w:left w:w="15" w:type="dxa"/>
              <w:bottom w:w="15" w:type="dxa"/>
              <w:right w:w="15" w:type="dxa"/>
            </w:tcMar>
            <w:hideMark/>
          </w:tcPr>
          <w:p w14:paraId="6FD8DE9C" w14:textId="77777777" w:rsidR="00503C32" w:rsidRDefault="00503C32" w:rsidP="004379C1">
            <w:pPr>
              <w:spacing w:before="30" w:after="30"/>
              <w:ind w:left="60" w:right="60"/>
            </w:pPr>
            <w:r>
              <w:rPr>
                <w:b/>
                <w:bCs/>
                <w:lang w:val="en-US"/>
              </w:rPr>
              <w:t>Eltayeb,​ I. B.,​Awad,​ A. I.,​Mohamed-Salih,​ M. S.,​Daffa-Alla,​ M. A.,​Ahmed,​ M. B.,​Ogail,​ M. A.,​Matowe,​ L.</w:t>
            </w:r>
            <w:r>
              <w:rPr>
                <w:lang w:val="en-US"/>
              </w:rPr>
              <w:t xml:space="preserve">. Changing the prescribing patterns of sexually transmitted infections in the White Nile Region of Sudan. </w:t>
            </w:r>
            <w:r>
              <w:rPr>
                <w:i/>
                <w:iCs/>
              </w:rPr>
              <w:t>Sexually transmitted infections.</w:t>
            </w:r>
            <w:r>
              <w:t xml:space="preserve"> 2005. 81:426-7</w:t>
            </w:r>
          </w:p>
        </w:tc>
      </w:tr>
      <w:tr w:rsidR="00503C32" w14:paraId="2F059DC2" w14:textId="77777777" w:rsidTr="004379C1">
        <w:tc>
          <w:tcPr>
            <w:tcW w:w="0" w:type="auto"/>
            <w:tcMar>
              <w:top w:w="15" w:type="dxa"/>
              <w:left w:w="15" w:type="dxa"/>
              <w:bottom w:w="15" w:type="dxa"/>
              <w:right w:w="15" w:type="dxa"/>
            </w:tcMar>
            <w:hideMark/>
          </w:tcPr>
          <w:p w14:paraId="6C8114BE" w14:textId="77777777" w:rsidR="00503C32" w:rsidRDefault="00503C32" w:rsidP="004379C1">
            <w:pPr>
              <w:spacing w:before="30" w:after="30"/>
              <w:ind w:left="60" w:right="60"/>
            </w:pPr>
            <w:r>
              <w:rPr>
                <w:b/>
                <w:bCs/>
                <w:lang w:val="en-US"/>
              </w:rPr>
              <w:t>English,​ D. R.,​Burton,​ R. C.,​Del Mar,​ C. B.,​Donovan,​ R. J.,​Ireland,​ P. D.,​Emery,​ G.</w:t>
            </w:r>
            <w:r>
              <w:rPr>
                <w:lang w:val="en-US"/>
              </w:rPr>
              <w:t xml:space="preserve">. Evaluation of aid to diagnosis of pigmented skin lesions in general practice: Controlled trial </w:t>
            </w:r>
            <w:r>
              <w:rPr>
                <w:lang w:val="en-US"/>
              </w:rPr>
              <w:lastRenderedPageBreak/>
              <w:t xml:space="preserve">randomised by practice. </w:t>
            </w:r>
            <w:r>
              <w:rPr>
                <w:i/>
                <w:iCs/>
              </w:rPr>
              <w:t>British Medical Journal.</w:t>
            </w:r>
            <w:r>
              <w:t xml:space="preserve"> 2003. 327:375-378</w:t>
            </w:r>
          </w:p>
        </w:tc>
      </w:tr>
      <w:tr w:rsidR="00503C32" w14:paraId="62CD1734" w14:textId="77777777" w:rsidTr="004379C1">
        <w:tc>
          <w:tcPr>
            <w:tcW w:w="0" w:type="auto"/>
            <w:tcMar>
              <w:top w:w="15" w:type="dxa"/>
              <w:left w:w="15" w:type="dxa"/>
              <w:bottom w:w="15" w:type="dxa"/>
              <w:right w:w="15" w:type="dxa"/>
            </w:tcMar>
            <w:hideMark/>
          </w:tcPr>
          <w:p w14:paraId="0581E223" w14:textId="77777777" w:rsidR="00503C32" w:rsidRDefault="00503C32" w:rsidP="004379C1">
            <w:pPr>
              <w:spacing w:before="30" w:after="30"/>
              <w:ind w:left="60" w:right="60"/>
            </w:pPr>
            <w:r>
              <w:rPr>
                <w:b/>
                <w:bCs/>
                <w:lang w:val="en-US"/>
              </w:rPr>
              <w:lastRenderedPageBreak/>
              <w:t>Esmaily,​ H. M.,​Silver,​ I.,​Shiva,​ S.,​Gargani,​ A.,​Maleki-Dizaji,​ N.,​Al-Maniri,​ A.,​Wahlstrom,​ R.</w:t>
            </w:r>
            <w:r>
              <w:rPr>
                <w:lang w:val="en-US"/>
              </w:rPr>
              <w:t xml:space="preserve">. Can rational prescribing be improved by an outcome-based educational approach? A randomized trial completed in Iran. </w:t>
            </w:r>
            <w:r>
              <w:rPr>
                <w:i/>
                <w:iCs/>
                <w:lang w:val="en-US"/>
              </w:rPr>
              <w:t>Journal of Continuing Education in the Health Professions.</w:t>
            </w:r>
            <w:r>
              <w:rPr>
                <w:lang w:val="en-US"/>
              </w:rPr>
              <w:t xml:space="preserve"> </w:t>
            </w:r>
            <w:r>
              <w:t>2010. 30:11-18</w:t>
            </w:r>
          </w:p>
        </w:tc>
      </w:tr>
      <w:tr w:rsidR="00503C32" w14:paraId="2AD11A47" w14:textId="77777777" w:rsidTr="004379C1">
        <w:tc>
          <w:tcPr>
            <w:tcW w:w="0" w:type="auto"/>
            <w:tcMar>
              <w:top w:w="15" w:type="dxa"/>
              <w:left w:w="15" w:type="dxa"/>
              <w:bottom w:w="15" w:type="dxa"/>
              <w:right w:w="15" w:type="dxa"/>
            </w:tcMar>
            <w:hideMark/>
          </w:tcPr>
          <w:p w14:paraId="71001276" w14:textId="77777777" w:rsidR="00503C32" w:rsidRDefault="00503C32" w:rsidP="004379C1">
            <w:pPr>
              <w:spacing w:before="30" w:after="30"/>
              <w:ind w:left="60" w:right="60"/>
            </w:pPr>
            <w:r>
              <w:rPr>
                <w:b/>
                <w:bCs/>
                <w:lang w:val="en-US"/>
              </w:rPr>
              <w:t>Evans,​ L. K.,​Strumpf,​ N. E.,​Allen-Taylor,​ S. L.,​Capezuti,​ E.,​Maislin,​ G.,​Jacobsen,​ B.</w:t>
            </w:r>
            <w:r>
              <w:rPr>
                <w:lang w:val="en-US"/>
              </w:rPr>
              <w:t xml:space="preserve">. A clinical trial to reduce restraints in nursing homes. </w:t>
            </w:r>
            <w:r>
              <w:rPr>
                <w:i/>
                <w:iCs/>
                <w:lang w:val="en-US"/>
              </w:rPr>
              <w:t>J Am Geriatr Soc.</w:t>
            </w:r>
            <w:r>
              <w:rPr>
                <w:lang w:val="en-US"/>
              </w:rPr>
              <w:t xml:space="preserve"> 1997. </w:t>
            </w:r>
            <w:r>
              <w:t>45:675-81</w:t>
            </w:r>
          </w:p>
        </w:tc>
      </w:tr>
      <w:tr w:rsidR="00503C32" w14:paraId="4E9EA4F2" w14:textId="77777777" w:rsidTr="004379C1">
        <w:tc>
          <w:tcPr>
            <w:tcW w:w="0" w:type="auto"/>
            <w:tcMar>
              <w:top w:w="15" w:type="dxa"/>
              <w:left w:w="15" w:type="dxa"/>
              <w:bottom w:w="15" w:type="dxa"/>
              <w:right w:w="15" w:type="dxa"/>
            </w:tcMar>
            <w:hideMark/>
          </w:tcPr>
          <w:p w14:paraId="32E9CE5D" w14:textId="77777777" w:rsidR="00503C32" w:rsidRDefault="00503C32" w:rsidP="004379C1">
            <w:pPr>
              <w:spacing w:before="30" w:after="30"/>
              <w:ind w:left="60" w:right="60"/>
            </w:pPr>
            <w:r>
              <w:rPr>
                <w:b/>
                <w:bCs/>
                <w:lang w:val="en-US"/>
              </w:rPr>
              <w:t>Feldman,​ Leonard S.,​Shihab,​ Hasan M.,​Thiemann,​ David,​Yeh,​ Hsin-Chieh,​Ardolino,​ Margaret,​Mandell,​ Steven,​Brotman,​ Daniel J.</w:t>
            </w:r>
            <w:r>
              <w:rPr>
                <w:lang w:val="en-US"/>
              </w:rPr>
              <w:t xml:space="preserve">. Impact of providing fee data on laboratory test ordering: a controlled clinical trial. </w:t>
            </w:r>
            <w:r>
              <w:rPr>
                <w:i/>
                <w:iCs/>
              </w:rPr>
              <w:t>JAMA internal medicine.</w:t>
            </w:r>
            <w:r>
              <w:t xml:space="preserve"> 2013. 173:903-8</w:t>
            </w:r>
          </w:p>
        </w:tc>
      </w:tr>
      <w:tr w:rsidR="00503C32" w14:paraId="7A205FBC" w14:textId="77777777" w:rsidTr="004379C1">
        <w:tc>
          <w:tcPr>
            <w:tcW w:w="0" w:type="auto"/>
            <w:tcMar>
              <w:top w:w="15" w:type="dxa"/>
              <w:left w:w="15" w:type="dxa"/>
              <w:bottom w:w="15" w:type="dxa"/>
              <w:right w:w="15" w:type="dxa"/>
            </w:tcMar>
            <w:hideMark/>
          </w:tcPr>
          <w:p w14:paraId="372AA59E" w14:textId="77777777" w:rsidR="00503C32" w:rsidRDefault="00503C32" w:rsidP="004379C1">
            <w:pPr>
              <w:spacing w:before="30" w:after="30"/>
              <w:ind w:left="60" w:right="60"/>
            </w:pPr>
            <w:r>
              <w:rPr>
                <w:b/>
                <w:bCs/>
                <w:lang w:val="en-US"/>
              </w:rPr>
              <w:t>Fenton,​ Joshua J.,​Kravitz,​ Richard L.,​Jerant,​ Anthony,​Paterniti,​ Debora A.,​Bang,​ Heejung,​Williams,​ Donna,​Epstein,​ Ronald M.,​Franks,​ Peter</w:t>
            </w:r>
            <w:r>
              <w:rPr>
                <w:lang w:val="en-US"/>
              </w:rPr>
              <w:t xml:space="preserve">. Promoting Patient-Centered Counseling to Reduce Use of Low-Value Diagnostic Tests: A Randomized Clinical Trial. </w:t>
            </w:r>
            <w:r>
              <w:rPr>
                <w:i/>
                <w:iCs/>
              </w:rPr>
              <w:t>JAMA internal medicine.</w:t>
            </w:r>
            <w:r>
              <w:t xml:space="preserve"> 2016. 176:191-7</w:t>
            </w:r>
          </w:p>
        </w:tc>
      </w:tr>
      <w:tr w:rsidR="00503C32" w14:paraId="3CA9BB99" w14:textId="77777777" w:rsidTr="004379C1">
        <w:tc>
          <w:tcPr>
            <w:tcW w:w="0" w:type="auto"/>
            <w:tcMar>
              <w:top w:w="15" w:type="dxa"/>
              <w:left w:w="15" w:type="dxa"/>
              <w:bottom w:w="15" w:type="dxa"/>
              <w:right w:w="15" w:type="dxa"/>
            </w:tcMar>
            <w:hideMark/>
          </w:tcPr>
          <w:p w14:paraId="4705981F" w14:textId="77777777" w:rsidR="00503C32" w:rsidRDefault="00503C32" w:rsidP="004379C1">
            <w:pPr>
              <w:spacing w:before="30" w:after="30"/>
              <w:ind w:left="60" w:right="60"/>
            </w:pPr>
            <w:r>
              <w:rPr>
                <w:b/>
                <w:bCs/>
                <w:lang w:val="en-US"/>
              </w:rPr>
              <w:t>Fine,​ M. J.,​Stone,​ R. A.,​Lave,​ J. R.,​Hough,​ L. J.,​Obrosky,​ D. S.,​Mor,​ M. K.,​Kapoor,​ W. N.</w:t>
            </w:r>
            <w:r>
              <w:rPr>
                <w:lang w:val="en-US"/>
              </w:rPr>
              <w:t xml:space="preserve">. Implementation of an evidence-based guideline to reduce duration of intravenous antibiotic therapy and length of stay for patients hospitalized with community-acquired pneumonia: a randomized controlled trial. </w:t>
            </w:r>
            <w:r>
              <w:rPr>
                <w:i/>
                <w:iCs/>
              </w:rPr>
              <w:t>Am J Med.</w:t>
            </w:r>
            <w:r>
              <w:t xml:space="preserve"> 2003. 115:343-51</w:t>
            </w:r>
          </w:p>
        </w:tc>
      </w:tr>
      <w:tr w:rsidR="00503C32" w14:paraId="3A2A53BA" w14:textId="77777777" w:rsidTr="004379C1">
        <w:tc>
          <w:tcPr>
            <w:tcW w:w="0" w:type="auto"/>
            <w:tcMar>
              <w:top w:w="15" w:type="dxa"/>
              <w:left w:w="15" w:type="dxa"/>
              <w:bottom w:w="15" w:type="dxa"/>
              <w:right w:w="15" w:type="dxa"/>
            </w:tcMar>
            <w:hideMark/>
          </w:tcPr>
          <w:p w14:paraId="568EAA5B" w14:textId="77777777" w:rsidR="00503C32" w:rsidRDefault="00503C32" w:rsidP="004379C1">
            <w:pPr>
              <w:spacing w:before="30" w:after="30"/>
              <w:ind w:left="60" w:right="60"/>
            </w:pPr>
            <w:r>
              <w:rPr>
                <w:b/>
                <w:bCs/>
                <w:lang w:val="en-US"/>
              </w:rPr>
              <w:t>Finkelstein,​ J. A.,​Davis,​ R. L.,​Dowell,​ S. F.,​Metlay,​ J. P.,​Soumerai,​ S. B.,​Rifas-Shiman,​ S. L.,​Higham,​ M.,​Miller,​ Z.,​Miroshnik,​ I.,​Pedan,​ A.,​Platt,​ R.</w:t>
            </w:r>
            <w:r>
              <w:rPr>
                <w:lang w:val="en-US"/>
              </w:rPr>
              <w:t xml:space="preserve">. Reducing antibiotic use in children: a randomized trial in 12 practices. </w:t>
            </w:r>
            <w:r>
              <w:rPr>
                <w:i/>
                <w:iCs/>
              </w:rPr>
              <w:t>Pediatrics.</w:t>
            </w:r>
            <w:r>
              <w:t xml:space="preserve"> 2001. 108:1-7</w:t>
            </w:r>
          </w:p>
        </w:tc>
      </w:tr>
      <w:tr w:rsidR="00503C32" w14:paraId="5D80BB10" w14:textId="77777777" w:rsidTr="004379C1">
        <w:tc>
          <w:tcPr>
            <w:tcW w:w="0" w:type="auto"/>
            <w:tcMar>
              <w:top w:w="15" w:type="dxa"/>
              <w:left w:w="15" w:type="dxa"/>
              <w:bottom w:w="15" w:type="dxa"/>
              <w:right w:w="15" w:type="dxa"/>
            </w:tcMar>
            <w:hideMark/>
          </w:tcPr>
          <w:p w14:paraId="04DAEB47" w14:textId="77777777" w:rsidR="00503C32" w:rsidRDefault="00503C32" w:rsidP="004379C1">
            <w:pPr>
              <w:spacing w:before="30" w:after="30"/>
              <w:ind w:left="60" w:right="60"/>
            </w:pPr>
            <w:r>
              <w:rPr>
                <w:b/>
                <w:bCs/>
                <w:lang w:val="en-US"/>
              </w:rPr>
              <w:t>Finkelstein,​ Jonathan A.,​Huang,​ Susan S.,​Kleinman,​ Ken,​Rifas-Shiman,​ Sheryl L.,​Stille,​ Christopher J.,​Daniel,​ James,​Schiff,​ Nancy,​Steingard,​ Ron,​Soumerai,​ Stephen B.,​Ross-Degnan,​ Dennis,​Goldmann,​ Donald,​Platt,​ Richard</w:t>
            </w:r>
            <w:r>
              <w:rPr>
                <w:lang w:val="en-US"/>
              </w:rPr>
              <w:t xml:space="preserve">. Impact of a 16-community trial to promote judicious antibiotic use in Massachusetts. </w:t>
            </w:r>
            <w:r>
              <w:rPr>
                <w:i/>
                <w:iCs/>
              </w:rPr>
              <w:t>Pediatrics.</w:t>
            </w:r>
            <w:r>
              <w:t xml:space="preserve"> 2008. 121:e15-23</w:t>
            </w:r>
          </w:p>
        </w:tc>
      </w:tr>
      <w:tr w:rsidR="00503C32" w14:paraId="2E8A130E" w14:textId="77777777" w:rsidTr="004379C1">
        <w:tc>
          <w:tcPr>
            <w:tcW w:w="0" w:type="auto"/>
            <w:tcMar>
              <w:top w:w="15" w:type="dxa"/>
              <w:left w:w="15" w:type="dxa"/>
              <w:bottom w:w="15" w:type="dxa"/>
              <w:right w:w="15" w:type="dxa"/>
            </w:tcMar>
            <w:hideMark/>
          </w:tcPr>
          <w:p w14:paraId="2E953E76" w14:textId="77777777" w:rsidR="00503C32" w:rsidRDefault="00503C32" w:rsidP="004379C1">
            <w:pPr>
              <w:spacing w:before="30" w:after="30"/>
              <w:ind w:left="60" w:right="60"/>
            </w:pPr>
            <w:r>
              <w:rPr>
                <w:b/>
                <w:bCs/>
                <w:lang w:val="en-US"/>
              </w:rPr>
              <w:t>Fleet,​ Elizabeth,​Gopal Rao,​ G.,​Patel,​ Bharat,​Cookson,​ Barry,​Charlett,​ Andre,​Bowman,​ Clive,​Davey,​ Peter</w:t>
            </w:r>
            <w:r>
              <w:rPr>
                <w:lang w:val="en-US"/>
              </w:rPr>
              <w:t xml:space="preserve">. Impact of implementation of a novel antimicrobial stewardship tool on antibiotic use in nursing homes: a prospective cluster randomized control pilot study. </w:t>
            </w:r>
            <w:r>
              <w:rPr>
                <w:i/>
                <w:iCs/>
              </w:rPr>
              <w:t>The Journal of antimicrobial chemotherapy.</w:t>
            </w:r>
            <w:r>
              <w:t xml:space="preserve"> 2014. 69:2265-73</w:t>
            </w:r>
          </w:p>
        </w:tc>
      </w:tr>
      <w:tr w:rsidR="00503C32" w14:paraId="4B14B7A5" w14:textId="77777777" w:rsidTr="004379C1">
        <w:tc>
          <w:tcPr>
            <w:tcW w:w="0" w:type="auto"/>
            <w:tcMar>
              <w:top w:w="15" w:type="dxa"/>
              <w:left w:w="15" w:type="dxa"/>
              <w:bottom w:w="15" w:type="dxa"/>
              <w:right w:w="15" w:type="dxa"/>
            </w:tcMar>
            <w:hideMark/>
          </w:tcPr>
          <w:p w14:paraId="0209BFEE" w14:textId="77777777" w:rsidR="00503C32" w:rsidRDefault="00503C32" w:rsidP="004379C1">
            <w:pPr>
              <w:spacing w:before="30" w:after="30"/>
              <w:ind w:left="60" w:right="60"/>
            </w:pPr>
            <w:r>
              <w:rPr>
                <w:b/>
                <w:bCs/>
                <w:lang w:val="en-US"/>
              </w:rPr>
              <w:t>Flottorp,​ S.,​Oxman,​ A. D.,​Håvelsrud,​ K.,​Treweek,​ S.,​Herrin,​ J.</w:t>
            </w:r>
            <w:r>
              <w:rPr>
                <w:lang w:val="en-US"/>
              </w:rPr>
              <w:t xml:space="preserve">. Cluster randomised controlled trial of tailored interventions to improve the management of urinary tract infections in women and sore throat. </w:t>
            </w:r>
            <w:r>
              <w:rPr>
                <w:i/>
                <w:iCs/>
              </w:rPr>
              <w:t>Bmj.</w:t>
            </w:r>
            <w:r>
              <w:t xml:space="preserve"> 2002. 325:367</w:t>
            </w:r>
          </w:p>
        </w:tc>
      </w:tr>
      <w:tr w:rsidR="00503C32" w14:paraId="548605DF" w14:textId="77777777" w:rsidTr="004379C1">
        <w:tc>
          <w:tcPr>
            <w:tcW w:w="0" w:type="auto"/>
            <w:tcMar>
              <w:top w:w="15" w:type="dxa"/>
              <w:left w:w="15" w:type="dxa"/>
              <w:bottom w:w="15" w:type="dxa"/>
              <w:right w:w="15" w:type="dxa"/>
            </w:tcMar>
            <w:hideMark/>
          </w:tcPr>
          <w:p w14:paraId="74D618E5" w14:textId="77777777" w:rsidR="00503C32" w:rsidRDefault="00503C32" w:rsidP="004379C1">
            <w:pPr>
              <w:spacing w:before="30" w:after="30"/>
              <w:ind w:left="60" w:right="60"/>
            </w:pPr>
            <w:r>
              <w:rPr>
                <w:b/>
                <w:bCs/>
                <w:lang w:val="en-US"/>
              </w:rPr>
              <w:t>Fortuna,​ Robert J.,​Zhang,​ Fang,​Ross-Degnan,​ Dennis,​Campion,​ Francis X.,​Finkelstein,​ Jonathan A.,​Kotch,​ Jamie B.,​Feldstein,​ Adrianne C.,​Smith,​ David H.,​Simon,​ Steven R.</w:t>
            </w:r>
            <w:r>
              <w:rPr>
                <w:lang w:val="en-US"/>
              </w:rPr>
              <w:t xml:space="preserve">. Reducing the prescribing of heavily marketed medications: a randomized controlled trial. </w:t>
            </w:r>
            <w:r>
              <w:rPr>
                <w:i/>
                <w:iCs/>
              </w:rPr>
              <w:t>Journal of general internal medicine.</w:t>
            </w:r>
            <w:r>
              <w:t xml:space="preserve"> 2009. 24:897-903</w:t>
            </w:r>
          </w:p>
        </w:tc>
      </w:tr>
      <w:tr w:rsidR="00F552CD" w14:paraId="652E7A7F" w14:textId="77777777" w:rsidTr="004379C1">
        <w:tc>
          <w:tcPr>
            <w:tcW w:w="0" w:type="auto"/>
            <w:tcMar>
              <w:top w:w="15" w:type="dxa"/>
              <w:left w:w="15" w:type="dxa"/>
              <w:bottom w:w="15" w:type="dxa"/>
              <w:right w:w="15" w:type="dxa"/>
            </w:tcMar>
          </w:tcPr>
          <w:p w14:paraId="3E4B2DF2" w14:textId="7625A9F3" w:rsidR="00F552CD" w:rsidRPr="00F552CD" w:rsidRDefault="00F552CD" w:rsidP="00F552CD">
            <w:pPr>
              <w:spacing w:before="30" w:after="30"/>
              <w:ind w:left="60" w:right="60"/>
              <w:rPr>
                <w:b/>
                <w:bCs/>
              </w:rPr>
            </w:pPr>
            <w:r w:rsidRPr="00F552CD">
              <w:rPr>
                <w:b/>
                <w:bCs/>
                <w:lang w:val="en-US"/>
              </w:rPr>
              <w:t xml:space="preserve">Foxman B, Valdez RB, Lohr KN, Goldberg GA, Newhouse JP, Brook RH. </w:t>
            </w:r>
            <w:r w:rsidRPr="00F552CD">
              <w:rPr>
                <w:bCs/>
                <w:lang w:val="en-US"/>
              </w:rPr>
              <w:t>The effect of cost sharing on the use of antibiotics in ambulatory care: results from a population-based randomized controlled trial. </w:t>
            </w:r>
            <w:r w:rsidRPr="00F552CD">
              <w:rPr>
                <w:bCs/>
                <w:i/>
                <w:iCs/>
              </w:rPr>
              <w:t>J Chronic Dis</w:t>
            </w:r>
            <w:r w:rsidRPr="00F552CD">
              <w:rPr>
                <w:bCs/>
              </w:rPr>
              <w:t>. 1987;40(5):429-437. doi:10.1016/0021-9681(87)90176-7</w:t>
            </w:r>
          </w:p>
        </w:tc>
      </w:tr>
      <w:tr w:rsidR="00503C32" w14:paraId="646F0D50" w14:textId="77777777" w:rsidTr="004379C1">
        <w:tc>
          <w:tcPr>
            <w:tcW w:w="0" w:type="auto"/>
            <w:tcMar>
              <w:top w:w="15" w:type="dxa"/>
              <w:left w:w="15" w:type="dxa"/>
              <w:bottom w:w="15" w:type="dxa"/>
              <w:right w:w="15" w:type="dxa"/>
            </w:tcMar>
            <w:hideMark/>
          </w:tcPr>
          <w:p w14:paraId="349C1F71" w14:textId="77777777" w:rsidR="00503C32" w:rsidRDefault="00503C32" w:rsidP="004379C1">
            <w:pPr>
              <w:spacing w:before="30" w:after="30"/>
              <w:ind w:left="60" w:right="60"/>
            </w:pPr>
            <w:r>
              <w:rPr>
                <w:b/>
                <w:bCs/>
                <w:lang w:val="en-US"/>
              </w:rPr>
              <w:t>Francis,​ Nick A.,​Butler,​ Christopher C.,​Hood,​ Kerenza,​Simpson,​ Sharon,​Wood,​ Fiona,​Nuttall,​ Jacqueline</w:t>
            </w:r>
            <w:r>
              <w:rPr>
                <w:lang w:val="en-US"/>
              </w:rPr>
              <w:t xml:space="preserve">. Effect of using an interactive booklet about childhood respiratory tract infections in primary care consultations on reconsulting and antibiotic prescribing: a cluster randomised controlled trial. </w:t>
            </w:r>
            <w:r>
              <w:rPr>
                <w:i/>
                <w:iCs/>
              </w:rPr>
              <w:t>BMJ (Clinical research ed.).</w:t>
            </w:r>
            <w:r>
              <w:t xml:space="preserve"> 2009. 339:b2885</w:t>
            </w:r>
          </w:p>
        </w:tc>
      </w:tr>
      <w:tr w:rsidR="00503C32" w14:paraId="2F2212D0" w14:textId="77777777" w:rsidTr="004379C1">
        <w:tc>
          <w:tcPr>
            <w:tcW w:w="0" w:type="auto"/>
            <w:tcMar>
              <w:top w:w="15" w:type="dxa"/>
              <w:left w:w="15" w:type="dxa"/>
              <w:bottom w:w="15" w:type="dxa"/>
              <w:right w:w="15" w:type="dxa"/>
            </w:tcMar>
            <w:hideMark/>
          </w:tcPr>
          <w:p w14:paraId="135E990C" w14:textId="77777777" w:rsidR="00503C32" w:rsidRDefault="00503C32" w:rsidP="004379C1">
            <w:pPr>
              <w:spacing w:before="30" w:after="30"/>
              <w:ind w:left="60" w:right="60"/>
            </w:pPr>
            <w:r>
              <w:rPr>
                <w:b/>
                <w:bCs/>
                <w:lang w:val="en-US"/>
              </w:rPr>
              <w:t>French,​ Simon D.,​McKenzie,​ Joanne E.,​O'Connor,​ Denise A.,​Grimshaw,​ Jeremy M.,​Mortimer,​ Duncan,​Francis,​ Jill J.,​Michie,​ Susan,​Spike,​ Neil,​Schattner,​ Peter,​Kent,​ Peter,​Buchbinder,​ Rachelle,​Page,​ Matthew J.,​Green,​ Sally E.</w:t>
            </w:r>
            <w:r>
              <w:rPr>
                <w:lang w:val="en-US"/>
              </w:rPr>
              <w:t xml:space="preserve">. Evaluation of a theory-informed </w:t>
            </w:r>
            <w:r>
              <w:rPr>
                <w:lang w:val="en-US"/>
              </w:rPr>
              <w:lastRenderedPageBreak/>
              <w:t xml:space="preserve">implementation intervention for the management of acute low back pain in general medical practice: the IMPLEMENT cluster randomised trial. </w:t>
            </w:r>
            <w:r>
              <w:rPr>
                <w:i/>
                <w:iCs/>
              </w:rPr>
              <w:t>PloS one.</w:t>
            </w:r>
            <w:r>
              <w:t xml:space="preserve"> 2013. 8:e65471</w:t>
            </w:r>
          </w:p>
        </w:tc>
      </w:tr>
      <w:tr w:rsidR="00503C32" w14:paraId="3D745E4E" w14:textId="77777777" w:rsidTr="004379C1">
        <w:tc>
          <w:tcPr>
            <w:tcW w:w="0" w:type="auto"/>
            <w:tcMar>
              <w:top w:w="15" w:type="dxa"/>
              <w:left w:w="15" w:type="dxa"/>
              <w:bottom w:w="15" w:type="dxa"/>
              <w:right w:w="15" w:type="dxa"/>
            </w:tcMar>
            <w:hideMark/>
          </w:tcPr>
          <w:p w14:paraId="49388AE8" w14:textId="77777777" w:rsidR="00503C32" w:rsidRPr="004379C1" w:rsidRDefault="00503C32" w:rsidP="004379C1">
            <w:pPr>
              <w:spacing w:before="30" w:after="30"/>
              <w:ind w:left="60" w:right="60"/>
              <w:rPr>
                <w:lang w:val="en-US"/>
              </w:rPr>
            </w:pPr>
            <w:r>
              <w:rPr>
                <w:b/>
                <w:bCs/>
                <w:lang w:val="en-US"/>
              </w:rPr>
              <w:lastRenderedPageBreak/>
              <w:t>Gerber,​ Jeffrey S.,​Prasad,​ Priya A.,​Fiks,​ Alexander G.,​Localio,​ A. Russell,​Grundmeier,​ Robert W.,​Bell,​ Louis M.,​Wasserman,​ Richard C.,​Keren,​ Ron,​Zaoutis,​ Theoklis E.</w:t>
            </w:r>
            <w:r>
              <w:rPr>
                <w:lang w:val="en-US"/>
              </w:rPr>
              <w:t xml:space="preserve">. Effect of an outpatient antimicrobial stewardship intervention on broad-spectrum antibiotic prescribing by primary care pediatricians: a randomized trial. </w:t>
            </w:r>
            <w:r w:rsidRPr="004379C1">
              <w:rPr>
                <w:i/>
                <w:iCs/>
                <w:lang w:val="en-US"/>
              </w:rPr>
              <w:t>JAMA.</w:t>
            </w:r>
            <w:r w:rsidRPr="004379C1">
              <w:rPr>
                <w:lang w:val="en-US"/>
              </w:rPr>
              <w:t xml:space="preserve"> 2013. 309:2345-52</w:t>
            </w:r>
          </w:p>
          <w:p w14:paraId="1935BBDA" w14:textId="77777777" w:rsidR="00503C32" w:rsidRDefault="00503C32" w:rsidP="004379C1">
            <w:pPr>
              <w:pStyle w:val="ListParagraph"/>
              <w:spacing w:before="30" w:after="30"/>
              <w:ind w:left="420" w:right="60"/>
            </w:pPr>
            <w:r>
              <w:rPr>
                <w:b/>
                <w:bCs/>
                <w:lang w:val="en-US"/>
              </w:rPr>
              <w:t>Gerber,​ J. S.,​Prasad,​ P. A.,​Fiks,​ A. G.,​Localio,​ A. R.,​Bell,​ L. M.,​Keren,​ R.,​Zaoutis,​ T. E.</w:t>
            </w:r>
            <w:r>
              <w:rPr>
                <w:lang w:val="en-US"/>
              </w:rPr>
              <w:t xml:space="preserve">. Durability of benefits of an outpatient antimicrobial stewardship intervention after discontinuation of audit and feedback. </w:t>
            </w:r>
            <w:r>
              <w:rPr>
                <w:i/>
                <w:iCs/>
              </w:rPr>
              <w:t>JAMA - Journal of the American Medical Association.</w:t>
            </w:r>
            <w:r>
              <w:t xml:space="preserve"> 2014. 312:2569-2570</w:t>
            </w:r>
          </w:p>
        </w:tc>
      </w:tr>
      <w:tr w:rsidR="00503C32" w14:paraId="63E158A5" w14:textId="77777777" w:rsidTr="004379C1">
        <w:tc>
          <w:tcPr>
            <w:tcW w:w="0" w:type="auto"/>
            <w:tcMar>
              <w:top w:w="15" w:type="dxa"/>
              <w:left w:w="15" w:type="dxa"/>
              <w:bottom w:w="15" w:type="dxa"/>
              <w:right w:w="15" w:type="dxa"/>
            </w:tcMar>
            <w:hideMark/>
          </w:tcPr>
          <w:p w14:paraId="3452B472" w14:textId="77777777" w:rsidR="00503C32" w:rsidRDefault="00503C32" w:rsidP="004379C1">
            <w:pPr>
              <w:spacing w:before="30" w:after="30"/>
              <w:ind w:left="60" w:right="60"/>
            </w:pPr>
            <w:r>
              <w:rPr>
                <w:b/>
                <w:bCs/>
                <w:lang w:val="en-US"/>
              </w:rPr>
              <w:t>Gjelstad,​ Svein,​Hoye,​ Sigurd,​Straand,​ Jorund,​Brekke,​ Mette,​Dalen,​ Ingvild,​Lindbaek,​ Morten</w:t>
            </w:r>
            <w:r>
              <w:rPr>
                <w:lang w:val="en-US"/>
              </w:rPr>
              <w:t xml:space="preserve">. Improving antibiotic prescribing in acute respiratory tract infections: cluster randomised trial from Norwegian general practice (prescription peer academic detailing (Rx-PAD) study). </w:t>
            </w:r>
            <w:r>
              <w:rPr>
                <w:i/>
                <w:iCs/>
              </w:rPr>
              <w:t>BMJ (Clinical research ed.).</w:t>
            </w:r>
            <w:r>
              <w:t xml:space="preserve"> 2013. 347:f4403</w:t>
            </w:r>
          </w:p>
        </w:tc>
      </w:tr>
      <w:tr w:rsidR="00503C32" w14:paraId="0282B00A" w14:textId="77777777" w:rsidTr="004379C1">
        <w:tc>
          <w:tcPr>
            <w:tcW w:w="0" w:type="auto"/>
            <w:tcMar>
              <w:top w:w="15" w:type="dxa"/>
              <w:left w:w="15" w:type="dxa"/>
              <w:bottom w:w="15" w:type="dxa"/>
              <w:right w:w="15" w:type="dxa"/>
            </w:tcMar>
            <w:hideMark/>
          </w:tcPr>
          <w:p w14:paraId="5712ACF9" w14:textId="77777777" w:rsidR="00503C32" w:rsidRDefault="00503C32" w:rsidP="004379C1">
            <w:pPr>
              <w:spacing w:before="30" w:after="30"/>
              <w:ind w:left="60" w:right="60"/>
            </w:pPr>
            <w:r>
              <w:rPr>
                <w:b/>
                <w:bCs/>
                <w:lang w:val="en-US"/>
              </w:rPr>
              <w:t>Goldberg,​ H. I.,​Deyo,​ R. A.,​Taylor,​ V. M.,​Cheadle,​ A. D.,​Conrad,​ D. A.,​Loeser,​ J. D.,​Heagerty,​ P. J.,​Diehr,​ P.</w:t>
            </w:r>
            <w:r>
              <w:rPr>
                <w:lang w:val="en-US"/>
              </w:rPr>
              <w:t xml:space="preserve">. Can evidence change the rate of back surgery? A randomized trial of community-based education. </w:t>
            </w:r>
            <w:r>
              <w:rPr>
                <w:i/>
                <w:iCs/>
              </w:rPr>
              <w:t>Effective clinical practice : ECP.</w:t>
            </w:r>
            <w:r>
              <w:t xml:space="preserve"> 2001. 4:95-104</w:t>
            </w:r>
          </w:p>
        </w:tc>
      </w:tr>
      <w:tr w:rsidR="00503C32" w14:paraId="51A50055" w14:textId="77777777" w:rsidTr="004379C1">
        <w:tc>
          <w:tcPr>
            <w:tcW w:w="0" w:type="auto"/>
            <w:tcMar>
              <w:top w:w="15" w:type="dxa"/>
              <w:left w:w="15" w:type="dxa"/>
              <w:bottom w:w="15" w:type="dxa"/>
              <w:right w:w="15" w:type="dxa"/>
            </w:tcMar>
            <w:hideMark/>
          </w:tcPr>
          <w:p w14:paraId="6AA83277" w14:textId="77777777" w:rsidR="00503C32" w:rsidRDefault="00503C32" w:rsidP="004379C1">
            <w:pPr>
              <w:spacing w:before="30" w:after="30"/>
              <w:ind w:left="60" w:right="60"/>
            </w:pPr>
            <w:r>
              <w:rPr>
                <w:b/>
                <w:bCs/>
              </w:rPr>
              <w:t>Gonzales,​ Ralph,​Anderer,​ Tammy,​McCulloch,​ Charles E.,​Maselli,​ Judith H.,​Bloom,​ Frederick J.,​ Jr.,​Graf,​ Thomas R.,​Stahl,​ Melissa,​Yefko,​ Michelle,​Molecavage,​ Julie,​Metlay,​ Joshua P.</w:t>
            </w:r>
            <w:r>
              <w:t xml:space="preserve">. </w:t>
            </w:r>
            <w:r>
              <w:rPr>
                <w:lang w:val="en-US"/>
              </w:rPr>
              <w:t xml:space="preserve">A cluster randomized trial of decision support strategies for reducing antibiotic use in acute bronchitis. </w:t>
            </w:r>
            <w:r>
              <w:rPr>
                <w:i/>
                <w:iCs/>
              </w:rPr>
              <w:t>JAMA internal medicine.</w:t>
            </w:r>
            <w:r>
              <w:t xml:space="preserve"> 2013. 173:267-73</w:t>
            </w:r>
          </w:p>
        </w:tc>
      </w:tr>
      <w:tr w:rsidR="00503C32" w14:paraId="7C3CC7FE" w14:textId="77777777" w:rsidTr="004379C1">
        <w:tc>
          <w:tcPr>
            <w:tcW w:w="0" w:type="auto"/>
            <w:tcMar>
              <w:top w:w="15" w:type="dxa"/>
              <w:left w:w="15" w:type="dxa"/>
              <w:bottom w:w="15" w:type="dxa"/>
              <w:right w:w="15" w:type="dxa"/>
            </w:tcMar>
            <w:hideMark/>
          </w:tcPr>
          <w:p w14:paraId="7876AFA2" w14:textId="77777777" w:rsidR="00503C32" w:rsidRDefault="00503C32" w:rsidP="004379C1">
            <w:pPr>
              <w:spacing w:before="30" w:after="30"/>
              <w:ind w:left="60" w:right="60"/>
            </w:pPr>
            <w:r>
              <w:rPr>
                <w:b/>
                <w:bCs/>
              </w:rPr>
              <w:t>Gulliford,​ Martin C.,​Prevost,​ A. Toby,​Charlton,​ Judith,​Juszczyk,​ Dorota,​Soames,​ Jamie,​McDermott,​ Lisa,​Sultana,​ Kirin,​Wright,​ Mark,​Fox,​ Robin,​Hay,​ Alastair D.,​Little,​ Paul,​Moore,​ Michael V.,​Yardley,​ Lucy,​Ashworth,​ Mark</w:t>
            </w:r>
            <w:r>
              <w:t xml:space="preserve">. </w:t>
            </w:r>
            <w:r>
              <w:rPr>
                <w:lang w:val="en-US"/>
              </w:rPr>
              <w:t xml:space="preserve">Effectiveness and safety of electronically delivered prescribing feedback and decision support on antibiotic use for respiratory illness in primary care: REDUCE cluster randomised trial. </w:t>
            </w:r>
            <w:r>
              <w:rPr>
                <w:i/>
                <w:iCs/>
              </w:rPr>
              <w:t>BMJ (Clinical research ed.).</w:t>
            </w:r>
            <w:r>
              <w:t xml:space="preserve"> 2019. 364:l236</w:t>
            </w:r>
          </w:p>
        </w:tc>
      </w:tr>
      <w:tr w:rsidR="00503C32" w14:paraId="74C62808" w14:textId="77777777" w:rsidTr="004379C1">
        <w:tc>
          <w:tcPr>
            <w:tcW w:w="0" w:type="auto"/>
            <w:tcMar>
              <w:top w:w="15" w:type="dxa"/>
              <w:left w:w="15" w:type="dxa"/>
              <w:bottom w:w="15" w:type="dxa"/>
              <w:right w:w="15" w:type="dxa"/>
            </w:tcMar>
            <w:hideMark/>
          </w:tcPr>
          <w:p w14:paraId="42D15C13" w14:textId="77777777" w:rsidR="00503C32" w:rsidRDefault="00503C32" w:rsidP="004379C1">
            <w:pPr>
              <w:spacing w:before="30" w:after="30"/>
              <w:ind w:left="60" w:right="60"/>
            </w:pPr>
            <w:r>
              <w:rPr>
                <w:b/>
                <w:bCs/>
                <w:lang w:val="en-US"/>
              </w:rPr>
              <w:t>Gulliford,​ Martin C.,​van Staa,​ Tjeerd,​Dregan,​ Alex,​McDermott,​ Lisa,​McCann,​ Gerard,​Ashworth,​ Mark,​Charlton,​ Judith,​Little,​ Paul,​Moore,​ Michael V.,​Yardley,​ Lucy</w:t>
            </w:r>
            <w:r>
              <w:rPr>
                <w:lang w:val="en-US"/>
              </w:rPr>
              <w:t xml:space="preserve">. Electronic health records for intervention research: a cluster randomized trial to reduce antibiotic prescribing in primary care (eCRT study). </w:t>
            </w:r>
            <w:r>
              <w:rPr>
                <w:i/>
                <w:iCs/>
              </w:rPr>
              <w:t>Annals of family medicine.</w:t>
            </w:r>
            <w:r>
              <w:t xml:space="preserve"> 2014. 12:344-51</w:t>
            </w:r>
          </w:p>
        </w:tc>
      </w:tr>
      <w:tr w:rsidR="00503C32" w14:paraId="59F240A5" w14:textId="77777777" w:rsidTr="004379C1">
        <w:tc>
          <w:tcPr>
            <w:tcW w:w="0" w:type="auto"/>
            <w:tcMar>
              <w:top w:w="15" w:type="dxa"/>
              <w:left w:w="15" w:type="dxa"/>
              <w:bottom w:w="15" w:type="dxa"/>
              <w:right w:w="15" w:type="dxa"/>
            </w:tcMar>
            <w:hideMark/>
          </w:tcPr>
          <w:p w14:paraId="70FAA0A8" w14:textId="77777777" w:rsidR="00503C32" w:rsidRDefault="00503C32" w:rsidP="004379C1">
            <w:pPr>
              <w:spacing w:before="30" w:after="30"/>
              <w:ind w:left="60" w:right="60"/>
            </w:pPr>
            <w:r>
              <w:rPr>
                <w:b/>
                <w:bCs/>
                <w:lang w:val="en-US"/>
              </w:rPr>
              <w:t>Hadiyono,​ J. E.,​Suryawati,​ S.,​Danu,​ S. S.,​Sunartono,​,​Santoso,​ B.</w:t>
            </w:r>
            <w:r>
              <w:rPr>
                <w:lang w:val="en-US"/>
              </w:rPr>
              <w:t xml:space="preserve">. Interactional group discussion: results of a controlled trial using a behavioral intervention to reduce the use of injections in public health facilities. </w:t>
            </w:r>
            <w:r>
              <w:rPr>
                <w:i/>
                <w:iCs/>
              </w:rPr>
              <w:t>Social science &amp; medicine (1982).</w:t>
            </w:r>
            <w:r>
              <w:t xml:space="preserve"> 1996. 42:1177-83</w:t>
            </w:r>
          </w:p>
        </w:tc>
      </w:tr>
      <w:tr w:rsidR="00503C32" w14:paraId="45A9DF39" w14:textId="77777777" w:rsidTr="004379C1">
        <w:tc>
          <w:tcPr>
            <w:tcW w:w="0" w:type="auto"/>
            <w:tcMar>
              <w:top w:w="15" w:type="dxa"/>
              <w:left w:w="15" w:type="dxa"/>
              <w:bottom w:w="15" w:type="dxa"/>
              <w:right w:w="15" w:type="dxa"/>
            </w:tcMar>
            <w:hideMark/>
          </w:tcPr>
          <w:p w14:paraId="3DA6DE45" w14:textId="77777777" w:rsidR="00503C32" w:rsidRDefault="00503C32" w:rsidP="004379C1">
            <w:pPr>
              <w:spacing w:before="30" w:after="30"/>
              <w:ind w:left="60" w:right="60"/>
            </w:pPr>
            <w:r>
              <w:rPr>
                <w:b/>
                <w:bCs/>
                <w:lang w:val="en-US"/>
              </w:rPr>
              <w:t>Hallsworth,​ Michael,​Chadborn,​ Tim,​Sallis,​ Anna,​Sanders,​ Michael,​Berry,​ Daniel,​Greaves,​ Felix,​Clements,​ Lara,​Davies,​ Sally C.</w:t>
            </w:r>
            <w:r>
              <w:rPr>
                <w:lang w:val="en-US"/>
              </w:rPr>
              <w:t xml:space="preserve">. Provision of social norm feedback to high prescribers of antibiotics in general practice: a pragmatic national randomised controlled trial. </w:t>
            </w:r>
            <w:r>
              <w:rPr>
                <w:i/>
                <w:iCs/>
              </w:rPr>
              <w:t>Lancet (London,​ England).</w:t>
            </w:r>
            <w:r>
              <w:t xml:space="preserve"> 2016. 387:1743-52</w:t>
            </w:r>
          </w:p>
        </w:tc>
      </w:tr>
      <w:tr w:rsidR="00503C32" w14:paraId="1B777AE5" w14:textId="77777777" w:rsidTr="004379C1">
        <w:tc>
          <w:tcPr>
            <w:tcW w:w="0" w:type="auto"/>
            <w:tcMar>
              <w:top w:w="15" w:type="dxa"/>
              <w:left w:w="15" w:type="dxa"/>
              <w:bottom w:w="15" w:type="dxa"/>
              <w:right w:w="15" w:type="dxa"/>
            </w:tcMar>
            <w:hideMark/>
          </w:tcPr>
          <w:p w14:paraId="20E5659A" w14:textId="77777777" w:rsidR="00503C32" w:rsidRDefault="00503C32" w:rsidP="004379C1">
            <w:pPr>
              <w:spacing w:before="30" w:after="30"/>
              <w:ind w:left="60" w:right="60"/>
            </w:pPr>
            <w:r>
              <w:rPr>
                <w:b/>
                <w:bCs/>
                <w:lang w:val="en-US"/>
              </w:rPr>
              <w:t>Hamilton,​ William,​Russell,​ David,​Stabb,​ Catherine,​Seamark,​ David,​Campion-Smith,​ Charles,​Britten,​ Nicky</w:t>
            </w:r>
            <w:r>
              <w:rPr>
                <w:lang w:val="en-US"/>
              </w:rPr>
              <w:t xml:space="preserve">. The effect of patient self-completion agenda forms on prescribing and adherence in general practice: a randomized controlled trial. </w:t>
            </w:r>
            <w:r>
              <w:rPr>
                <w:i/>
                <w:iCs/>
              </w:rPr>
              <w:t>Family practice.</w:t>
            </w:r>
            <w:r>
              <w:t xml:space="preserve"> 2007. 24:77-83</w:t>
            </w:r>
          </w:p>
        </w:tc>
      </w:tr>
      <w:tr w:rsidR="00503C32" w14:paraId="46317C10" w14:textId="77777777" w:rsidTr="004379C1">
        <w:tc>
          <w:tcPr>
            <w:tcW w:w="0" w:type="auto"/>
            <w:tcMar>
              <w:top w:w="15" w:type="dxa"/>
              <w:left w:w="15" w:type="dxa"/>
              <w:bottom w:w="15" w:type="dxa"/>
              <w:right w:w="15" w:type="dxa"/>
            </w:tcMar>
            <w:hideMark/>
          </w:tcPr>
          <w:p w14:paraId="51B274A3" w14:textId="77777777" w:rsidR="00503C32" w:rsidRDefault="00503C32" w:rsidP="004379C1">
            <w:pPr>
              <w:spacing w:before="30" w:after="30"/>
              <w:ind w:left="60" w:right="60"/>
            </w:pPr>
            <w:r>
              <w:rPr>
                <w:b/>
                <w:bCs/>
                <w:lang w:val="en-US"/>
              </w:rPr>
              <w:t>Haskell,​ Libby,​Tavender,​ Emma J.,​Wilson,​ Catherine L.,​O'Brien,​ Sharon,​Babl,​ Franz E.,​Borland,​ Meredith L.,​Cotterell,​ Elizabeth,​Schembri,​ Rachel,​Orsini,​ Francesca,​Sheridan,​ Nicolette,​Johnson,​ David W.,​Oakley,​ Ed,​Dalziel,​ Stuart R.,​Predict Network</w:t>
            </w:r>
            <w:r>
              <w:rPr>
                <w:lang w:val="en-US"/>
              </w:rPr>
              <w:t xml:space="preserve">. Effectiveness of Targeted Interventions on Treatment of Infants With Bronchiolitis: A Randomized Clinical Trial. </w:t>
            </w:r>
            <w:r>
              <w:rPr>
                <w:i/>
                <w:iCs/>
              </w:rPr>
              <w:t>JAMA pediatrics.</w:t>
            </w:r>
            <w:r>
              <w:t xml:space="preserve"> 2021. #volume#:#pages#</w:t>
            </w:r>
          </w:p>
        </w:tc>
      </w:tr>
      <w:tr w:rsidR="00503C32" w14:paraId="5C8CD60C" w14:textId="77777777" w:rsidTr="004379C1">
        <w:tc>
          <w:tcPr>
            <w:tcW w:w="0" w:type="auto"/>
            <w:tcMar>
              <w:top w:w="15" w:type="dxa"/>
              <w:left w:w="15" w:type="dxa"/>
              <w:bottom w:w="15" w:type="dxa"/>
              <w:right w:w="15" w:type="dxa"/>
            </w:tcMar>
            <w:hideMark/>
          </w:tcPr>
          <w:p w14:paraId="73714C66" w14:textId="77777777" w:rsidR="00503C32" w:rsidRDefault="00503C32" w:rsidP="004379C1">
            <w:pPr>
              <w:spacing w:before="30" w:after="30"/>
              <w:ind w:left="60" w:right="60"/>
            </w:pPr>
            <w:r>
              <w:rPr>
                <w:b/>
                <w:bCs/>
                <w:lang w:val="en-US"/>
              </w:rPr>
              <w:t xml:space="preserve">Hemkens,​ Lars G.,​Saccilotto,​ Ramon,​Reyes,​ Selene Leon,​Glinz,​ Dominik,​Zumbrunn,​ </w:t>
            </w:r>
            <w:r>
              <w:rPr>
                <w:b/>
                <w:bCs/>
                <w:lang w:val="en-US"/>
              </w:rPr>
              <w:lastRenderedPageBreak/>
              <w:t>Thomas,​Grolimund,​ Oliver,​Gloy,​ Viktoria,​Raatz,​ Heike,​Widmer,​ Andreas,​Zeller,​ Andreas,​Bucher,​ Heiner C.</w:t>
            </w:r>
            <w:r>
              <w:rPr>
                <w:lang w:val="en-US"/>
              </w:rPr>
              <w:t xml:space="preserve">. Personalized Prescription Feedback Using Routinely Collected Data to Reduce Antibiotic Use in Primary Care: A Randomized Clinical Trial. </w:t>
            </w:r>
            <w:r>
              <w:rPr>
                <w:i/>
                <w:iCs/>
              </w:rPr>
              <w:t>JAMA internal medicine.</w:t>
            </w:r>
            <w:r>
              <w:t xml:space="preserve"> 2017. 177:176-183</w:t>
            </w:r>
          </w:p>
        </w:tc>
      </w:tr>
      <w:tr w:rsidR="00503C32" w14:paraId="6A1E4FE3" w14:textId="77777777" w:rsidTr="004379C1">
        <w:tc>
          <w:tcPr>
            <w:tcW w:w="0" w:type="auto"/>
            <w:tcMar>
              <w:top w:w="15" w:type="dxa"/>
              <w:left w:w="15" w:type="dxa"/>
              <w:bottom w:w="15" w:type="dxa"/>
              <w:right w:w="15" w:type="dxa"/>
            </w:tcMar>
            <w:hideMark/>
          </w:tcPr>
          <w:p w14:paraId="21FC60E7" w14:textId="77777777" w:rsidR="00503C32" w:rsidRDefault="00503C32" w:rsidP="004379C1">
            <w:pPr>
              <w:spacing w:before="30" w:after="30"/>
              <w:ind w:left="60" w:right="60"/>
            </w:pPr>
            <w:r>
              <w:rPr>
                <w:b/>
                <w:bCs/>
              </w:rPr>
              <w:lastRenderedPageBreak/>
              <w:t>Hemminki,​ Elina,​Heikkilä,​ Kaija,​Sevón,​ Tiina,​Koponen,​ Päivikki</w:t>
            </w:r>
            <w:r>
              <w:t xml:space="preserve">. </w:t>
            </w:r>
            <w:r>
              <w:rPr>
                <w:lang w:val="en-US"/>
              </w:rPr>
              <w:t xml:space="preserve">Special features of health services and register based trials – experiences from a randomized trial of childbirth classes. </w:t>
            </w:r>
            <w:r>
              <w:rPr>
                <w:i/>
                <w:iCs/>
              </w:rPr>
              <w:t>BMC Health Services Research.</w:t>
            </w:r>
            <w:r>
              <w:t xml:space="preserve"> 2008. 8:126</w:t>
            </w:r>
          </w:p>
        </w:tc>
      </w:tr>
      <w:tr w:rsidR="00503C32" w14:paraId="174E3FAD" w14:textId="77777777" w:rsidTr="004379C1">
        <w:tc>
          <w:tcPr>
            <w:tcW w:w="0" w:type="auto"/>
            <w:tcMar>
              <w:top w:w="15" w:type="dxa"/>
              <w:left w:w="15" w:type="dxa"/>
              <w:bottom w:w="15" w:type="dxa"/>
              <w:right w:w="15" w:type="dxa"/>
            </w:tcMar>
            <w:hideMark/>
          </w:tcPr>
          <w:p w14:paraId="27EBACBB" w14:textId="77777777" w:rsidR="00503C32" w:rsidRDefault="00503C32" w:rsidP="004379C1">
            <w:pPr>
              <w:spacing w:before="30" w:after="30"/>
              <w:ind w:left="60" w:right="60"/>
            </w:pPr>
            <w:r>
              <w:rPr>
                <w:b/>
                <w:bCs/>
              </w:rPr>
              <w:t>Hess,​ Erik P.,​Knoedler,​ Meghan A.,​Shah,​ Nilay D.,​Kline,​ Jeffrey A.,​Breslin,​ Maggie,​Branda,​ Megan E.,​Pencille,​ Laurie J.,​Asplin,​ Brent R.,​Nestler,​ David M.,​Sadosty,​ Annie T.,​Stiell,​ Ian G.,​Ting,​ Henry H.,​Montori,​ Victor M.</w:t>
            </w:r>
            <w:r>
              <w:t xml:space="preserve">. </w:t>
            </w:r>
            <w:r>
              <w:rPr>
                <w:lang w:val="en-US"/>
              </w:rPr>
              <w:t xml:space="preserve">The chest pain choice decision aid: a randomized trial. </w:t>
            </w:r>
            <w:r>
              <w:rPr>
                <w:i/>
                <w:iCs/>
                <w:lang w:val="en-US"/>
              </w:rPr>
              <w:t xml:space="preserve">Circulation. </w:t>
            </w:r>
            <w:r>
              <w:rPr>
                <w:i/>
                <w:iCs/>
              </w:rPr>
              <w:t>Cardiovascular quality and outcomes.</w:t>
            </w:r>
            <w:r>
              <w:t xml:space="preserve"> 2012. 5:251-9</w:t>
            </w:r>
          </w:p>
        </w:tc>
      </w:tr>
      <w:tr w:rsidR="00F552CD" w:rsidRPr="00A16D7D" w14:paraId="41A4DE14" w14:textId="77777777" w:rsidTr="004379C1">
        <w:tc>
          <w:tcPr>
            <w:tcW w:w="0" w:type="auto"/>
            <w:tcMar>
              <w:top w:w="15" w:type="dxa"/>
              <w:left w:w="15" w:type="dxa"/>
              <w:bottom w:w="15" w:type="dxa"/>
              <w:right w:w="15" w:type="dxa"/>
            </w:tcMar>
          </w:tcPr>
          <w:p w14:paraId="1DD64F17" w14:textId="29C6ADFE" w:rsidR="00F552CD" w:rsidRPr="00650344" w:rsidRDefault="00F552CD" w:rsidP="002043C9">
            <w:pPr>
              <w:spacing w:before="30" w:after="30"/>
              <w:ind w:left="60" w:right="60"/>
              <w:rPr>
                <w:bCs/>
                <w:lang w:val="en-US"/>
              </w:rPr>
            </w:pPr>
            <w:r w:rsidRPr="00F552CD">
              <w:rPr>
                <w:b/>
                <w:bCs/>
                <w:lang w:val="en-US"/>
              </w:rPr>
              <w:t xml:space="preserve">Hess EP, Hollander JE, Schaffer JT, et al. </w:t>
            </w:r>
            <w:r w:rsidRPr="00F552CD">
              <w:rPr>
                <w:bCs/>
                <w:lang w:val="en-US"/>
              </w:rPr>
              <w:t>Shared decision making in patients with low risk chest pain: prospective randomized pragmatic trial. </w:t>
            </w:r>
            <w:r w:rsidRPr="00650344">
              <w:rPr>
                <w:bCs/>
                <w:i/>
                <w:iCs/>
                <w:lang w:val="en-US"/>
              </w:rPr>
              <w:t>BMJ</w:t>
            </w:r>
            <w:r w:rsidRPr="00650344">
              <w:rPr>
                <w:bCs/>
                <w:lang w:val="en-US"/>
              </w:rPr>
              <w:t>. 2016;355:i6165. Published 2016 Dec 5. doi:10.1136/bmj.i6165</w:t>
            </w:r>
          </w:p>
        </w:tc>
      </w:tr>
      <w:tr w:rsidR="00503C32" w14:paraId="49B0AC56" w14:textId="77777777" w:rsidTr="004379C1">
        <w:tc>
          <w:tcPr>
            <w:tcW w:w="0" w:type="auto"/>
            <w:tcMar>
              <w:top w:w="15" w:type="dxa"/>
              <w:left w:w="15" w:type="dxa"/>
              <w:bottom w:w="15" w:type="dxa"/>
              <w:right w:w="15" w:type="dxa"/>
            </w:tcMar>
            <w:hideMark/>
          </w:tcPr>
          <w:p w14:paraId="2FED9D1A" w14:textId="77777777" w:rsidR="00503C32" w:rsidRDefault="00503C32" w:rsidP="004379C1">
            <w:pPr>
              <w:spacing w:before="30" w:after="30"/>
              <w:ind w:left="60" w:right="60"/>
            </w:pPr>
            <w:r>
              <w:rPr>
                <w:b/>
                <w:bCs/>
                <w:lang w:val="en-US"/>
              </w:rPr>
              <w:t>Hopkins,​ Ria E.,​Bui,​ Thuy,​Konstantatos,​ Alex H.,​Arnold,​ Carolyn,​Magliano,​ Dianna J.,​Liew,​ Danny,​Dooley,​ Michael J.</w:t>
            </w:r>
            <w:r>
              <w:rPr>
                <w:lang w:val="en-US"/>
              </w:rPr>
              <w:t xml:space="preserve">. Educating junior doctors and pharmacists to reduce discharge prescribing of opioids for surgical patients: a cluster randomised controlled trial. </w:t>
            </w:r>
            <w:r>
              <w:rPr>
                <w:i/>
                <w:iCs/>
              </w:rPr>
              <w:t>The Medical journal of Australia.</w:t>
            </w:r>
            <w:r>
              <w:t xml:space="preserve"> 2020. 213:417-423</w:t>
            </w:r>
          </w:p>
        </w:tc>
      </w:tr>
      <w:tr w:rsidR="00503C32" w14:paraId="645E69F9" w14:textId="77777777" w:rsidTr="004379C1">
        <w:tc>
          <w:tcPr>
            <w:tcW w:w="0" w:type="auto"/>
            <w:tcMar>
              <w:top w:w="15" w:type="dxa"/>
              <w:left w:w="15" w:type="dxa"/>
              <w:bottom w:w="15" w:type="dxa"/>
              <w:right w:w="15" w:type="dxa"/>
            </w:tcMar>
            <w:hideMark/>
          </w:tcPr>
          <w:p w14:paraId="19D03A6F" w14:textId="77777777" w:rsidR="00503C32" w:rsidRDefault="00503C32" w:rsidP="004379C1">
            <w:pPr>
              <w:spacing w:before="30" w:after="30"/>
              <w:ind w:left="60" w:right="60"/>
            </w:pPr>
            <w:r>
              <w:rPr>
                <w:b/>
                <w:bCs/>
                <w:lang w:val="en-US"/>
              </w:rPr>
              <w:t>Hrisos,​ S.,​Eccles,​ M.,​Johnston,​ M.,​Francis,​ J.,​Kaner,​ E. F.,​Steen,​ N.,​Grimshaw,​ J.</w:t>
            </w:r>
            <w:r>
              <w:rPr>
                <w:lang w:val="en-US"/>
              </w:rPr>
              <w:t xml:space="preserve">. An intervention modelling experiment to change GPs' intentions to implement evidence-based practice: using theory-based interventions to promote GP management of upper respiratory tract infection without prescribing antibiotics #2. </w:t>
            </w:r>
            <w:r>
              <w:rPr>
                <w:i/>
                <w:iCs/>
              </w:rPr>
              <w:t>BMC Health Serv Res.</w:t>
            </w:r>
            <w:r>
              <w:t xml:space="preserve"> 2008. 8:10</w:t>
            </w:r>
          </w:p>
        </w:tc>
      </w:tr>
      <w:tr w:rsidR="00503C32" w14:paraId="478364A9" w14:textId="77777777" w:rsidTr="004379C1">
        <w:tc>
          <w:tcPr>
            <w:tcW w:w="0" w:type="auto"/>
            <w:tcMar>
              <w:top w:w="15" w:type="dxa"/>
              <w:left w:w="15" w:type="dxa"/>
              <w:bottom w:w="15" w:type="dxa"/>
              <w:right w:w="15" w:type="dxa"/>
            </w:tcMar>
            <w:hideMark/>
          </w:tcPr>
          <w:p w14:paraId="15145166" w14:textId="77777777" w:rsidR="00503C32" w:rsidRDefault="00503C32" w:rsidP="004379C1">
            <w:pPr>
              <w:spacing w:before="30" w:after="30"/>
              <w:ind w:left="60" w:right="60"/>
            </w:pPr>
            <w:r>
              <w:rPr>
                <w:b/>
                <w:bCs/>
                <w:lang w:val="en-US"/>
              </w:rPr>
              <w:t>Huizing,​ A. R.,​Hamers,​ J. P.,​Gulpers,​ M. J.,​Berger,​ M. P.</w:t>
            </w:r>
            <w:r>
              <w:rPr>
                <w:lang w:val="en-US"/>
              </w:rPr>
              <w:t xml:space="preserve">. Preventing the use of physical restraints on residents newly admitted to psycho-geriatric nursing home wards: a cluster-randomized trial. </w:t>
            </w:r>
            <w:r>
              <w:rPr>
                <w:i/>
                <w:iCs/>
              </w:rPr>
              <w:t>Int J Nurs Stud.</w:t>
            </w:r>
            <w:r>
              <w:t xml:space="preserve"> 2009. 46:459-69</w:t>
            </w:r>
          </w:p>
        </w:tc>
      </w:tr>
      <w:tr w:rsidR="00503C32" w14:paraId="6582EDC3" w14:textId="77777777" w:rsidTr="004379C1">
        <w:tc>
          <w:tcPr>
            <w:tcW w:w="0" w:type="auto"/>
            <w:tcMar>
              <w:top w:w="15" w:type="dxa"/>
              <w:left w:w="15" w:type="dxa"/>
              <w:bottom w:w="15" w:type="dxa"/>
              <w:right w:w="15" w:type="dxa"/>
            </w:tcMar>
            <w:hideMark/>
          </w:tcPr>
          <w:p w14:paraId="16B9807D" w14:textId="77777777" w:rsidR="00503C32" w:rsidRDefault="00503C32" w:rsidP="004379C1">
            <w:pPr>
              <w:spacing w:before="30" w:after="30"/>
              <w:ind w:left="60" w:right="60"/>
            </w:pPr>
            <w:r>
              <w:rPr>
                <w:b/>
                <w:bCs/>
                <w:lang w:val="en-US"/>
              </w:rPr>
              <w:t>Huizing,​ A. R.,​Hamers,​ J. P.,​Gulpers,​ M. J.,​Berger,​ M. P.</w:t>
            </w:r>
            <w:r>
              <w:rPr>
                <w:lang w:val="en-US"/>
              </w:rPr>
              <w:t xml:space="preserve">. A cluster-randomized trial of an educational intervention to reduce the use of physical restraints with psychogeriatric nursing home residents. </w:t>
            </w:r>
            <w:r>
              <w:rPr>
                <w:i/>
                <w:iCs/>
              </w:rPr>
              <w:t>J Am Geriatr Soc.</w:t>
            </w:r>
            <w:r>
              <w:t xml:space="preserve"> 2009. 57:1139-48</w:t>
            </w:r>
          </w:p>
        </w:tc>
      </w:tr>
      <w:tr w:rsidR="00503C32" w14:paraId="683C7FBE" w14:textId="77777777" w:rsidTr="004379C1">
        <w:tc>
          <w:tcPr>
            <w:tcW w:w="0" w:type="auto"/>
            <w:tcMar>
              <w:top w:w="15" w:type="dxa"/>
              <w:left w:w="15" w:type="dxa"/>
              <w:bottom w:w="15" w:type="dxa"/>
              <w:right w:w="15" w:type="dxa"/>
            </w:tcMar>
            <w:hideMark/>
          </w:tcPr>
          <w:p w14:paraId="6AE82E13" w14:textId="77777777" w:rsidR="00503C32" w:rsidRDefault="00503C32" w:rsidP="004379C1">
            <w:pPr>
              <w:spacing w:before="30" w:after="30"/>
              <w:ind w:left="60" w:right="60"/>
            </w:pPr>
            <w:r>
              <w:rPr>
                <w:b/>
                <w:bCs/>
                <w:lang w:val="en-US"/>
              </w:rPr>
              <w:t>Hurlimann,​ David,​Limacher,​ Andreas,​Schabel,​ Maria,​Zanetti,​ Giorgio,​Berger,​ Christoph,​Muhlemann,​ Kathrin,​Kronenberg,​ Andreas,​Swiss Sentinel Working,​ Group</w:t>
            </w:r>
            <w:r>
              <w:rPr>
                <w:lang w:val="en-US"/>
              </w:rPr>
              <w:t xml:space="preserve">. Improvement of antibiotic prescription in outpatient care: a cluster-randomized intervention study using a sentinel surveillance network of physicians. </w:t>
            </w:r>
            <w:r>
              <w:rPr>
                <w:i/>
                <w:iCs/>
              </w:rPr>
              <w:t>The Journal of antimicrobial chemotherapy.</w:t>
            </w:r>
            <w:r>
              <w:t xml:space="preserve"> 2015. 70:602-8</w:t>
            </w:r>
          </w:p>
        </w:tc>
      </w:tr>
      <w:tr w:rsidR="00503C32" w14:paraId="60CFCC3A" w14:textId="77777777" w:rsidTr="004379C1">
        <w:tc>
          <w:tcPr>
            <w:tcW w:w="0" w:type="auto"/>
            <w:tcMar>
              <w:top w:w="15" w:type="dxa"/>
              <w:left w:w="15" w:type="dxa"/>
              <w:bottom w:w="15" w:type="dxa"/>
              <w:right w:w="15" w:type="dxa"/>
            </w:tcMar>
            <w:hideMark/>
          </w:tcPr>
          <w:p w14:paraId="73FD8B24" w14:textId="77777777" w:rsidR="00503C32" w:rsidRDefault="00503C32" w:rsidP="004379C1">
            <w:pPr>
              <w:spacing w:before="30" w:after="30"/>
              <w:ind w:left="60" w:right="60"/>
            </w:pPr>
            <w:r>
              <w:rPr>
                <w:b/>
                <w:bCs/>
                <w:lang w:val="en-US"/>
              </w:rPr>
              <w:t>Ilett,​ K. F.,​Johnson,​ S.,​Greenhill,​ G.,​Mullen,​ L.,​Brockis,​ J.,​Golledge,​ C. L.,​Reid,​ D. B.</w:t>
            </w:r>
            <w:r>
              <w:rPr>
                <w:lang w:val="en-US"/>
              </w:rPr>
              <w:t xml:space="preserve">. Modification of general practitioner prescribing of antibiotics by use of a therapeutics adviser (academic detailer). </w:t>
            </w:r>
            <w:r>
              <w:rPr>
                <w:i/>
                <w:iCs/>
              </w:rPr>
              <w:t>British journal of clinical pharmacology.</w:t>
            </w:r>
            <w:r>
              <w:t xml:space="preserve"> 2000. 49:168-73</w:t>
            </w:r>
          </w:p>
        </w:tc>
      </w:tr>
      <w:tr w:rsidR="00503C32" w14:paraId="480AEA3E" w14:textId="77777777" w:rsidTr="004379C1">
        <w:tc>
          <w:tcPr>
            <w:tcW w:w="0" w:type="auto"/>
            <w:tcMar>
              <w:top w:w="15" w:type="dxa"/>
              <w:left w:w="15" w:type="dxa"/>
              <w:bottom w:w="15" w:type="dxa"/>
              <w:right w:w="15" w:type="dxa"/>
            </w:tcMar>
            <w:hideMark/>
          </w:tcPr>
          <w:p w14:paraId="1EDAB97E" w14:textId="77777777" w:rsidR="00503C32" w:rsidRDefault="00503C32" w:rsidP="004379C1">
            <w:pPr>
              <w:spacing w:before="30" w:after="30"/>
              <w:ind w:left="60" w:right="60"/>
            </w:pPr>
            <w:r>
              <w:rPr>
                <w:b/>
                <w:bCs/>
                <w:lang w:val="en-US"/>
              </w:rPr>
              <w:t>Jarvik,​ Jeffrey G.,​Meier,​ Eric N.,​James,​ Kathryn T.,​Gold,​ Laura S.,​Tan,​ Katherine W.,​Kessler,​ Larry G.,​Suri,​ Pradeep,​Kallmes,​ David F.,​Cherkin,​ Daniel C.,​Deyo,​ Richard A.,​Sherman,​ Karen J.,​Halabi,​ Safwan S.,​Comstock,​ Bryan A.,​Luetmer,​ Patrick H.,​Avins,​ Andrew L.,​Rundell,​ Sean D.,​Griffith,​ Brent,​Friedly,​ Janna L.,​Lavallee,​ Danielle C.,​Stephens,​ Kari A.,​Turner,​ Judith A.,​Bresnahan,​ Brian W.,​Heagerty,​ Patrick J.</w:t>
            </w:r>
            <w:r>
              <w:rPr>
                <w:lang w:val="en-US"/>
              </w:rPr>
              <w:t xml:space="preserve">. The Effect of Including Benchmark Prevalence Data of Common Imaging Findings in Spine Image Reports on Health Care Utilization Among Adults Undergoing Spine Imaging: A Stepped-Wedge Randomized Clinical Trial. </w:t>
            </w:r>
            <w:r>
              <w:rPr>
                <w:i/>
                <w:iCs/>
              </w:rPr>
              <w:t>JAMA network open.</w:t>
            </w:r>
            <w:r>
              <w:t xml:space="preserve"> 2020. 3:e2015713</w:t>
            </w:r>
          </w:p>
        </w:tc>
      </w:tr>
      <w:tr w:rsidR="00503C32" w14:paraId="72D1386F" w14:textId="77777777" w:rsidTr="004379C1">
        <w:tc>
          <w:tcPr>
            <w:tcW w:w="0" w:type="auto"/>
            <w:tcMar>
              <w:top w:w="15" w:type="dxa"/>
              <w:left w:w="15" w:type="dxa"/>
              <w:bottom w:w="15" w:type="dxa"/>
              <w:right w:w="15" w:type="dxa"/>
            </w:tcMar>
            <w:hideMark/>
          </w:tcPr>
          <w:p w14:paraId="65C933B3" w14:textId="77777777" w:rsidR="00503C32" w:rsidRDefault="00503C32" w:rsidP="004379C1">
            <w:pPr>
              <w:spacing w:before="30" w:after="30"/>
              <w:ind w:left="60" w:right="60"/>
            </w:pPr>
            <w:r>
              <w:rPr>
                <w:b/>
                <w:bCs/>
                <w:lang w:val="en-US"/>
              </w:rPr>
              <w:t>Jenkins,​ Timothy C.,​Irwin,​ Amy,​Coombs,​ Letoynia,​Dealleaume,​ Lauren,​Ross,​ Stephen E.,​Rozwadowski,​ Jeanne,​Webster,​ Brian,​Dickinson,​ L. Miriam,​Sabel,​ Allison L.,​Mackenzie,​ Thomas D.,​West,​ David R.,​Price,​ Connie S.</w:t>
            </w:r>
            <w:r>
              <w:rPr>
                <w:lang w:val="en-US"/>
              </w:rPr>
              <w:t xml:space="preserve">. Effects of clinical pathways for common outpatient </w:t>
            </w:r>
            <w:r>
              <w:rPr>
                <w:lang w:val="en-US"/>
              </w:rPr>
              <w:lastRenderedPageBreak/>
              <w:t xml:space="preserve">infections on antibiotic prescribing. </w:t>
            </w:r>
            <w:r>
              <w:rPr>
                <w:i/>
                <w:iCs/>
              </w:rPr>
              <w:t>The American journal of medicine.</w:t>
            </w:r>
            <w:r>
              <w:t xml:space="preserve"> 2013. 126:327-335.e12</w:t>
            </w:r>
          </w:p>
        </w:tc>
      </w:tr>
      <w:tr w:rsidR="00503C32" w14:paraId="3ECA6796" w14:textId="77777777" w:rsidTr="004379C1">
        <w:tc>
          <w:tcPr>
            <w:tcW w:w="0" w:type="auto"/>
            <w:tcMar>
              <w:top w:w="15" w:type="dxa"/>
              <w:left w:w="15" w:type="dxa"/>
              <w:bottom w:w="15" w:type="dxa"/>
              <w:right w:w="15" w:type="dxa"/>
            </w:tcMar>
            <w:hideMark/>
          </w:tcPr>
          <w:p w14:paraId="5F6EF56E" w14:textId="77777777" w:rsidR="00503C32" w:rsidRDefault="00503C32" w:rsidP="004379C1">
            <w:pPr>
              <w:spacing w:before="30" w:after="30"/>
              <w:ind w:left="60" w:right="60"/>
            </w:pPr>
            <w:r>
              <w:rPr>
                <w:b/>
                <w:bCs/>
                <w:lang w:val="en-US"/>
              </w:rPr>
              <w:lastRenderedPageBreak/>
              <w:t>Kaboré,​ C.,​Ridde,​ V.,​Chaillet,​ N.,​Yaya Bocoum,​ F.,​Betrán,​ A. P.,​Dumont,​ A.</w:t>
            </w:r>
            <w:r>
              <w:rPr>
                <w:lang w:val="en-US"/>
              </w:rPr>
              <w:t xml:space="preserve">. DECIDE: A cluster-randomized controlled trial to reduce unnecessary caesarean deliveries in Burkina Faso. </w:t>
            </w:r>
            <w:r>
              <w:rPr>
                <w:i/>
                <w:iCs/>
              </w:rPr>
              <w:t>BMC Medicine.</w:t>
            </w:r>
            <w:r>
              <w:t xml:space="preserve"> 2019. 17:#pages#</w:t>
            </w:r>
          </w:p>
        </w:tc>
      </w:tr>
      <w:tr w:rsidR="00503C32" w14:paraId="4657B457" w14:textId="77777777" w:rsidTr="004379C1">
        <w:tc>
          <w:tcPr>
            <w:tcW w:w="0" w:type="auto"/>
            <w:tcMar>
              <w:top w:w="15" w:type="dxa"/>
              <w:left w:w="15" w:type="dxa"/>
              <w:bottom w:w="15" w:type="dxa"/>
              <w:right w:w="15" w:type="dxa"/>
            </w:tcMar>
            <w:hideMark/>
          </w:tcPr>
          <w:p w14:paraId="75F4AB2C" w14:textId="77777777" w:rsidR="00503C32" w:rsidRDefault="00503C32" w:rsidP="004379C1">
            <w:pPr>
              <w:spacing w:before="30" w:after="30"/>
              <w:ind w:left="60" w:right="60"/>
            </w:pPr>
            <w:r>
              <w:rPr>
                <w:b/>
                <w:bCs/>
                <w:lang w:val="en-US"/>
              </w:rPr>
              <w:t>Kerfoot,​ B. P.,​Lawler,​ E. V.,​Sokolovskaya,​ G.,​Gagnon,​ D.,​Conlin,​ P. R.</w:t>
            </w:r>
            <w:r>
              <w:rPr>
                <w:lang w:val="en-US"/>
              </w:rPr>
              <w:t xml:space="preserve">. Durable improvements in prostate cancer screening from online spaced education: A randomized controlled trial. </w:t>
            </w:r>
            <w:r>
              <w:rPr>
                <w:i/>
                <w:iCs/>
              </w:rPr>
              <w:t>American Journal of Preventive Medicine.</w:t>
            </w:r>
            <w:r>
              <w:t xml:space="preserve"> 2010. 39:472-478</w:t>
            </w:r>
          </w:p>
        </w:tc>
      </w:tr>
      <w:tr w:rsidR="00503C32" w14:paraId="1150F997" w14:textId="77777777" w:rsidTr="004379C1">
        <w:tc>
          <w:tcPr>
            <w:tcW w:w="0" w:type="auto"/>
            <w:tcMar>
              <w:top w:w="15" w:type="dxa"/>
              <w:left w:w="15" w:type="dxa"/>
              <w:bottom w:w="15" w:type="dxa"/>
              <w:right w:w="15" w:type="dxa"/>
            </w:tcMar>
            <w:hideMark/>
          </w:tcPr>
          <w:p w14:paraId="2DAE431A" w14:textId="77777777" w:rsidR="00503C32" w:rsidRDefault="00503C32" w:rsidP="004379C1">
            <w:pPr>
              <w:spacing w:before="30" w:after="30"/>
              <w:ind w:left="60" w:right="60"/>
            </w:pPr>
            <w:r>
              <w:rPr>
                <w:b/>
                <w:bCs/>
                <w:lang w:val="en-US"/>
              </w:rPr>
              <w:t>Kerry,​ S.,​Oakeshott,​ P.,​Dundas,​ D.,​Williams,​ J.</w:t>
            </w:r>
            <w:r>
              <w:rPr>
                <w:lang w:val="en-US"/>
              </w:rPr>
              <w:t xml:space="preserve">. Influence of postal distribution of the Royal College of Radiologists' guidelines,​ together with feedback on radiological referral rates,​ on X-ray referrals from general practice: a randomized controlled trial. </w:t>
            </w:r>
            <w:r>
              <w:rPr>
                <w:i/>
                <w:iCs/>
              </w:rPr>
              <w:t>Family practice.</w:t>
            </w:r>
            <w:r>
              <w:t xml:space="preserve"> 2000. 17:46-52</w:t>
            </w:r>
          </w:p>
        </w:tc>
      </w:tr>
      <w:tr w:rsidR="00503C32" w14:paraId="5E118511" w14:textId="77777777" w:rsidTr="004379C1">
        <w:tc>
          <w:tcPr>
            <w:tcW w:w="0" w:type="auto"/>
            <w:tcMar>
              <w:top w:w="15" w:type="dxa"/>
              <w:left w:w="15" w:type="dxa"/>
              <w:bottom w:w="15" w:type="dxa"/>
              <w:right w:w="15" w:type="dxa"/>
            </w:tcMar>
            <w:hideMark/>
          </w:tcPr>
          <w:p w14:paraId="6A83D1B9" w14:textId="77777777" w:rsidR="00503C32" w:rsidRDefault="00503C32" w:rsidP="004379C1">
            <w:pPr>
              <w:spacing w:before="30" w:after="30"/>
              <w:ind w:left="60" w:right="60"/>
            </w:pPr>
            <w:r>
              <w:rPr>
                <w:b/>
                <w:bCs/>
                <w:lang w:val="en-US"/>
              </w:rPr>
              <w:t>Khalil,​ G. M.,​Alghasham,​ A. A.,​Abdelraheem,​ Y. F.</w:t>
            </w:r>
            <w:r>
              <w:rPr>
                <w:lang w:val="en-US"/>
              </w:rPr>
              <w:t xml:space="preserve">. Effect of establishment of treatment guidelines on antibiotic prescription pattern for children with upper respiratory tract infection. </w:t>
            </w:r>
            <w:r>
              <w:rPr>
                <w:i/>
                <w:iCs/>
              </w:rPr>
              <w:t>Life Science Journal.</w:t>
            </w:r>
            <w:r>
              <w:t xml:space="preserve"> 2012. 9:481-486</w:t>
            </w:r>
          </w:p>
        </w:tc>
      </w:tr>
      <w:tr w:rsidR="00503C32" w14:paraId="3E7CA8F8" w14:textId="77777777" w:rsidTr="004379C1">
        <w:tc>
          <w:tcPr>
            <w:tcW w:w="0" w:type="auto"/>
            <w:tcMar>
              <w:top w:w="15" w:type="dxa"/>
              <w:left w:w="15" w:type="dxa"/>
              <w:bottom w:w="15" w:type="dxa"/>
              <w:right w:w="15" w:type="dxa"/>
            </w:tcMar>
            <w:hideMark/>
          </w:tcPr>
          <w:p w14:paraId="612AB55D" w14:textId="77777777" w:rsidR="00503C32" w:rsidRDefault="00503C32" w:rsidP="004379C1">
            <w:pPr>
              <w:spacing w:before="30" w:after="30"/>
              <w:ind w:left="60" w:right="60"/>
            </w:pPr>
            <w:r>
              <w:rPr>
                <w:b/>
                <w:bCs/>
              </w:rPr>
              <w:t>Khan,​ A. I.,​ Mack,​ J. A.,​ Salimuzzaman,​ M.,​ Zion,​ M. I.,​ Sujon,​ H.,​ Ball,​ R. L.,​ Maples,​ S.,​ Rashid,​ M. M.,​ Chisti,​ M. J.,​ Sarker,​ S. A.,​ Biswas,​ D.,​ Hossin,​ R.,​ Bardosh,​ K. L.,​ Begum,​ Y. A.,​ Ahmed,​ A.,​ Pieri,​ D.,​ Haque,​ F.,​ Rahman,​ M.,​ Levine,​ A. C.,​ Qadri,​ F.,​ Flora,​ M. S.,​ Gurka,​ M. J.,​ Nelson,​ E. J.</w:t>
            </w:r>
            <w:r>
              <w:t xml:space="preserve">. </w:t>
            </w:r>
            <w:r>
              <w:rPr>
                <w:lang w:val="en-US"/>
              </w:rPr>
              <w:t xml:space="preserve">Electronic decision support and diarrhoeal disease guideline adherence (mHDM): a cluster randomised controlled trial. </w:t>
            </w:r>
            <w:r>
              <w:rPr>
                <w:i/>
                <w:iCs/>
              </w:rPr>
              <w:t>The Lancet Digital Health.</w:t>
            </w:r>
            <w:r>
              <w:t xml:space="preserve"> 2020. 2:e250-e258</w:t>
            </w:r>
          </w:p>
        </w:tc>
      </w:tr>
      <w:tr w:rsidR="00503C32" w14:paraId="5ABB0A37" w14:textId="77777777" w:rsidTr="004379C1">
        <w:tc>
          <w:tcPr>
            <w:tcW w:w="0" w:type="auto"/>
            <w:tcMar>
              <w:top w:w="15" w:type="dxa"/>
              <w:left w:w="15" w:type="dxa"/>
              <w:bottom w:w="15" w:type="dxa"/>
              <w:right w:w="15" w:type="dxa"/>
            </w:tcMar>
            <w:hideMark/>
          </w:tcPr>
          <w:p w14:paraId="4F6B196B" w14:textId="77777777" w:rsidR="00503C32" w:rsidRDefault="00503C32" w:rsidP="004379C1">
            <w:pPr>
              <w:spacing w:before="30" w:after="30"/>
              <w:ind w:left="60" w:right="60"/>
            </w:pPr>
            <w:r>
              <w:rPr>
                <w:b/>
                <w:bCs/>
              </w:rPr>
              <w:t>Kline,​ Jeffrey A.,​Zeitouni,​ Raghid A.,​Hernandez-Nino,​ Jackeline,​Jones,​ Alan E.</w:t>
            </w:r>
            <w:r>
              <w:t xml:space="preserve">. </w:t>
            </w:r>
            <w:r>
              <w:rPr>
                <w:lang w:val="en-US"/>
              </w:rPr>
              <w:t xml:space="preserve">Randomized trial of computerized quantitative pretest probability in low-risk chest pain patients: effect on safety and resource use. </w:t>
            </w:r>
            <w:r>
              <w:rPr>
                <w:i/>
                <w:iCs/>
              </w:rPr>
              <w:t>Annals of emergency medicine.</w:t>
            </w:r>
            <w:r>
              <w:t xml:space="preserve"> 2009. 53:727-35.e1</w:t>
            </w:r>
          </w:p>
        </w:tc>
      </w:tr>
      <w:tr w:rsidR="00503C32" w14:paraId="603C93C4" w14:textId="77777777" w:rsidTr="004379C1">
        <w:tc>
          <w:tcPr>
            <w:tcW w:w="0" w:type="auto"/>
            <w:tcMar>
              <w:top w:w="15" w:type="dxa"/>
              <w:left w:w="15" w:type="dxa"/>
              <w:bottom w:w="15" w:type="dxa"/>
              <w:right w:w="15" w:type="dxa"/>
            </w:tcMar>
            <w:hideMark/>
          </w:tcPr>
          <w:p w14:paraId="5483D2D8" w14:textId="77777777" w:rsidR="00503C32" w:rsidRDefault="00503C32" w:rsidP="004379C1">
            <w:pPr>
              <w:spacing w:before="30" w:after="30"/>
              <w:ind w:left="60" w:right="60"/>
            </w:pPr>
            <w:r>
              <w:rPr>
                <w:b/>
                <w:bCs/>
              </w:rPr>
              <w:t>Koczy,​ P.,​Becker,​ C.,​Rapp,​ K.,​Klie,​ T.,​Beische,​ D.,​Büchele,​ G.,​Kleiner,​ A.,​Guerra,​ V.,​Rissmann,​ U.,​Kurrle,​ S.,​Bredthauer,​ D.</w:t>
            </w:r>
            <w:r>
              <w:t xml:space="preserve">. </w:t>
            </w:r>
            <w:r>
              <w:rPr>
                <w:lang w:val="en-US"/>
              </w:rPr>
              <w:t xml:space="preserve">Effectiveness of a multifactorial intervention to reduce physical restraints in nursing home residents. </w:t>
            </w:r>
            <w:r>
              <w:rPr>
                <w:i/>
                <w:iCs/>
              </w:rPr>
              <w:t>J Am Geriatr Soc.</w:t>
            </w:r>
            <w:r>
              <w:t xml:space="preserve"> 2011. 59:333-9</w:t>
            </w:r>
          </w:p>
        </w:tc>
      </w:tr>
      <w:tr w:rsidR="00503C32" w14:paraId="3392906D" w14:textId="77777777" w:rsidTr="004379C1">
        <w:tc>
          <w:tcPr>
            <w:tcW w:w="0" w:type="auto"/>
            <w:tcMar>
              <w:top w:w="15" w:type="dxa"/>
              <w:left w:w="15" w:type="dxa"/>
              <w:bottom w:w="15" w:type="dxa"/>
              <w:right w:w="15" w:type="dxa"/>
            </w:tcMar>
            <w:hideMark/>
          </w:tcPr>
          <w:p w14:paraId="0EFDA43E" w14:textId="77777777" w:rsidR="00503C32" w:rsidRDefault="00503C32" w:rsidP="004379C1">
            <w:pPr>
              <w:spacing w:before="30" w:after="30"/>
              <w:ind w:left="60" w:right="60"/>
            </w:pPr>
            <w:r>
              <w:rPr>
                <w:b/>
                <w:bCs/>
                <w:lang w:val="en-US"/>
              </w:rPr>
              <w:t>Kop̈ke,​ S.,​Muḧlhauser,​ I.,​Gerlach,​ A.,​Haut,​ A.,​Haastert,​ B.,​Moḧler,​ R.,​Meyer,​ G.</w:t>
            </w:r>
            <w:r>
              <w:rPr>
                <w:lang w:val="en-US"/>
              </w:rPr>
              <w:t xml:space="preserve">. Effect of a guideline-based multicomponent intervention on use of physical restraints in nursing homes: A randomized controlled trial. </w:t>
            </w:r>
            <w:r>
              <w:rPr>
                <w:i/>
                <w:iCs/>
              </w:rPr>
              <w:t>JAMA - Journal of the American Medical Association.</w:t>
            </w:r>
            <w:r>
              <w:t xml:space="preserve"> 2012. 307:2177-2184</w:t>
            </w:r>
          </w:p>
        </w:tc>
      </w:tr>
      <w:tr w:rsidR="00503C32" w14:paraId="6BEC7F2B" w14:textId="77777777" w:rsidTr="004379C1">
        <w:tc>
          <w:tcPr>
            <w:tcW w:w="0" w:type="auto"/>
            <w:tcMar>
              <w:top w:w="15" w:type="dxa"/>
              <w:left w:w="15" w:type="dxa"/>
              <w:bottom w:w="15" w:type="dxa"/>
              <w:right w:w="15" w:type="dxa"/>
            </w:tcMar>
            <w:hideMark/>
          </w:tcPr>
          <w:p w14:paraId="18BB7E64" w14:textId="77777777" w:rsidR="00503C32" w:rsidRDefault="00503C32" w:rsidP="004379C1">
            <w:pPr>
              <w:spacing w:before="30" w:after="30"/>
              <w:ind w:left="60" w:right="60"/>
            </w:pPr>
            <w:r>
              <w:rPr>
                <w:b/>
                <w:bCs/>
                <w:lang w:val="en-US"/>
              </w:rPr>
              <w:t>Kronman,​ Matthew P.,​ Gerber,​ Jeffrey S.,​ Grundmeier,​ Robert W.,​ Zhou,​ Chuan,​ Robinson,​ Jeffrey D.,​ Heritage,​ John,​ Stout,​ James,​ Burges,​ Dennis,​ Hedrick,​ Benjamin,​ Warren,​ Louise,​ Shalowitz,​ Madeleine,​ Shone,​ Laura P.,​ Steffes,​ Jennifer,​ Wright,​ Margaret,​ Fiks,​ Alexander G.,​ Mangione-Smith,​ Rita</w:t>
            </w:r>
            <w:r>
              <w:rPr>
                <w:lang w:val="en-US"/>
              </w:rPr>
              <w:t xml:space="preserve">. Reducing Antibiotic Prescribing in Primary Care for Respiratory Illness. </w:t>
            </w:r>
            <w:r>
              <w:rPr>
                <w:i/>
                <w:iCs/>
                <w:lang w:val="en-US"/>
              </w:rPr>
              <w:t>Pediatrics.</w:t>
            </w:r>
            <w:r>
              <w:rPr>
                <w:lang w:val="en-US"/>
              </w:rPr>
              <w:t xml:space="preserve"> </w:t>
            </w:r>
            <w:r>
              <w:t>2020. #volume#:#pages#</w:t>
            </w:r>
          </w:p>
        </w:tc>
      </w:tr>
      <w:tr w:rsidR="00503C32" w14:paraId="6889D606" w14:textId="77777777" w:rsidTr="004379C1">
        <w:tc>
          <w:tcPr>
            <w:tcW w:w="0" w:type="auto"/>
            <w:tcMar>
              <w:top w:w="15" w:type="dxa"/>
              <w:left w:w="15" w:type="dxa"/>
              <w:bottom w:w="15" w:type="dxa"/>
              <w:right w:w="15" w:type="dxa"/>
            </w:tcMar>
            <w:hideMark/>
          </w:tcPr>
          <w:p w14:paraId="6AD78157" w14:textId="77777777" w:rsidR="00503C32" w:rsidRDefault="00503C32" w:rsidP="004379C1">
            <w:pPr>
              <w:spacing w:before="30" w:after="30"/>
              <w:ind w:left="60" w:right="60"/>
            </w:pPr>
            <w:r>
              <w:rPr>
                <w:b/>
                <w:bCs/>
              </w:rPr>
              <w:t>Kullgren,​ Jeffrey Todd,​Krupka,​ Erin,​Schachter,​ Abigail,​Linden,​ Ariel,​Miller,​ Jacquelyn,​Acharya,​ Yubraj,​Alford,​ James,​Duffy,​ Richard,​Adler-Milstein,​ Julia</w:t>
            </w:r>
            <w:r>
              <w:t xml:space="preserve">. </w:t>
            </w:r>
            <w:r>
              <w:rPr>
                <w:lang w:val="en-US"/>
              </w:rPr>
              <w:t xml:space="preserve">Precommitting to choose wisely about low-value services: a stepped wedge cluster randomised trial. </w:t>
            </w:r>
            <w:r>
              <w:rPr>
                <w:i/>
                <w:iCs/>
              </w:rPr>
              <w:t>BMJ quality &amp; safety.</w:t>
            </w:r>
            <w:r>
              <w:t xml:space="preserve"> 2018. 27:355-364</w:t>
            </w:r>
          </w:p>
        </w:tc>
      </w:tr>
      <w:tr w:rsidR="00503C32" w14:paraId="7B58D0C3" w14:textId="77777777" w:rsidTr="004379C1">
        <w:tc>
          <w:tcPr>
            <w:tcW w:w="0" w:type="auto"/>
            <w:tcMar>
              <w:top w:w="15" w:type="dxa"/>
              <w:left w:w="15" w:type="dxa"/>
              <w:bottom w:w="15" w:type="dxa"/>
              <w:right w:w="15" w:type="dxa"/>
            </w:tcMar>
            <w:hideMark/>
          </w:tcPr>
          <w:p w14:paraId="0AE481EB" w14:textId="77777777" w:rsidR="00503C32" w:rsidRDefault="00503C32" w:rsidP="004379C1">
            <w:pPr>
              <w:spacing w:before="30" w:after="30"/>
              <w:ind w:left="60" w:right="60"/>
            </w:pPr>
            <w:r>
              <w:rPr>
                <w:b/>
                <w:bCs/>
                <w:lang w:val="en-US"/>
              </w:rPr>
              <w:t>Lampen-Smith,​ A.,​Young,​ J.,​O'Rourke,​ M. A.,​Balram,​ A.,​Inns,​ S.</w:t>
            </w:r>
            <w:r>
              <w:rPr>
                <w:lang w:val="en-US"/>
              </w:rPr>
              <w:t xml:space="preserve">. Blinded randomised controlled study of the effect of a discharge communication template on proton pump inhibitor prescribing. </w:t>
            </w:r>
            <w:r>
              <w:rPr>
                <w:i/>
                <w:iCs/>
              </w:rPr>
              <w:t>New Zealand Medical Journal.</w:t>
            </w:r>
            <w:r>
              <w:t xml:space="preserve"> 2012. 125:#pages#</w:t>
            </w:r>
          </w:p>
        </w:tc>
      </w:tr>
      <w:tr w:rsidR="00503C32" w14:paraId="0761D2D8" w14:textId="77777777" w:rsidTr="004379C1">
        <w:tc>
          <w:tcPr>
            <w:tcW w:w="0" w:type="auto"/>
            <w:tcMar>
              <w:top w:w="15" w:type="dxa"/>
              <w:left w:w="15" w:type="dxa"/>
              <w:bottom w:w="15" w:type="dxa"/>
              <w:right w:w="15" w:type="dxa"/>
            </w:tcMar>
            <w:hideMark/>
          </w:tcPr>
          <w:p w14:paraId="194DB21E" w14:textId="77777777" w:rsidR="00503C32" w:rsidRPr="004379C1" w:rsidRDefault="00503C32" w:rsidP="004379C1">
            <w:pPr>
              <w:spacing w:before="30" w:after="30"/>
              <w:ind w:left="60" w:right="60"/>
              <w:rPr>
                <w:lang w:val="en-US"/>
              </w:rPr>
            </w:pPr>
            <w:r>
              <w:rPr>
                <w:b/>
                <w:bCs/>
                <w:lang w:val="en-US"/>
              </w:rPr>
              <w:t>Le Corvoisier,​ Philippe,​Renard,​ Vincent,​Roudot-Thoraval,​ Francoise,​Cazalens,​ Thierry,​Veerabudun,​ Kalaivani,​Canoui-Poitrine,​ Florence,​Montagne,​ Olivier,​Attali,​ Claude</w:t>
            </w:r>
            <w:r>
              <w:rPr>
                <w:lang w:val="en-US"/>
              </w:rPr>
              <w:t xml:space="preserve">. Long-term effects of an educational seminar on antibiotic prescribing by GPs: a randomised controlled trial. </w:t>
            </w:r>
            <w:r>
              <w:rPr>
                <w:i/>
                <w:iCs/>
                <w:lang w:val="en-US"/>
              </w:rPr>
              <w:t>The British journal of general practice : the journal of the Royal College of General Practitioners.</w:t>
            </w:r>
            <w:r>
              <w:rPr>
                <w:lang w:val="en-US"/>
              </w:rPr>
              <w:t xml:space="preserve"> </w:t>
            </w:r>
            <w:r w:rsidRPr="004379C1">
              <w:rPr>
                <w:lang w:val="en-US"/>
              </w:rPr>
              <w:t>2013. 63:e455-64</w:t>
            </w:r>
          </w:p>
          <w:p w14:paraId="54B6E451" w14:textId="77777777" w:rsidR="00503C32" w:rsidRDefault="00503C32" w:rsidP="004379C1">
            <w:pPr>
              <w:pStyle w:val="ListParagraph"/>
              <w:spacing w:before="30" w:after="30"/>
              <w:ind w:left="420" w:right="60"/>
            </w:pPr>
            <w:r>
              <w:rPr>
                <w:b/>
                <w:bCs/>
                <w:lang w:val="en-US"/>
              </w:rPr>
              <w:lastRenderedPageBreak/>
              <w:t>Ferrat,​ E.,​Le Breton,​ J.,​Guery,​ E.,​Adeline,​ F.,​Audureau,​ E.,​Montagne,​ O.,​Roudot-Thoraval,​ F.,​Attali,​ C.,​Le Corvoisier,​ P.,​Renard,​ V.</w:t>
            </w:r>
            <w:r>
              <w:rPr>
                <w:lang w:val="en-US"/>
              </w:rPr>
              <w:t xml:space="preserve">. Effects 4.5 years after an interactive GP educational seminar on antibiotic therapy for respiratory tract infections: a randomized controlled trial. </w:t>
            </w:r>
            <w:r>
              <w:rPr>
                <w:i/>
                <w:iCs/>
              </w:rPr>
              <w:t>Family practice.</w:t>
            </w:r>
            <w:r>
              <w:t xml:space="preserve"> 2016. 33:192-9</w:t>
            </w:r>
          </w:p>
        </w:tc>
      </w:tr>
      <w:tr w:rsidR="00503C32" w14:paraId="5AA3BEF8" w14:textId="77777777" w:rsidTr="004379C1">
        <w:tc>
          <w:tcPr>
            <w:tcW w:w="0" w:type="auto"/>
            <w:tcMar>
              <w:top w:w="15" w:type="dxa"/>
              <w:left w:w="15" w:type="dxa"/>
              <w:bottom w:w="15" w:type="dxa"/>
              <w:right w:w="15" w:type="dxa"/>
            </w:tcMar>
            <w:hideMark/>
          </w:tcPr>
          <w:p w14:paraId="4EE24CA9" w14:textId="77777777" w:rsidR="00503C32" w:rsidRDefault="00503C32" w:rsidP="004379C1">
            <w:pPr>
              <w:spacing w:before="30" w:after="30"/>
              <w:ind w:left="60" w:right="60"/>
            </w:pPr>
            <w:r>
              <w:rPr>
                <w:b/>
                <w:bCs/>
              </w:rPr>
              <w:lastRenderedPageBreak/>
              <w:t>Lee,​ Magdalene Hui Min,​Pan,​ Darius Shaw Teng,​Huang,​ Joyce Huixin,​Chen,​ Mark I. Cheng,​Chong,​ Joash Wen Chen,​Goh,​ Ee Hui,​Jiang,​ Lili,​Leo,​ Yee Sin,​Lee,​ Tau Hong,​Wong,​ Chia Siong,​Loh,​ Victor Weng Keong,​Lim,​ Fong Seng,​Poh,​ Adrian Zhongxian,​Tham,​ Tat Yean,​Wong,​ Wei Mon,​Yu,​ Yue</w:t>
            </w:r>
            <w:r>
              <w:t xml:space="preserve">. </w:t>
            </w:r>
            <w:r>
              <w:rPr>
                <w:lang w:val="en-US"/>
              </w:rPr>
              <w:t xml:space="preserve">Results from a Patient-Based Health Education Intervention in Reducing Antibiotic Use for Acute Upper Respiratory Tract Infections in the Private Sector Primary Care Setting in Singapore. </w:t>
            </w:r>
            <w:r>
              <w:rPr>
                <w:i/>
                <w:iCs/>
              </w:rPr>
              <w:t>Antimicrobial agents and chemotherapy.</w:t>
            </w:r>
            <w:r>
              <w:t xml:space="preserve"> 2017. 61:#pages#</w:t>
            </w:r>
          </w:p>
        </w:tc>
      </w:tr>
      <w:tr w:rsidR="00503C32" w14:paraId="5F6F7B21" w14:textId="77777777" w:rsidTr="004379C1">
        <w:tc>
          <w:tcPr>
            <w:tcW w:w="0" w:type="auto"/>
            <w:tcMar>
              <w:top w:w="15" w:type="dxa"/>
              <w:left w:w="15" w:type="dxa"/>
              <w:bottom w:w="15" w:type="dxa"/>
              <w:right w:w="15" w:type="dxa"/>
            </w:tcMar>
            <w:hideMark/>
          </w:tcPr>
          <w:p w14:paraId="1C475899" w14:textId="77777777" w:rsidR="00503C32" w:rsidRPr="006917C1" w:rsidRDefault="00503C32" w:rsidP="004379C1">
            <w:pPr>
              <w:spacing w:before="30" w:after="30"/>
              <w:ind w:left="60" w:right="60"/>
              <w:rPr>
                <w:lang w:val="en-US"/>
              </w:rPr>
            </w:pPr>
            <w:r>
              <w:rPr>
                <w:b/>
                <w:bCs/>
                <w:lang w:val="en-US"/>
              </w:rPr>
              <w:t>Legare,​ France,​Labrecque,​ Michel,​Cauchon,​ Michel,​Castel,​ Josette,​Turcotte,​ Stephane,​Grimshaw,​ Jeremy</w:t>
            </w:r>
            <w:r>
              <w:rPr>
                <w:lang w:val="en-US"/>
              </w:rPr>
              <w:t xml:space="preserve">. Training family physicians in shared decision-making to reduce the overuse of antibiotics in acute respiratory infections: a cluster randomized trial. </w:t>
            </w:r>
            <w:r>
              <w:rPr>
                <w:i/>
                <w:iCs/>
                <w:lang w:val="en-US"/>
              </w:rPr>
              <w:t>CMAJ : Canadian Medical Association journal = journal de l'Association medicale canadienne.</w:t>
            </w:r>
            <w:r>
              <w:rPr>
                <w:lang w:val="en-US"/>
              </w:rPr>
              <w:t xml:space="preserve"> </w:t>
            </w:r>
            <w:r w:rsidRPr="006917C1">
              <w:rPr>
                <w:lang w:val="en-US"/>
              </w:rPr>
              <w:t>2012. 184:E726-34</w:t>
            </w:r>
          </w:p>
          <w:p w14:paraId="79341DFD" w14:textId="7C88CB7F" w:rsidR="000655DA" w:rsidRDefault="000655DA" w:rsidP="000655DA">
            <w:pPr>
              <w:spacing w:before="30" w:after="30"/>
              <w:ind w:left="720" w:right="60"/>
            </w:pPr>
            <w:r>
              <w:rPr>
                <w:b/>
                <w:bCs/>
                <w:lang w:val="en-US"/>
              </w:rPr>
              <w:t>Légaré,​ F.,​Labrecque,​ M.,​LeBlanc,​ A.,​Njoya,​ M.,​Laurier,​ C.,​Côté,​ L.,​Godin,​ G.,​Thivierge,​ R. L.,​O'Connor,​ A.,​St-Jacques,​ S.</w:t>
            </w:r>
            <w:r>
              <w:rPr>
                <w:lang w:val="en-US"/>
              </w:rPr>
              <w:t xml:space="preserve">. Training family physicians in shared decision making for the use of antibiotics for acute respiratory infections: a pilot clustered randomized controlled trial. </w:t>
            </w:r>
            <w:r>
              <w:rPr>
                <w:i/>
                <w:iCs/>
              </w:rPr>
              <w:t>Health Expect.</w:t>
            </w:r>
            <w:r>
              <w:t xml:space="preserve"> 2011. 14 Suppl 1:96-110</w:t>
            </w:r>
          </w:p>
        </w:tc>
      </w:tr>
      <w:tr w:rsidR="00503C32" w14:paraId="176959B0" w14:textId="77777777" w:rsidTr="004379C1">
        <w:tc>
          <w:tcPr>
            <w:tcW w:w="0" w:type="auto"/>
            <w:tcMar>
              <w:top w:w="15" w:type="dxa"/>
              <w:left w:w="15" w:type="dxa"/>
              <w:bottom w:w="15" w:type="dxa"/>
              <w:right w:w="15" w:type="dxa"/>
            </w:tcMar>
            <w:hideMark/>
          </w:tcPr>
          <w:p w14:paraId="52D38385" w14:textId="77777777" w:rsidR="00503C32" w:rsidRDefault="00503C32" w:rsidP="004379C1">
            <w:pPr>
              <w:spacing w:before="30" w:after="30"/>
              <w:ind w:left="60" w:right="60"/>
            </w:pPr>
            <w:r>
              <w:rPr>
                <w:b/>
                <w:bCs/>
                <w:lang w:val="en-US"/>
              </w:rPr>
              <w:t>Lemiengre,​ Marieke B.,​Verbakel,​ Jan Y.,​Colman,​ Roos,​De Burghgraeve,​ Tine,​Buntinx,​ Frank,​Aertgeerts,​ Bert,​De Baets,​ Frans,​De Sutter,​ An</w:t>
            </w:r>
            <w:r>
              <w:rPr>
                <w:lang w:val="en-US"/>
              </w:rPr>
              <w:t xml:space="preserve">. Reducing inappropriate antibiotic prescribing for children in primary care: a cluster randomised controlled trial of two interventions. </w:t>
            </w:r>
            <w:r>
              <w:rPr>
                <w:i/>
                <w:iCs/>
                <w:lang w:val="en-US"/>
              </w:rPr>
              <w:t>The British journal of general practice : the journal of the Royal College of General Practitioners.</w:t>
            </w:r>
            <w:r>
              <w:rPr>
                <w:lang w:val="en-US"/>
              </w:rPr>
              <w:t xml:space="preserve"> </w:t>
            </w:r>
            <w:r>
              <w:t>2018. 68:e204-e210</w:t>
            </w:r>
          </w:p>
        </w:tc>
      </w:tr>
      <w:tr w:rsidR="00503C32" w14:paraId="57949943" w14:textId="77777777" w:rsidTr="004379C1">
        <w:tc>
          <w:tcPr>
            <w:tcW w:w="0" w:type="auto"/>
            <w:tcMar>
              <w:top w:w="15" w:type="dxa"/>
              <w:left w:w="15" w:type="dxa"/>
              <w:bottom w:w="15" w:type="dxa"/>
              <w:right w:w="15" w:type="dxa"/>
            </w:tcMar>
            <w:hideMark/>
          </w:tcPr>
          <w:p w14:paraId="3FA27CA5" w14:textId="77777777" w:rsidR="00503C32" w:rsidRDefault="00503C32" w:rsidP="004379C1">
            <w:pPr>
              <w:spacing w:before="30" w:after="30"/>
              <w:ind w:left="60" w:right="60"/>
            </w:pPr>
            <w:r>
              <w:rPr>
                <w:b/>
                <w:bCs/>
              </w:rPr>
              <w:t>Linder,​ Jeffrey A.,​Schnipper,​ Jeffrey L.,​Tsurikova,​ Ruslana,​Yu,​ D. Tony,​Volk,​ Lynn A.,​Melnikas,​ Andrea J.,​Palchuk,​ Matvey B.,​Olsha-Yehiav,​ Maya,​Middleton,​ Blackford</w:t>
            </w:r>
            <w:r>
              <w:t xml:space="preserve">. </w:t>
            </w:r>
            <w:r>
              <w:rPr>
                <w:lang w:val="en-US"/>
              </w:rPr>
              <w:t xml:space="preserve">Electronic health record feedback to improve antibiotic prescribing for acute respiratory infections. </w:t>
            </w:r>
            <w:r>
              <w:rPr>
                <w:i/>
                <w:iCs/>
              </w:rPr>
              <w:t>The American journal of managed care.</w:t>
            </w:r>
            <w:r>
              <w:t xml:space="preserve"> 2010. 16:e311-9</w:t>
            </w:r>
          </w:p>
        </w:tc>
      </w:tr>
      <w:tr w:rsidR="00503C32" w14:paraId="77C6AC6A" w14:textId="77777777" w:rsidTr="004379C1">
        <w:tc>
          <w:tcPr>
            <w:tcW w:w="0" w:type="auto"/>
            <w:tcMar>
              <w:top w:w="15" w:type="dxa"/>
              <w:left w:w="15" w:type="dxa"/>
              <w:bottom w:w="15" w:type="dxa"/>
              <w:right w:w="15" w:type="dxa"/>
            </w:tcMar>
            <w:hideMark/>
          </w:tcPr>
          <w:p w14:paraId="7AC87894" w14:textId="77777777" w:rsidR="00503C32" w:rsidRDefault="00503C32" w:rsidP="004379C1">
            <w:pPr>
              <w:spacing w:before="30" w:after="30"/>
              <w:ind w:left="60" w:right="60"/>
            </w:pPr>
            <w:r>
              <w:rPr>
                <w:b/>
                <w:bCs/>
              </w:rPr>
              <w:t>Linder,​ Jeffrey A.,​Schnipper,​ Jeffrey L.,​Tsurikova,​ Ruslana,​Yu,​ Tony,​Volk,​ Lynn A.,​Melnikas,​ Andrea J.,​Palchuk,​ Matvey B.,​Olsha-Yehiav,​ Maya,​Middleton,​ Blackford</w:t>
            </w:r>
            <w:r>
              <w:t xml:space="preserve">. </w:t>
            </w:r>
            <w:r>
              <w:rPr>
                <w:lang w:val="en-US"/>
              </w:rPr>
              <w:t xml:space="preserve">Documentation-based clinical decision support to improve antibiotic prescribing for acute respiratory infections in primary care: a cluster randomised controlled trial. </w:t>
            </w:r>
            <w:r>
              <w:rPr>
                <w:i/>
                <w:iCs/>
              </w:rPr>
              <w:t>Informatics in primary care.</w:t>
            </w:r>
            <w:r>
              <w:t xml:space="preserve"> 2009. 17:231-40</w:t>
            </w:r>
          </w:p>
        </w:tc>
      </w:tr>
      <w:tr w:rsidR="00503C32" w14:paraId="4950C7B1" w14:textId="77777777" w:rsidTr="004379C1">
        <w:tc>
          <w:tcPr>
            <w:tcW w:w="0" w:type="auto"/>
            <w:tcMar>
              <w:top w:w="15" w:type="dxa"/>
              <w:left w:w="15" w:type="dxa"/>
              <w:bottom w:w="15" w:type="dxa"/>
              <w:right w:w="15" w:type="dxa"/>
            </w:tcMar>
            <w:hideMark/>
          </w:tcPr>
          <w:p w14:paraId="1BD15905" w14:textId="77777777" w:rsidR="00503C32" w:rsidRDefault="00503C32" w:rsidP="004379C1">
            <w:pPr>
              <w:spacing w:before="30" w:after="30"/>
              <w:ind w:left="60" w:right="60"/>
            </w:pPr>
            <w:r>
              <w:rPr>
                <w:b/>
                <w:bCs/>
              </w:rPr>
              <w:t>Lionis,​ C.,​Petelos,​ E.,​Shea,​ S.,​Bagiartaki,​ G.,​Tsiligianni,​ I. G.,​Kamekis,​ A.,​Tsiantou,​ V.,​Papadakaki,​ M.,​Tatsioni,​ A.,​Moschandreas,​ J.,​Saridaki,​ A.,​Bertsias,​ A.,​Faresjö,​ T.,​Faresjö,​ A.,​Martinez,​ L.,​Agius,​ D.,​Uncu,​ Y.,​Samoutis,​ G.,​Vlcek,​ J.,​Abasaeed,​ A.,​Merkouris,​ B.</w:t>
            </w:r>
            <w:r>
              <w:t xml:space="preserve">. </w:t>
            </w:r>
            <w:r>
              <w:rPr>
                <w:lang w:val="en-US"/>
              </w:rPr>
              <w:t xml:space="preserve">Irrational prescribing of over-the-counter (OTC) medicines in general practice: Testing the feasibility of an educational intervention among physicians in five European countries. </w:t>
            </w:r>
            <w:r>
              <w:rPr>
                <w:i/>
                <w:iCs/>
              </w:rPr>
              <w:t>BMC Family Practice.</w:t>
            </w:r>
            <w:r>
              <w:t xml:space="preserve"> 2014. 15:#pages#</w:t>
            </w:r>
          </w:p>
        </w:tc>
      </w:tr>
      <w:tr w:rsidR="00503C32" w14:paraId="1B6818FE" w14:textId="77777777" w:rsidTr="004379C1">
        <w:tc>
          <w:tcPr>
            <w:tcW w:w="0" w:type="auto"/>
            <w:tcMar>
              <w:top w:w="15" w:type="dxa"/>
              <w:left w:w="15" w:type="dxa"/>
              <w:bottom w:w="15" w:type="dxa"/>
              <w:right w:w="15" w:type="dxa"/>
            </w:tcMar>
          </w:tcPr>
          <w:p w14:paraId="3B09B7F4" w14:textId="77777777" w:rsidR="00503C32" w:rsidRPr="004379C1" w:rsidRDefault="00503C32" w:rsidP="004379C1">
            <w:pPr>
              <w:spacing w:before="30" w:after="30"/>
              <w:ind w:left="60" w:right="60"/>
              <w:rPr>
                <w:lang w:val="en-US"/>
              </w:rPr>
            </w:pPr>
            <w:r>
              <w:rPr>
                <w:b/>
                <w:bCs/>
              </w:rPr>
              <w:t>Little,​ Paul,​Stuart,​ Beth,​Francis,​ Nick,​Douglas,​ Elaine,​Tonkin-Crine,​ Sarah,​Anthierens,​ Sibyl,​Cals,​ Jochen W. L.,​Melbye,​ Hasse,​Santer,​ Miriam,​Moore,​ Michael,​Coenen,​ Samuel,​Butler,​ Chris,​Hood,​ Kerenza,​Kelly,​ Mark,​Godycki-Cwirko,​ Maciek,​Mierzecki,​ Artur,​Torres,​ Antoni,​Llor,​ Carl,​Davies,​ Melanie,​Mullee,​ Mark,​O'Reilly,​ Gilly,​van der Velden,​ Alike,​Geraghty,​ Adam W. A.,​Goossens,​ Herman,​Verheij,​ Theo,​Yardley,​ Lucy,​Grace consortium</w:t>
            </w:r>
            <w:r>
              <w:t xml:space="preserve">. </w:t>
            </w:r>
            <w:r>
              <w:rPr>
                <w:lang w:val="en-US"/>
              </w:rPr>
              <w:t xml:space="preserve">Effects of internet-based training on antibiotic prescribing rates for acute respiratory-tract infections: a multinational,​ cluster,​ randomised,​ factorial,​ controlled trial. </w:t>
            </w:r>
            <w:r w:rsidRPr="004379C1">
              <w:rPr>
                <w:i/>
                <w:iCs/>
                <w:lang w:val="en-US"/>
              </w:rPr>
              <w:t>Lancet (London,​ England).</w:t>
            </w:r>
            <w:r w:rsidRPr="004379C1">
              <w:rPr>
                <w:lang w:val="en-US"/>
              </w:rPr>
              <w:t xml:space="preserve"> 2013. 382:1175-82</w:t>
            </w:r>
          </w:p>
          <w:p w14:paraId="7EE2DFA2" w14:textId="77777777" w:rsidR="00503C32" w:rsidRPr="004379C1" w:rsidRDefault="00503C32" w:rsidP="004379C1">
            <w:pPr>
              <w:spacing w:before="30" w:after="30"/>
              <w:ind w:left="60" w:right="60"/>
              <w:rPr>
                <w:lang w:val="en-US"/>
              </w:rPr>
            </w:pPr>
          </w:p>
          <w:p w14:paraId="60AA3B71" w14:textId="77777777" w:rsidR="00503C32" w:rsidRPr="004379C1" w:rsidRDefault="00503C32" w:rsidP="004379C1">
            <w:pPr>
              <w:pStyle w:val="ListParagraph"/>
              <w:spacing w:before="30" w:after="30"/>
              <w:ind w:left="420" w:right="60"/>
              <w:rPr>
                <w:lang w:val="en-US"/>
              </w:rPr>
            </w:pPr>
            <w:r w:rsidRPr="004379C1">
              <w:rPr>
                <w:b/>
                <w:bCs/>
                <w:lang w:val="en-US"/>
              </w:rPr>
              <w:t xml:space="preserve">Little,​ Paul,​Stuart,​ Beth,​Francis,​ Nick,​Douglas,​ Elaine,​Tonkin-Crine,​ Sarah,​Anthierens,​ </w:t>
            </w:r>
            <w:r w:rsidRPr="004379C1">
              <w:rPr>
                <w:b/>
                <w:bCs/>
                <w:lang w:val="en-US"/>
              </w:rPr>
              <w:lastRenderedPageBreak/>
              <w:t>Sibyl,​Cals,​ Jochen W. L.,​Melbye,​ Hasse,​Santer,​ Miriam,​Moore,​ Michael,​Coenen,​ Samuel,​Butler,​ Chris C.,​Hood,​ Kerenza,​Kelson,​ Mark,​Godycki-Cwirko,​ Maciek,​Mierzecki,​ Artur,​Torres,​ Antoni,​Llor,​ Carl,​Davies,​ Melanie,​Mullee,​ Mark,​O'Reilly,​ Gilly,​van der Velden,​ Alike,​Geraghty,​ Adam W. A.,​Goossens,​ Herman,​Verheij,​ Theo,​Yardley,​ Lucy,​Grace consortium</w:t>
            </w:r>
            <w:r w:rsidRPr="004379C1">
              <w:rPr>
                <w:lang w:val="en-US"/>
              </w:rPr>
              <w:t xml:space="preserve">. </w:t>
            </w:r>
            <w:r>
              <w:rPr>
                <w:lang w:val="en-US"/>
              </w:rPr>
              <w:t xml:space="preserve">Antibiotic Prescribing for Acute Respiratory Tract Infections 12 Months After Communication and CRP Training: A Randomized Trial. </w:t>
            </w:r>
            <w:r w:rsidRPr="004379C1">
              <w:rPr>
                <w:i/>
                <w:iCs/>
                <w:lang w:val="en-US"/>
              </w:rPr>
              <w:t>Annals of family medicine.</w:t>
            </w:r>
            <w:r w:rsidRPr="004379C1">
              <w:rPr>
                <w:lang w:val="en-US"/>
              </w:rPr>
              <w:t xml:space="preserve"> 2019. 17:125-132</w:t>
            </w:r>
          </w:p>
          <w:p w14:paraId="7DB745F9" w14:textId="77777777" w:rsidR="00503C32" w:rsidRDefault="00503C32" w:rsidP="004379C1">
            <w:pPr>
              <w:pStyle w:val="ListParagraph"/>
              <w:spacing w:before="30" w:after="30"/>
              <w:ind w:left="420" w:right="60"/>
            </w:pPr>
            <w:r>
              <w:rPr>
                <w:b/>
                <w:bCs/>
                <w:lang w:val="en-US"/>
              </w:rPr>
              <w:t>Oppong, Raymond,Smith, Richard D.,Little, Paul,Verheij, Theo,Butler, Christopher C.,Goossens, Herman,Coenen, Samuel,Jowett, Sue,Roberts, Tracy E.,Achana, Felix,Stuart, Beth,Coast, Joanna</w:t>
            </w:r>
            <w:r>
              <w:rPr>
                <w:lang w:val="en-US"/>
              </w:rPr>
              <w:t>. Cost-effectiveness of internet-based training for primary care clinicians on antibiotic prescribing for acute respiratory tract infections in Europe. </w:t>
            </w:r>
            <w:r>
              <w:rPr>
                <w:i/>
                <w:iCs/>
              </w:rPr>
              <w:t>The Journal of antimicrobial chemotherapy.</w:t>
            </w:r>
            <w:r>
              <w:t> 2018. 73:3189-3198</w:t>
            </w:r>
          </w:p>
          <w:p w14:paraId="7B045F2F" w14:textId="77777777" w:rsidR="00503C32" w:rsidRDefault="00503C32" w:rsidP="004379C1">
            <w:pPr>
              <w:pStyle w:val="ListParagraph"/>
              <w:spacing w:before="30" w:after="30"/>
              <w:ind w:left="420" w:right="60"/>
            </w:pPr>
          </w:p>
          <w:p w14:paraId="71C4867B" w14:textId="77777777" w:rsidR="00503C32" w:rsidRDefault="00503C32" w:rsidP="004379C1">
            <w:pPr>
              <w:spacing w:before="30" w:after="30"/>
              <w:ind w:left="60" w:right="60"/>
            </w:pPr>
          </w:p>
        </w:tc>
      </w:tr>
      <w:tr w:rsidR="00503C32" w:rsidRPr="00A16D7D" w14:paraId="4DF92FA9" w14:textId="77777777" w:rsidTr="004379C1">
        <w:tc>
          <w:tcPr>
            <w:tcW w:w="0" w:type="auto"/>
            <w:tcMar>
              <w:top w:w="15" w:type="dxa"/>
              <w:left w:w="15" w:type="dxa"/>
              <w:bottom w:w="15" w:type="dxa"/>
              <w:right w:w="15" w:type="dxa"/>
            </w:tcMar>
            <w:hideMark/>
          </w:tcPr>
          <w:p w14:paraId="039388F1" w14:textId="77777777" w:rsidR="00503C32" w:rsidRDefault="00503C32" w:rsidP="004379C1">
            <w:pPr>
              <w:spacing w:before="30" w:after="30"/>
              <w:ind w:left="60" w:right="60"/>
              <w:rPr>
                <w:lang w:val="en-US"/>
              </w:rPr>
            </w:pPr>
            <w:r>
              <w:rPr>
                <w:b/>
                <w:bCs/>
              </w:rPr>
              <w:lastRenderedPageBreak/>
              <w:t>Liu,​ Chenxi,​Zhang,​ Xinping,​Wang,​ Xuan,​Zhang,​ Xiaopeng,​Wan,​ Jie,​Zhong,​ Fangying</w:t>
            </w:r>
            <w:r>
              <w:t xml:space="preserve">. </w:t>
            </w:r>
            <w:r>
              <w:rPr>
                <w:lang w:val="en-US"/>
              </w:rPr>
              <w:t xml:space="preserve">Does public reporting influence antibiotic and injection prescribing to all patients? A cluster-randomized matched-pair trial in china. </w:t>
            </w:r>
            <w:r>
              <w:rPr>
                <w:i/>
                <w:iCs/>
                <w:lang w:val="en-US"/>
              </w:rPr>
              <w:t>Medicine.</w:t>
            </w:r>
            <w:r>
              <w:rPr>
                <w:lang w:val="en-US"/>
              </w:rPr>
              <w:t xml:space="preserve"> 2016. 95:e3965</w:t>
            </w:r>
          </w:p>
        </w:tc>
      </w:tr>
      <w:tr w:rsidR="00503C32" w14:paraId="6473CA09" w14:textId="77777777" w:rsidTr="004379C1">
        <w:tc>
          <w:tcPr>
            <w:tcW w:w="0" w:type="auto"/>
            <w:tcMar>
              <w:top w:w="15" w:type="dxa"/>
              <w:left w:w="15" w:type="dxa"/>
              <w:bottom w:w="15" w:type="dxa"/>
              <w:right w:w="15" w:type="dxa"/>
            </w:tcMar>
            <w:hideMark/>
          </w:tcPr>
          <w:p w14:paraId="6BA64361" w14:textId="77777777" w:rsidR="00503C32" w:rsidRDefault="00503C32" w:rsidP="004379C1">
            <w:pPr>
              <w:spacing w:before="30" w:after="30"/>
              <w:ind w:left="60" w:right="60"/>
            </w:pPr>
            <w:r>
              <w:rPr>
                <w:b/>
                <w:bCs/>
                <w:lang w:val="en-US"/>
              </w:rPr>
              <w:t>Loeb,​ Mark,​Brazil,​ Kevin,​Lohfeld,​ Lynne,​McGeer,​ Allison,​Simor,​ Andrew,​Stevenson,​ Kurt,​Zoutman,​ Dick,​Smith,​ Stephanie,​Liu,​ Xiwu,​Walter,​ Stephen D.</w:t>
            </w:r>
            <w:r>
              <w:rPr>
                <w:lang w:val="en-US"/>
              </w:rPr>
              <w:t xml:space="preserve">. Effect of a multifaceted intervention on number of antimicrobial prescriptions for suspected urinary tract infections in residents of nursing homes: cluster randomised controlled trial. </w:t>
            </w:r>
            <w:r>
              <w:rPr>
                <w:i/>
                <w:iCs/>
              </w:rPr>
              <w:t>BMJ (Clinical research ed.).</w:t>
            </w:r>
            <w:r>
              <w:t xml:space="preserve"> 2005. 331:669</w:t>
            </w:r>
          </w:p>
        </w:tc>
      </w:tr>
      <w:tr w:rsidR="00503C32" w14:paraId="1E94854A" w14:textId="77777777" w:rsidTr="004379C1">
        <w:tc>
          <w:tcPr>
            <w:tcW w:w="0" w:type="auto"/>
            <w:tcMar>
              <w:top w:w="15" w:type="dxa"/>
              <w:left w:w="15" w:type="dxa"/>
              <w:bottom w:w="15" w:type="dxa"/>
              <w:right w:w="15" w:type="dxa"/>
            </w:tcMar>
            <w:hideMark/>
          </w:tcPr>
          <w:p w14:paraId="491AA764" w14:textId="77777777" w:rsidR="00503C32" w:rsidRDefault="00503C32" w:rsidP="004379C1">
            <w:pPr>
              <w:spacing w:before="30" w:after="30"/>
              <w:ind w:left="60" w:right="60"/>
            </w:pPr>
            <w:r>
              <w:rPr>
                <w:b/>
                <w:bCs/>
                <w:lang w:val="en-US"/>
              </w:rPr>
              <w:t>Loeb,​ Mark,​Hunt,​ Derek,​O'Halloran,​ Kelly,​Carusone,​ Soo Chan,​Dafoe,​ Nancy,​Walter,​ Stephen D.</w:t>
            </w:r>
            <w:r>
              <w:rPr>
                <w:lang w:val="en-US"/>
              </w:rPr>
              <w:t xml:space="preserve">. Stop orders to reduce inappropriate urinary catheterization in hospitalized patients: a randomized controlled trial. </w:t>
            </w:r>
            <w:r>
              <w:rPr>
                <w:i/>
                <w:iCs/>
              </w:rPr>
              <w:t>Journal of general internal medicine.</w:t>
            </w:r>
            <w:r>
              <w:t xml:space="preserve"> 2008. 23:816-20</w:t>
            </w:r>
          </w:p>
        </w:tc>
      </w:tr>
      <w:tr w:rsidR="002043C9" w14:paraId="15A493E1" w14:textId="77777777" w:rsidTr="004379C1">
        <w:tc>
          <w:tcPr>
            <w:tcW w:w="0" w:type="auto"/>
            <w:tcMar>
              <w:top w:w="15" w:type="dxa"/>
              <w:left w:w="15" w:type="dxa"/>
              <w:bottom w:w="15" w:type="dxa"/>
              <w:right w:w="15" w:type="dxa"/>
            </w:tcMar>
          </w:tcPr>
          <w:p w14:paraId="185F2895" w14:textId="550AB32E" w:rsidR="002043C9" w:rsidRPr="002043C9" w:rsidRDefault="002043C9" w:rsidP="002043C9">
            <w:pPr>
              <w:spacing w:before="30" w:after="30"/>
              <w:ind w:left="60" w:right="60"/>
              <w:rPr>
                <w:b/>
                <w:bCs/>
              </w:rPr>
            </w:pPr>
            <w:r w:rsidRPr="002043C9">
              <w:rPr>
                <w:b/>
                <w:bCs/>
                <w:lang w:val="en-US"/>
              </w:rPr>
              <w:t xml:space="preserve">Lomas J, Enkin M, Anderson GM, Hannah WJ, Vayda E, Singer J. </w:t>
            </w:r>
            <w:r w:rsidRPr="002043C9">
              <w:rPr>
                <w:bCs/>
                <w:lang w:val="en-US"/>
              </w:rPr>
              <w:t xml:space="preserve">Opinion leaders vs audit and feedback to implement practice guidelines. </w:t>
            </w:r>
            <w:r w:rsidRPr="002043C9">
              <w:rPr>
                <w:bCs/>
              </w:rPr>
              <w:t>Delivery after previous cesarean section. </w:t>
            </w:r>
            <w:r w:rsidRPr="002043C9">
              <w:rPr>
                <w:bCs/>
                <w:i/>
                <w:iCs/>
              </w:rPr>
              <w:t>JAMA</w:t>
            </w:r>
            <w:r w:rsidRPr="002043C9">
              <w:rPr>
                <w:bCs/>
              </w:rPr>
              <w:t>. 1991;265(17):2202-2207.</w:t>
            </w:r>
          </w:p>
        </w:tc>
      </w:tr>
      <w:tr w:rsidR="00503C32" w14:paraId="6300769F" w14:textId="77777777" w:rsidTr="004379C1">
        <w:tc>
          <w:tcPr>
            <w:tcW w:w="0" w:type="auto"/>
            <w:tcMar>
              <w:top w:w="15" w:type="dxa"/>
              <w:left w:w="15" w:type="dxa"/>
              <w:bottom w:w="15" w:type="dxa"/>
              <w:right w:w="15" w:type="dxa"/>
            </w:tcMar>
            <w:hideMark/>
          </w:tcPr>
          <w:p w14:paraId="42CA392E" w14:textId="77777777" w:rsidR="00503C32" w:rsidRDefault="00503C32" w:rsidP="004379C1">
            <w:pPr>
              <w:spacing w:before="30" w:after="30"/>
              <w:ind w:left="60" w:right="60"/>
            </w:pPr>
            <w:r>
              <w:rPr>
                <w:b/>
                <w:bCs/>
                <w:lang w:val="en-US"/>
              </w:rPr>
              <w:t>Macfarlane,​ John,​Holmes,​ William,​Gard,​ Philip,​Thornhill,​ David,​Macfarlane,​ Rosamund,​Hubbard,​ Richard</w:t>
            </w:r>
            <w:r>
              <w:rPr>
                <w:lang w:val="en-US"/>
              </w:rPr>
              <w:t xml:space="preserve">. Reducing antibiotic use for acute bronchitis in primary care: blinded,​ randomised controlled trial of patient information leaflet. </w:t>
            </w:r>
            <w:r>
              <w:rPr>
                <w:i/>
                <w:iCs/>
              </w:rPr>
              <w:t>BMJ (Clinical research ed.).</w:t>
            </w:r>
            <w:r>
              <w:t xml:space="preserve"> 2002. 324:91-4</w:t>
            </w:r>
          </w:p>
        </w:tc>
      </w:tr>
      <w:tr w:rsidR="00503C32" w14:paraId="06F8551A" w14:textId="77777777" w:rsidTr="004379C1">
        <w:tc>
          <w:tcPr>
            <w:tcW w:w="0" w:type="auto"/>
            <w:tcMar>
              <w:top w:w="15" w:type="dxa"/>
              <w:left w:w="15" w:type="dxa"/>
              <w:bottom w:w="15" w:type="dxa"/>
              <w:right w:w="15" w:type="dxa"/>
            </w:tcMar>
            <w:hideMark/>
          </w:tcPr>
          <w:p w14:paraId="23D39498" w14:textId="77777777" w:rsidR="00503C32" w:rsidRDefault="00503C32" w:rsidP="004379C1">
            <w:pPr>
              <w:spacing w:before="30" w:after="30"/>
              <w:ind w:left="60" w:right="60"/>
            </w:pPr>
            <w:r>
              <w:rPr>
                <w:b/>
                <w:bCs/>
                <w:lang w:val="en-US"/>
              </w:rPr>
              <w:t>Mainous Iii,​ A. G.,​Hueston,​ W. J.,​Love,​ M. M.,​Evans,​ M. E.,​Finger,​ R.</w:t>
            </w:r>
            <w:r>
              <w:rPr>
                <w:lang w:val="en-US"/>
              </w:rPr>
              <w:t xml:space="preserve">. An evaluation of statewide strategies to reduce antibiotic overuse. </w:t>
            </w:r>
            <w:r>
              <w:rPr>
                <w:i/>
                <w:iCs/>
                <w:lang w:val="en-US"/>
              </w:rPr>
              <w:t>Family Medicine.</w:t>
            </w:r>
            <w:r>
              <w:rPr>
                <w:lang w:val="en-US"/>
              </w:rPr>
              <w:t xml:space="preserve"> </w:t>
            </w:r>
            <w:r>
              <w:t>2000. 32:22-29</w:t>
            </w:r>
          </w:p>
        </w:tc>
      </w:tr>
      <w:tr w:rsidR="00503C32" w14:paraId="2212DDF1" w14:textId="77777777" w:rsidTr="004379C1">
        <w:tc>
          <w:tcPr>
            <w:tcW w:w="0" w:type="auto"/>
            <w:tcMar>
              <w:top w:w="15" w:type="dxa"/>
              <w:left w:w="15" w:type="dxa"/>
              <w:bottom w:w="15" w:type="dxa"/>
              <w:right w:w="15" w:type="dxa"/>
            </w:tcMar>
            <w:hideMark/>
          </w:tcPr>
          <w:p w14:paraId="7FE57DAA" w14:textId="77777777" w:rsidR="00503C32" w:rsidRDefault="00503C32" w:rsidP="004379C1">
            <w:pPr>
              <w:spacing w:before="30" w:after="30"/>
              <w:ind w:left="60" w:right="60"/>
            </w:pPr>
            <w:r>
              <w:rPr>
                <w:b/>
                <w:bCs/>
              </w:rPr>
              <w:t>Mann,​ Devin,​Hess,​ Rachel,​McGinn,​ Thomas,​Richardson,​ Safiya,​Jones,​ Simon,​Palmisano,​ Joseph,​Chokshi,​ Sara Kuppin,​Mishuris,​ Rebecca,​McCullagh,​ Lauren,​Park,​ Linda,​Dinh-Le,​ Catherine,​Smith,​ Paul,​Feldstein,​ David</w:t>
            </w:r>
            <w:r>
              <w:t xml:space="preserve">. </w:t>
            </w:r>
            <w:r>
              <w:rPr>
                <w:lang w:val="en-US"/>
              </w:rPr>
              <w:t xml:space="preserve">Impact of Clinical Decision Support on Antibiotic Prescribing for Acute Respiratory Infections: a Cluster Randomized Implementation Trial. </w:t>
            </w:r>
            <w:r>
              <w:rPr>
                <w:i/>
                <w:iCs/>
              </w:rPr>
              <w:t>Journal of general internal medicine.</w:t>
            </w:r>
            <w:r>
              <w:t xml:space="preserve"> 2020. 35:788-795</w:t>
            </w:r>
          </w:p>
        </w:tc>
      </w:tr>
      <w:tr w:rsidR="00503C32" w14:paraId="38B835D0" w14:textId="77777777" w:rsidTr="004379C1">
        <w:tc>
          <w:tcPr>
            <w:tcW w:w="0" w:type="auto"/>
            <w:tcMar>
              <w:top w:w="15" w:type="dxa"/>
              <w:left w:w="15" w:type="dxa"/>
              <w:bottom w:w="15" w:type="dxa"/>
              <w:right w:w="15" w:type="dxa"/>
            </w:tcMar>
            <w:hideMark/>
          </w:tcPr>
          <w:p w14:paraId="7DA4DCD1" w14:textId="77777777" w:rsidR="00503C32" w:rsidRDefault="00503C32" w:rsidP="004379C1">
            <w:pPr>
              <w:spacing w:before="30" w:after="30"/>
              <w:ind w:left="60" w:right="60"/>
            </w:pPr>
            <w:r>
              <w:rPr>
                <w:b/>
                <w:bCs/>
              </w:rPr>
              <w:t>Martins,​ Carlos Manuel Silva,​da Costa Teixeira,​ Andreia Sofia,​de Azevedo,​ Luis Filipe Ribeiro,​Sa,​ Luisa Maria Barbosa,​Santos,​ Paulo Alexandre Azevedo Pereira,​do Couto,​ Maria Luciana Gomes Domingues,​da Costa Pereira,​ Altamiro Manuel Rodrigues,​Hespanhol,​ Alberto Augusto Oliveira Pinto,​da Costa Santos,​ Cristina Maria Nogueira</w:t>
            </w:r>
            <w:r>
              <w:t xml:space="preserve">. </w:t>
            </w:r>
            <w:r>
              <w:rPr>
                <w:lang w:val="en-US"/>
              </w:rPr>
              <w:t xml:space="preserve">The effect of a test ordering software intervention on the prescription of unnecessary laboratory tests - a randomized controlled trial. </w:t>
            </w:r>
            <w:r>
              <w:rPr>
                <w:i/>
                <w:iCs/>
              </w:rPr>
              <w:t>BMC medical informatics and decision making.</w:t>
            </w:r>
            <w:r>
              <w:t xml:space="preserve"> 2017. 17:20</w:t>
            </w:r>
          </w:p>
        </w:tc>
      </w:tr>
      <w:tr w:rsidR="00503C32" w14:paraId="1372C7EC" w14:textId="77777777" w:rsidTr="004379C1">
        <w:tc>
          <w:tcPr>
            <w:tcW w:w="0" w:type="auto"/>
            <w:tcMar>
              <w:top w:w="15" w:type="dxa"/>
              <w:left w:w="15" w:type="dxa"/>
              <w:bottom w:w="15" w:type="dxa"/>
              <w:right w:w="15" w:type="dxa"/>
            </w:tcMar>
            <w:hideMark/>
          </w:tcPr>
          <w:p w14:paraId="0DF53805" w14:textId="77777777" w:rsidR="00503C32" w:rsidRDefault="00503C32" w:rsidP="004379C1">
            <w:pPr>
              <w:spacing w:before="30" w:after="30"/>
              <w:ind w:left="60" w:right="60"/>
            </w:pPr>
            <w:r>
              <w:rPr>
                <w:b/>
                <w:bCs/>
              </w:rPr>
              <w:t>Masiá,​ M.,​Matoses,​ C.,​Padilla,​ S.,​Murcia,​ A.,​Sánchez,​ V.,​Romero,​ I.,​Navarro,​ A.,​Hernández,​ I.,​Gutiérrez,​ F.</w:t>
            </w:r>
            <w:r>
              <w:t xml:space="preserve">. </w:t>
            </w:r>
            <w:r>
              <w:rPr>
                <w:lang w:val="en-US"/>
              </w:rPr>
              <w:t xml:space="preserve">Limited efficacy of a nonrestricted intervention on antimicrobial prescription of </w:t>
            </w:r>
            <w:r>
              <w:rPr>
                <w:lang w:val="en-US"/>
              </w:rPr>
              <w:lastRenderedPageBreak/>
              <w:t xml:space="preserve">commonly used antibiotics in the hospital setting: Results of a randomized controlled trial. </w:t>
            </w:r>
            <w:r>
              <w:rPr>
                <w:i/>
                <w:iCs/>
              </w:rPr>
              <w:t>European Journal of Clinical Microbiology and Infectious Diseases.</w:t>
            </w:r>
            <w:r>
              <w:t xml:space="preserve"> 2008. 27:597-605</w:t>
            </w:r>
          </w:p>
        </w:tc>
      </w:tr>
      <w:tr w:rsidR="00503C32" w14:paraId="1CA0ECAF" w14:textId="77777777" w:rsidTr="004379C1">
        <w:tc>
          <w:tcPr>
            <w:tcW w:w="0" w:type="auto"/>
            <w:tcMar>
              <w:top w:w="15" w:type="dxa"/>
              <w:left w:w="15" w:type="dxa"/>
              <w:bottom w:w="15" w:type="dxa"/>
              <w:right w:w="15" w:type="dxa"/>
            </w:tcMar>
            <w:hideMark/>
          </w:tcPr>
          <w:p w14:paraId="356C73BD" w14:textId="77777777" w:rsidR="00503C32" w:rsidRDefault="00503C32" w:rsidP="004379C1">
            <w:pPr>
              <w:spacing w:before="30" w:after="30"/>
              <w:ind w:left="60" w:right="60"/>
            </w:pPr>
            <w:r>
              <w:rPr>
                <w:b/>
                <w:bCs/>
              </w:rPr>
              <w:lastRenderedPageBreak/>
              <w:t>McGinn,​ Thomas G.,​McCullagh,​ Lauren,​Kannry,​ Joseph,​Knaus,​ Megan,​Sofianou,​ Anastasia,​Wisnivesky,​ Juan P.,​Mann,​ Devin M.</w:t>
            </w:r>
            <w:r>
              <w:t xml:space="preserve">. </w:t>
            </w:r>
            <w:r>
              <w:rPr>
                <w:lang w:val="en-US"/>
              </w:rPr>
              <w:t xml:space="preserve">Efficacy of an evidence-based clinical decision support in primary care practices: a randomized clinical trial. </w:t>
            </w:r>
            <w:r>
              <w:rPr>
                <w:i/>
                <w:iCs/>
              </w:rPr>
              <w:t>JAMA internal medicine.</w:t>
            </w:r>
            <w:r>
              <w:t xml:space="preserve"> 2013. 173:1584-91</w:t>
            </w:r>
          </w:p>
        </w:tc>
      </w:tr>
      <w:tr w:rsidR="00503C32" w14:paraId="1D719853" w14:textId="77777777" w:rsidTr="004379C1">
        <w:tc>
          <w:tcPr>
            <w:tcW w:w="0" w:type="auto"/>
            <w:tcMar>
              <w:top w:w="15" w:type="dxa"/>
              <w:left w:w="15" w:type="dxa"/>
              <w:bottom w:w="15" w:type="dxa"/>
              <w:right w:w="15" w:type="dxa"/>
            </w:tcMar>
            <w:hideMark/>
          </w:tcPr>
          <w:p w14:paraId="64A4B2F0" w14:textId="77777777" w:rsidR="00503C32" w:rsidRDefault="00503C32" w:rsidP="004379C1">
            <w:pPr>
              <w:spacing w:before="30" w:after="30"/>
              <w:ind w:left="60" w:right="60"/>
            </w:pPr>
            <w:r>
              <w:rPr>
                <w:b/>
                <w:bCs/>
                <w:lang w:val="en-US"/>
              </w:rPr>
              <w:t>McIsaac,​ W. J.,​Goel,​ V.</w:t>
            </w:r>
            <w:r>
              <w:rPr>
                <w:lang w:val="en-US"/>
              </w:rPr>
              <w:t xml:space="preserve">. Effect of an explicit decision-support tool on decisions to prescribe antibiotics for sore throat. </w:t>
            </w:r>
            <w:r>
              <w:rPr>
                <w:i/>
                <w:iCs/>
                <w:lang w:val="en-US"/>
              </w:rPr>
              <w:t>Medical decision making : an international journal of the Society for Medical Decision Making.</w:t>
            </w:r>
            <w:r>
              <w:rPr>
                <w:lang w:val="en-US"/>
              </w:rPr>
              <w:t xml:space="preserve"> </w:t>
            </w:r>
            <w:r>
              <w:t>1998. 18:220-8</w:t>
            </w:r>
          </w:p>
        </w:tc>
      </w:tr>
      <w:tr w:rsidR="00503C32" w14:paraId="16870B9F" w14:textId="77777777" w:rsidTr="004379C1">
        <w:tc>
          <w:tcPr>
            <w:tcW w:w="0" w:type="auto"/>
            <w:tcMar>
              <w:top w:w="15" w:type="dxa"/>
              <w:left w:w="15" w:type="dxa"/>
              <w:bottom w:w="15" w:type="dxa"/>
              <w:right w:w="15" w:type="dxa"/>
            </w:tcMar>
            <w:hideMark/>
          </w:tcPr>
          <w:p w14:paraId="29ED7AA6" w14:textId="77777777" w:rsidR="00503C32" w:rsidRDefault="00503C32" w:rsidP="004379C1">
            <w:pPr>
              <w:spacing w:before="30" w:after="30"/>
              <w:ind w:left="60" w:right="60"/>
            </w:pPr>
            <w:r>
              <w:rPr>
                <w:b/>
                <w:bCs/>
                <w:lang w:val="en-US"/>
              </w:rPr>
              <w:t>McIsaac,​ Warren J.,​Goel,​ Vivek,​To,​ Teresa,​Permaul,​ Joanne A.,​Low,​ Donald E.</w:t>
            </w:r>
            <w:r>
              <w:rPr>
                <w:lang w:val="en-US"/>
              </w:rPr>
              <w:t xml:space="preserve">. Effect on antibiotic prescribing of repeated clinical prompts to use a sore throat score: lessons from a failed community intervention study. </w:t>
            </w:r>
            <w:r>
              <w:rPr>
                <w:i/>
                <w:iCs/>
              </w:rPr>
              <w:t>The Journal of family practice.</w:t>
            </w:r>
            <w:r>
              <w:t xml:space="preserve"> 2002. 51:339-44</w:t>
            </w:r>
          </w:p>
        </w:tc>
      </w:tr>
      <w:tr w:rsidR="00503C32" w14:paraId="7E8281B0" w14:textId="77777777" w:rsidTr="004379C1">
        <w:tc>
          <w:tcPr>
            <w:tcW w:w="0" w:type="auto"/>
            <w:tcMar>
              <w:top w:w="15" w:type="dxa"/>
              <w:left w:w="15" w:type="dxa"/>
              <w:bottom w:w="15" w:type="dxa"/>
              <w:right w:w="15" w:type="dxa"/>
            </w:tcMar>
            <w:hideMark/>
          </w:tcPr>
          <w:p w14:paraId="55D59A04" w14:textId="77777777" w:rsidR="00503C32" w:rsidRDefault="00503C32" w:rsidP="004379C1">
            <w:pPr>
              <w:spacing w:before="30" w:after="30"/>
              <w:ind w:left="60" w:right="60"/>
            </w:pPr>
            <w:r>
              <w:rPr>
                <w:b/>
                <w:bCs/>
                <w:lang w:val="en-US"/>
              </w:rPr>
              <w:t>McNulty,​ Cliodna,​Hawking,​ Meredith,​Lecky,​ Donna,​Jones,​ Leah,​Owens,​ Rebecca,​Charlett,​ Andre,​Butler,​ Chris,​Moore,​ Philippa,​Francis,​ Nick</w:t>
            </w:r>
            <w:r>
              <w:rPr>
                <w:lang w:val="en-US"/>
              </w:rPr>
              <w:t xml:space="preserve">. Effects of primary care antimicrobial stewardship outreach on antibiotic use by general practice staff: pragmatic randomized controlled trial of the TARGET antibiotics workshop. </w:t>
            </w:r>
            <w:r>
              <w:rPr>
                <w:i/>
                <w:iCs/>
              </w:rPr>
              <w:t>The Journal of antimicrobial chemotherapy.</w:t>
            </w:r>
            <w:r>
              <w:t xml:space="preserve"> 2018. 73:1423-1432</w:t>
            </w:r>
          </w:p>
        </w:tc>
      </w:tr>
      <w:tr w:rsidR="00503C32" w14:paraId="3B323866" w14:textId="77777777" w:rsidTr="004379C1">
        <w:tc>
          <w:tcPr>
            <w:tcW w:w="0" w:type="auto"/>
            <w:tcMar>
              <w:top w:w="15" w:type="dxa"/>
              <w:left w:w="15" w:type="dxa"/>
              <w:bottom w:w="15" w:type="dxa"/>
              <w:right w:w="15" w:type="dxa"/>
            </w:tcMar>
            <w:hideMark/>
          </w:tcPr>
          <w:p w14:paraId="6FB62EE7" w14:textId="77777777" w:rsidR="00503C32" w:rsidRDefault="00503C32" w:rsidP="004379C1">
            <w:pPr>
              <w:spacing w:before="30" w:after="30"/>
              <w:ind w:left="60" w:right="60"/>
            </w:pPr>
            <w:r>
              <w:rPr>
                <w:b/>
                <w:bCs/>
                <w:lang w:val="en-US"/>
              </w:rPr>
              <w:t>Meeker,​ Daniella,​Knight,​ Tara K.,​Friedberg,​ Mark W.,​Linder,​ Jeffrey A.,​Goldstein,​ Noah J.,​Fox,​ Craig R.,​Rothfeld,​ Alan,​Diaz,​ Guillermo,​Doctor,​ Jason N.</w:t>
            </w:r>
            <w:r>
              <w:rPr>
                <w:lang w:val="en-US"/>
              </w:rPr>
              <w:t xml:space="preserve">. Nudging guideline-concordant antibiotic prescribing: a randomized clinical trial. </w:t>
            </w:r>
            <w:r>
              <w:rPr>
                <w:i/>
                <w:iCs/>
                <w:lang w:val="en-US"/>
              </w:rPr>
              <w:t>JAMA internal medicine.</w:t>
            </w:r>
            <w:r>
              <w:rPr>
                <w:lang w:val="en-US"/>
              </w:rPr>
              <w:t xml:space="preserve"> </w:t>
            </w:r>
            <w:r>
              <w:t>2014. 174:425-31</w:t>
            </w:r>
          </w:p>
        </w:tc>
      </w:tr>
      <w:tr w:rsidR="00503C32" w14:paraId="43689713" w14:textId="77777777" w:rsidTr="004379C1">
        <w:tc>
          <w:tcPr>
            <w:tcW w:w="0" w:type="auto"/>
            <w:tcMar>
              <w:top w:w="15" w:type="dxa"/>
              <w:left w:w="15" w:type="dxa"/>
              <w:bottom w:w="15" w:type="dxa"/>
              <w:right w:w="15" w:type="dxa"/>
            </w:tcMar>
            <w:hideMark/>
          </w:tcPr>
          <w:p w14:paraId="10AA6ADD" w14:textId="77777777" w:rsidR="00503C32" w:rsidRPr="004379C1" w:rsidRDefault="00503C32" w:rsidP="004379C1">
            <w:pPr>
              <w:spacing w:before="30" w:after="30"/>
              <w:ind w:left="60" w:right="60"/>
              <w:rPr>
                <w:lang w:val="en-US"/>
              </w:rPr>
            </w:pPr>
            <w:r>
              <w:rPr>
                <w:b/>
                <w:bCs/>
                <w:lang w:val="en-US"/>
              </w:rPr>
              <w:t>Meeker,​ Daniella,​Linder,​ Jeffrey A.,​Fox,​ Craig R.,​Friedberg,​ Mark W.,​Persell,​ Stephen D.,​Goldstein,​ Noah J.,​Knight,​ Tara K.,​Hay,​ Joel W.,​Doctor,​ Jason N.</w:t>
            </w:r>
            <w:r>
              <w:rPr>
                <w:lang w:val="en-US"/>
              </w:rPr>
              <w:t xml:space="preserve">. Effect of Behavioral Interventions on Inappropriate Antibiotic Prescribing Among Primary Care Practices: A Randomized Clinical Trial. </w:t>
            </w:r>
            <w:r w:rsidRPr="004379C1">
              <w:rPr>
                <w:i/>
                <w:iCs/>
                <w:lang w:val="en-US"/>
              </w:rPr>
              <w:t>JAMA.</w:t>
            </w:r>
            <w:r w:rsidRPr="004379C1">
              <w:rPr>
                <w:lang w:val="en-US"/>
              </w:rPr>
              <w:t xml:space="preserve"> 2016. 315:562-70</w:t>
            </w:r>
          </w:p>
          <w:p w14:paraId="74D25089" w14:textId="77777777" w:rsidR="00503C32" w:rsidRDefault="00503C32" w:rsidP="004379C1">
            <w:pPr>
              <w:pStyle w:val="ListParagraph"/>
              <w:spacing w:before="30" w:after="30"/>
              <w:ind w:left="420" w:right="60"/>
            </w:pPr>
            <w:r>
              <w:rPr>
                <w:b/>
                <w:bCs/>
                <w:lang w:val="en-US"/>
              </w:rPr>
              <w:t>Linder, Jeffrey A.,Meeker, Daniella,Fox, Craig R.,Friedberg, Mark W.,Persell, Stephen D.,Goldstein, Noah J.,Doctor, Jason N.</w:t>
            </w:r>
            <w:r>
              <w:rPr>
                <w:lang w:val="en-US"/>
              </w:rPr>
              <w:t>. Effects of Behavioral Interventions on Inappropriate Antibiotic Prescribing in Primary Care 12 Months After Stopping Interventions. </w:t>
            </w:r>
            <w:r>
              <w:rPr>
                <w:i/>
                <w:iCs/>
              </w:rPr>
              <w:t>JAMA.</w:t>
            </w:r>
            <w:r>
              <w:t> 2017. 318:1391-1392</w:t>
            </w:r>
          </w:p>
        </w:tc>
      </w:tr>
      <w:tr w:rsidR="00503C32" w14:paraId="0FA39D90" w14:textId="77777777" w:rsidTr="004379C1">
        <w:tc>
          <w:tcPr>
            <w:tcW w:w="0" w:type="auto"/>
            <w:tcMar>
              <w:top w:w="15" w:type="dxa"/>
              <w:left w:w="15" w:type="dxa"/>
              <w:bottom w:w="15" w:type="dxa"/>
              <w:right w:w="15" w:type="dxa"/>
            </w:tcMar>
            <w:hideMark/>
          </w:tcPr>
          <w:p w14:paraId="1E787EC2" w14:textId="77777777" w:rsidR="00503C32" w:rsidRDefault="00503C32" w:rsidP="004379C1">
            <w:pPr>
              <w:spacing w:before="30" w:after="30"/>
              <w:ind w:left="60" w:right="60"/>
            </w:pPr>
            <w:r>
              <w:rPr>
                <w:b/>
                <w:bCs/>
                <w:lang w:val="en-US"/>
              </w:rPr>
              <w:t>Metlay,​ Joshua P.,​Camargo,​ Carlos A.,​ Jr.,​MacKenzie,​ Thomas,​McCulloch,​ Charles,​Maselli,​ Judith,​Levin,​ Sara K.,​Kersey,​ Ayanna,​Gonzales,​ Ralph,​Impaact Investigators</w:t>
            </w:r>
            <w:r>
              <w:rPr>
                <w:lang w:val="en-US"/>
              </w:rPr>
              <w:t xml:space="preserve">. Cluster-randomized trial to improve antibiotic use for adults with acute respiratory infections treated in emergency departments. </w:t>
            </w:r>
            <w:r>
              <w:rPr>
                <w:i/>
                <w:iCs/>
              </w:rPr>
              <w:t>Annals of emergency medicine.</w:t>
            </w:r>
            <w:r>
              <w:t xml:space="preserve"> 2007. 50:221-30</w:t>
            </w:r>
          </w:p>
        </w:tc>
      </w:tr>
      <w:tr w:rsidR="00503C32" w14:paraId="453FC7C2" w14:textId="77777777" w:rsidTr="004379C1">
        <w:tc>
          <w:tcPr>
            <w:tcW w:w="0" w:type="auto"/>
            <w:tcMar>
              <w:top w:w="15" w:type="dxa"/>
              <w:left w:w="15" w:type="dxa"/>
              <w:bottom w:w="15" w:type="dxa"/>
              <w:right w:w="15" w:type="dxa"/>
            </w:tcMar>
            <w:hideMark/>
          </w:tcPr>
          <w:p w14:paraId="12E062ED" w14:textId="77777777" w:rsidR="00503C32" w:rsidRDefault="00503C32" w:rsidP="004379C1">
            <w:pPr>
              <w:spacing w:before="30" w:after="30"/>
              <w:ind w:left="60" w:right="60"/>
            </w:pPr>
            <w:r>
              <w:rPr>
                <w:b/>
                <w:bCs/>
                <w:lang w:val="en-US"/>
              </w:rPr>
              <w:t>Michael,​ Sean S.,​Babu,​ Kavita M.,​Androski,​ Christopher,​ Jr.,​Reznek,​ Martin A.</w:t>
            </w:r>
            <w:r>
              <w:rPr>
                <w:lang w:val="en-US"/>
              </w:rPr>
              <w:t xml:space="preserve">. Effect of a Data-driven Intervention on Opioid Prescribing Intensity Among Emergency Department Providers: A Randomized Controlled Trial. </w:t>
            </w:r>
            <w:r>
              <w:rPr>
                <w:i/>
                <w:iCs/>
                <w:lang w:val="en-US"/>
              </w:rPr>
              <w:t>Academic emergency medicine : official journal of the Society for Academic Emergency Medicine.</w:t>
            </w:r>
            <w:r>
              <w:rPr>
                <w:lang w:val="en-US"/>
              </w:rPr>
              <w:t xml:space="preserve"> </w:t>
            </w:r>
            <w:r>
              <w:t>2018. 25:482-493</w:t>
            </w:r>
          </w:p>
        </w:tc>
      </w:tr>
      <w:tr w:rsidR="00503C32" w14:paraId="204E709E" w14:textId="77777777" w:rsidTr="004379C1">
        <w:tc>
          <w:tcPr>
            <w:tcW w:w="0" w:type="auto"/>
            <w:tcMar>
              <w:top w:w="15" w:type="dxa"/>
              <w:left w:w="15" w:type="dxa"/>
              <w:bottom w:w="15" w:type="dxa"/>
              <w:right w:w="15" w:type="dxa"/>
            </w:tcMar>
            <w:hideMark/>
          </w:tcPr>
          <w:p w14:paraId="3ADF3704" w14:textId="77777777" w:rsidR="00503C32" w:rsidRDefault="00503C32" w:rsidP="004379C1">
            <w:pPr>
              <w:spacing w:before="30" w:after="30"/>
              <w:ind w:left="60" w:right="60"/>
            </w:pPr>
            <w:r>
              <w:rPr>
                <w:b/>
                <w:bCs/>
                <w:lang w:val="en-US"/>
              </w:rPr>
              <w:t xml:space="preserve">Midlöv,​ Patrik,​Bondesson,​ </w:t>
            </w:r>
            <w:r>
              <w:rPr>
                <w:lang w:val="en-US"/>
              </w:rPr>
              <w:t xml:space="preserve">. Effects of educational outreach visits on prescribing of benzodiazepines and antipsychotic drugs to elderly patients in primary health care in southern Sweden. </w:t>
            </w:r>
            <w:r>
              <w:rPr>
                <w:i/>
                <w:iCs/>
              </w:rPr>
              <w:t>Family Practice.</w:t>
            </w:r>
            <w:r>
              <w:t xml:space="preserve"> 2005. 23:60-64</w:t>
            </w:r>
          </w:p>
        </w:tc>
      </w:tr>
      <w:tr w:rsidR="00503C32" w14:paraId="3652575F" w14:textId="77777777" w:rsidTr="004379C1">
        <w:tc>
          <w:tcPr>
            <w:tcW w:w="0" w:type="auto"/>
            <w:tcMar>
              <w:top w:w="15" w:type="dxa"/>
              <w:left w:w="15" w:type="dxa"/>
              <w:bottom w:w="15" w:type="dxa"/>
              <w:right w:w="15" w:type="dxa"/>
            </w:tcMar>
            <w:hideMark/>
          </w:tcPr>
          <w:p w14:paraId="7C4320E8" w14:textId="77777777" w:rsidR="00503C32" w:rsidRDefault="00503C32" w:rsidP="004379C1">
            <w:pPr>
              <w:spacing w:before="30" w:after="30"/>
              <w:ind w:left="60" w:right="60"/>
            </w:pPr>
            <w:r>
              <w:rPr>
                <w:b/>
                <w:bCs/>
                <w:lang w:val="en-US"/>
              </w:rPr>
              <w:t>Milos,​ Veronica,​Jakobsson,​ Ulf,​Westerlund,​ Tommy,​Melander,​ Eva,​Molstad,​ Sigvard,​Midlov,​ Patrik</w:t>
            </w:r>
            <w:r>
              <w:rPr>
                <w:lang w:val="en-US"/>
              </w:rPr>
              <w:t xml:space="preserve">. Theory-based interventions to reduce prescription of antibiotics--a randomized controlled trial in Sweden. </w:t>
            </w:r>
            <w:r>
              <w:rPr>
                <w:i/>
                <w:iCs/>
              </w:rPr>
              <w:t>Family practice.</w:t>
            </w:r>
            <w:r>
              <w:t xml:space="preserve"> 2013. 30:634-40</w:t>
            </w:r>
          </w:p>
        </w:tc>
      </w:tr>
      <w:tr w:rsidR="00503C32" w14:paraId="53169B5E" w14:textId="77777777" w:rsidTr="004379C1">
        <w:tc>
          <w:tcPr>
            <w:tcW w:w="0" w:type="auto"/>
            <w:tcMar>
              <w:top w:w="15" w:type="dxa"/>
              <w:left w:w="15" w:type="dxa"/>
              <w:bottom w:w="15" w:type="dxa"/>
              <w:right w:w="15" w:type="dxa"/>
            </w:tcMar>
            <w:hideMark/>
          </w:tcPr>
          <w:p w14:paraId="0FEEB15B" w14:textId="77777777" w:rsidR="00503C32" w:rsidRDefault="00503C32" w:rsidP="004379C1">
            <w:pPr>
              <w:spacing w:before="30" w:after="30"/>
              <w:ind w:left="60" w:right="60"/>
            </w:pPr>
            <w:r>
              <w:rPr>
                <w:b/>
                <w:bCs/>
              </w:rPr>
              <w:t>Molina López,​ T.,​Domínguez Camacho,​ J. C.,​Santos Lozano,​ J. M.,​Carbonell Carrillo,​ A.,​Sánchez Acevedo,​ J.,​Paz León,​ M. L.</w:t>
            </w:r>
            <w:r>
              <w:t xml:space="preserve">. </w:t>
            </w:r>
            <w:r>
              <w:rPr>
                <w:lang w:val="en-US"/>
              </w:rPr>
              <w:t xml:space="preserve">Efficacy of educational sessions to modify the prescription of new drugs. </w:t>
            </w:r>
            <w:r>
              <w:rPr>
                <w:i/>
                <w:iCs/>
              </w:rPr>
              <w:t>Atencion Primaria.</w:t>
            </w:r>
            <w:r>
              <w:t xml:space="preserve"> 2005. 36:367-372</w:t>
            </w:r>
          </w:p>
        </w:tc>
      </w:tr>
      <w:tr w:rsidR="00503C32" w14:paraId="0593025D" w14:textId="77777777" w:rsidTr="004379C1">
        <w:tc>
          <w:tcPr>
            <w:tcW w:w="0" w:type="auto"/>
            <w:tcMar>
              <w:top w:w="15" w:type="dxa"/>
              <w:left w:w="15" w:type="dxa"/>
              <w:bottom w:w="15" w:type="dxa"/>
              <w:right w:w="15" w:type="dxa"/>
            </w:tcMar>
            <w:hideMark/>
          </w:tcPr>
          <w:p w14:paraId="25533E8A" w14:textId="77777777" w:rsidR="00503C32" w:rsidRDefault="00503C32" w:rsidP="004379C1">
            <w:pPr>
              <w:spacing w:before="30" w:after="30"/>
              <w:ind w:left="60" w:right="60"/>
            </w:pPr>
            <w:r>
              <w:rPr>
                <w:b/>
                <w:bCs/>
                <w:lang w:val="en-US"/>
              </w:rPr>
              <w:lastRenderedPageBreak/>
              <w:t>Monette,​ Johanne,​Miller,​ Mark A.,​Monette,​ Michele,​Laurier,​ Claudine,​Boivin,​ Jean-Francois,​Sourial,​ Nadia,​Le Cruguel,​ Jean-Pierre,​Vandal,​ Alain,​Cotton-Montpetit,​ Marie</w:t>
            </w:r>
            <w:r>
              <w:rPr>
                <w:lang w:val="en-US"/>
              </w:rPr>
              <w:t xml:space="preserve">. Effect of an educational intervention on optimizing antibiotic prescribing in long-term care facilities. </w:t>
            </w:r>
            <w:r>
              <w:rPr>
                <w:i/>
                <w:iCs/>
              </w:rPr>
              <w:t>Journal of the American Geriatrics Society.</w:t>
            </w:r>
            <w:r>
              <w:t xml:space="preserve"> 2007. 55:1231-5</w:t>
            </w:r>
          </w:p>
        </w:tc>
      </w:tr>
      <w:tr w:rsidR="00503C32" w14:paraId="4CC03D53" w14:textId="77777777" w:rsidTr="004379C1">
        <w:tc>
          <w:tcPr>
            <w:tcW w:w="0" w:type="auto"/>
            <w:tcMar>
              <w:top w:w="15" w:type="dxa"/>
              <w:left w:w="15" w:type="dxa"/>
              <w:bottom w:w="15" w:type="dxa"/>
              <w:right w:w="15" w:type="dxa"/>
            </w:tcMar>
            <w:hideMark/>
          </w:tcPr>
          <w:p w14:paraId="73CE4F2C" w14:textId="77777777" w:rsidR="00503C32" w:rsidRDefault="00503C32" w:rsidP="004379C1">
            <w:pPr>
              <w:spacing w:before="30" w:after="30"/>
              <w:ind w:left="60" w:right="60"/>
            </w:pPr>
            <w:r>
              <w:rPr>
                <w:b/>
                <w:bCs/>
                <w:lang w:val="en-US"/>
              </w:rPr>
              <w:t>Montoy,​ Juan Carlos C.,​Coralic,​ Zlatan,​Herring,​ Andrew A.,​Clattenburg,​ Eben J.,​Raven,​ Maria C.</w:t>
            </w:r>
            <w:r>
              <w:rPr>
                <w:lang w:val="en-US"/>
              </w:rPr>
              <w:t xml:space="preserve">. Association of Default Electronic Medical Record Settings With Health Care Professional Patterns of Opioid Prescribing in Emergency Departments: A Randomized Quality Improvement Study. </w:t>
            </w:r>
            <w:r>
              <w:rPr>
                <w:i/>
                <w:iCs/>
              </w:rPr>
              <w:t>JAMA internal medicine.</w:t>
            </w:r>
            <w:r>
              <w:t xml:space="preserve"> 2020. 180:487-493</w:t>
            </w:r>
          </w:p>
        </w:tc>
      </w:tr>
      <w:tr w:rsidR="00503C32" w14:paraId="43A311CF" w14:textId="77777777" w:rsidTr="004379C1">
        <w:tc>
          <w:tcPr>
            <w:tcW w:w="0" w:type="auto"/>
            <w:tcMar>
              <w:top w:w="15" w:type="dxa"/>
              <w:left w:w="15" w:type="dxa"/>
              <w:bottom w:w="15" w:type="dxa"/>
              <w:right w:w="15" w:type="dxa"/>
            </w:tcMar>
            <w:hideMark/>
          </w:tcPr>
          <w:p w14:paraId="05FD7A30" w14:textId="77777777" w:rsidR="00503C32" w:rsidRPr="004379C1" w:rsidRDefault="00503C32" w:rsidP="004379C1">
            <w:pPr>
              <w:spacing w:before="30" w:after="30"/>
              <w:ind w:left="60" w:right="60"/>
              <w:rPr>
                <w:lang w:val="en-US"/>
              </w:rPr>
            </w:pPr>
            <w:r>
              <w:rPr>
                <w:b/>
                <w:bCs/>
                <w:lang w:val="en-US"/>
              </w:rPr>
              <w:t>Nace,​ David A.,​ Hanlon,​ Joseph T.,​ Crnich,​ Christopher J.,​ Drinka,​ Paul J.,​ Schweon,​ Steven J.,​ Anderson,​ Gulsum,​ Perera,​ Subashan</w:t>
            </w:r>
            <w:r>
              <w:rPr>
                <w:lang w:val="en-US"/>
              </w:rPr>
              <w:t xml:space="preserve">. A Multifaceted Antimicrobial Stewardship Program for the Treatment of Uncomplicated Cystitis in Nursing Home Residents. </w:t>
            </w:r>
            <w:r w:rsidRPr="004379C1">
              <w:rPr>
                <w:i/>
                <w:iCs/>
                <w:lang w:val="en-US"/>
              </w:rPr>
              <w:t>JAMA internal medicine.</w:t>
            </w:r>
            <w:r w:rsidRPr="004379C1">
              <w:rPr>
                <w:lang w:val="en-US"/>
              </w:rPr>
              <w:t xml:space="preserve"> 2020. </w:t>
            </w:r>
          </w:p>
          <w:p w14:paraId="68453F87" w14:textId="77777777" w:rsidR="00503C32" w:rsidRDefault="00503C32" w:rsidP="004379C1">
            <w:pPr>
              <w:pStyle w:val="ListParagraph"/>
              <w:spacing w:before="30" w:after="30"/>
              <w:ind w:left="420" w:right="60"/>
            </w:pPr>
            <w:r>
              <w:rPr>
                <w:b/>
                <w:bCs/>
                <w:lang w:val="en-US"/>
              </w:rPr>
              <w:t>Hanlon,​ Joseph T.,​Perera,​ Subashan,​Schweon,​ Steven,​Drinka,​ Paul,​Crnich,​ Christopher,​Nace,​ David A.</w:t>
            </w:r>
            <w:r>
              <w:rPr>
                <w:lang w:val="en-US"/>
              </w:rPr>
              <w:t xml:space="preserve">. Improvements in Antibiotic Appropriateness for Cystitis in Older Nursing Home Residents: A Quality Improvement Study With Randomized Assignment. </w:t>
            </w:r>
            <w:r>
              <w:rPr>
                <w:i/>
                <w:iCs/>
              </w:rPr>
              <w:t>Journal of the American Medical Directors Association.</w:t>
            </w:r>
            <w:r>
              <w:t xml:space="preserve"> 2021. 22:173-177</w:t>
            </w:r>
          </w:p>
        </w:tc>
      </w:tr>
      <w:tr w:rsidR="00503C32" w14:paraId="2894257E" w14:textId="77777777" w:rsidTr="004379C1">
        <w:tc>
          <w:tcPr>
            <w:tcW w:w="0" w:type="auto"/>
            <w:tcMar>
              <w:top w:w="15" w:type="dxa"/>
              <w:left w:w="15" w:type="dxa"/>
              <w:bottom w:w="15" w:type="dxa"/>
              <w:right w:w="15" w:type="dxa"/>
            </w:tcMar>
            <w:hideMark/>
          </w:tcPr>
          <w:p w14:paraId="61EEFE06" w14:textId="77777777" w:rsidR="00503C32" w:rsidRDefault="00503C32" w:rsidP="004379C1">
            <w:pPr>
              <w:spacing w:before="30" w:after="30"/>
              <w:ind w:left="60" w:right="60"/>
            </w:pPr>
            <w:r>
              <w:rPr>
                <w:b/>
                <w:bCs/>
                <w:lang w:val="en-US"/>
              </w:rPr>
              <w:t>Najafi,​ Nader,​Cucina,​ Russ,​Pierre,​ Bruce,​Khanna,​ Raman</w:t>
            </w:r>
            <w:r>
              <w:rPr>
                <w:lang w:val="en-US"/>
              </w:rPr>
              <w:t xml:space="preserve">. Assessment of a Targeted Electronic Health Record Intervention to Reduce Telemetry Duration: A Cluster-Randomized Clinical Trial. </w:t>
            </w:r>
            <w:r>
              <w:rPr>
                <w:i/>
                <w:iCs/>
              </w:rPr>
              <w:t>JAMA internal medicine.</w:t>
            </w:r>
            <w:r>
              <w:t xml:space="preserve"> 2019. 179:11-15</w:t>
            </w:r>
          </w:p>
        </w:tc>
      </w:tr>
      <w:tr w:rsidR="00503C32" w14:paraId="7CBFB1E0" w14:textId="77777777" w:rsidTr="004379C1">
        <w:tc>
          <w:tcPr>
            <w:tcW w:w="0" w:type="auto"/>
            <w:tcMar>
              <w:top w:w="15" w:type="dxa"/>
              <w:left w:w="15" w:type="dxa"/>
              <w:bottom w:w="15" w:type="dxa"/>
              <w:right w:w="15" w:type="dxa"/>
            </w:tcMar>
            <w:hideMark/>
          </w:tcPr>
          <w:p w14:paraId="566F092C" w14:textId="77777777" w:rsidR="00503C32" w:rsidRDefault="00503C32" w:rsidP="004379C1">
            <w:pPr>
              <w:spacing w:before="30" w:after="30"/>
              <w:ind w:left="60" w:right="60"/>
            </w:pPr>
            <w:r>
              <w:rPr>
                <w:b/>
                <w:bCs/>
                <w:lang w:val="en-US"/>
              </w:rPr>
              <w:t>Naughton,​ Corina,​Feely,​ John,​Bennett,​ Kathleen</w:t>
            </w:r>
            <w:r>
              <w:rPr>
                <w:lang w:val="en-US"/>
              </w:rPr>
              <w:t xml:space="preserve">. A RCT evaluating the effectiveness and cost-effectiveness of academic detailing versus postal prescribing feedback in changing GP antibiotic prescribing. </w:t>
            </w:r>
            <w:r>
              <w:rPr>
                <w:i/>
                <w:iCs/>
              </w:rPr>
              <w:t>Journal of evaluation in clinical practice.</w:t>
            </w:r>
            <w:r>
              <w:t xml:space="preserve"> 2009. 15:807-12</w:t>
            </w:r>
          </w:p>
        </w:tc>
      </w:tr>
      <w:tr w:rsidR="00503C32" w14:paraId="6A9A92C1" w14:textId="77777777" w:rsidTr="004379C1">
        <w:tc>
          <w:tcPr>
            <w:tcW w:w="0" w:type="auto"/>
            <w:tcMar>
              <w:top w:w="15" w:type="dxa"/>
              <w:left w:w="15" w:type="dxa"/>
              <w:bottom w:w="15" w:type="dxa"/>
              <w:right w:w="15" w:type="dxa"/>
            </w:tcMar>
            <w:hideMark/>
          </w:tcPr>
          <w:p w14:paraId="6117D6DC" w14:textId="77777777" w:rsidR="00503C32" w:rsidRDefault="00503C32" w:rsidP="004379C1">
            <w:pPr>
              <w:spacing w:before="30" w:after="30"/>
              <w:ind w:left="60" w:right="60"/>
            </w:pPr>
            <w:r>
              <w:rPr>
                <w:b/>
                <w:bCs/>
              </w:rPr>
              <w:t>Nejad,​ Afshin Sarafi,​Noori,​ Mohammad Reza Farrokhi,​Haghdoost,​ Ali Akbar,​Bahaadinbeigy,​ Kambiz,​Abu-Hanna,​ Ameen,​Eslami,​ Saeid</w:t>
            </w:r>
            <w:r>
              <w:t xml:space="preserve">. </w:t>
            </w:r>
            <w:r>
              <w:rPr>
                <w:lang w:val="en-US"/>
              </w:rPr>
              <w:t xml:space="preserve">The effect of registry-based performance feedback via short text messages and traditional postal letters on prescribing parenteral steroids by general practitioners--A randomized controlled trial. </w:t>
            </w:r>
            <w:r>
              <w:rPr>
                <w:i/>
                <w:iCs/>
              </w:rPr>
              <w:t>International journal of medical informatics.</w:t>
            </w:r>
            <w:r>
              <w:t xml:space="preserve"> 2016. 87:36-43</w:t>
            </w:r>
          </w:p>
        </w:tc>
      </w:tr>
      <w:tr w:rsidR="00503C32" w14:paraId="5127EA85" w14:textId="77777777" w:rsidTr="004379C1">
        <w:tc>
          <w:tcPr>
            <w:tcW w:w="0" w:type="auto"/>
            <w:tcMar>
              <w:top w:w="15" w:type="dxa"/>
              <w:left w:w="15" w:type="dxa"/>
              <w:bottom w:w="15" w:type="dxa"/>
              <w:right w:w="15" w:type="dxa"/>
            </w:tcMar>
            <w:hideMark/>
          </w:tcPr>
          <w:p w14:paraId="46FCF857" w14:textId="77777777" w:rsidR="00503C32" w:rsidRPr="004379C1" w:rsidRDefault="00503C32" w:rsidP="004379C1">
            <w:pPr>
              <w:spacing w:before="30" w:after="30"/>
              <w:ind w:left="60" w:right="60"/>
              <w:rPr>
                <w:lang w:val="en-US"/>
              </w:rPr>
            </w:pPr>
            <w:r>
              <w:rPr>
                <w:b/>
                <w:bCs/>
                <w:lang w:val="en-US"/>
              </w:rPr>
              <w:t>Neven,​ Darin,​Paulozzi,​ Leonard,​Howell,​ Donelle,​McPherson,​ Sterling,​Murphy,​ Sean M.,​Grohs,​ Becky,​Marsh,​ Linda,​Lederhos,​ Crystal,​Roll,​ John</w:t>
            </w:r>
            <w:r>
              <w:rPr>
                <w:lang w:val="en-US"/>
              </w:rPr>
              <w:t xml:space="preserve">. A Randomized Controlled Trial of a Citywide Emergency Department Care Coordination Program to Reduce Prescription Opioid Related Emergency Department Visits. </w:t>
            </w:r>
            <w:r w:rsidRPr="004379C1">
              <w:rPr>
                <w:i/>
                <w:iCs/>
                <w:lang w:val="en-US"/>
              </w:rPr>
              <w:t>The Journal of emergency medicine.</w:t>
            </w:r>
            <w:r w:rsidRPr="004379C1">
              <w:rPr>
                <w:lang w:val="en-US"/>
              </w:rPr>
              <w:t xml:space="preserve"> 2016. 51:498-507</w:t>
            </w:r>
          </w:p>
          <w:p w14:paraId="71CFEF9A" w14:textId="77777777" w:rsidR="00503C32" w:rsidRDefault="00503C32" w:rsidP="004379C1">
            <w:pPr>
              <w:pStyle w:val="ListParagraph"/>
              <w:spacing w:before="30" w:after="30"/>
              <w:ind w:left="420" w:right="60"/>
            </w:pPr>
            <w:r>
              <w:rPr>
                <w:b/>
                <w:bCs/>
                <w:lang w:val="en-US"/>
              </w:rPr>
              <w:t>Murphy, Sean M.,Howell, Donelle,McPherson, Sterling,Grohs, Rebecca,Roll, John,Neven, Darin</w:t>
            </w:r>
            <w:r>
              <w:rPr>
                <w:lang w:val="en-US"/>
              </w:rPr>
              <w:t>. A Randomized Controlled Trial of a Citywide Emergency Department Care-Coordination Program to Reduce Prescription Opioid-Related Visits: An Economic Evaluation. </w:t>
            </w:r>
            <w:r>
              <w:rPr>
                <w:i/>
                <w:iCs/>
              </w:rPr>
              <w:t>The Journal of emergency medicine.</w:t>
            </w:r>
            <w:r>
              <w:t> 2017. 53:186-194</w:t>
            </w:r>
          </w:p>
        </w:tc>
      </w:tr>
      <w:tr w:rsidR="00503C32" w14:paraId="198AB4CB" w14:textId="77777777" w:rsidTr="004379C1">
        <w:tc>
          <w:tcPr>
            <w:tcW w:w="0" w:type="auto"/>
            <w:tcMar>
              <w:top w:w="15" w:type="dxa"/>
              <w:left w:w="15" w:type="dxa"/>
              <w:bottom w:w="15" w:type="dxa"/>
              <w:right w:w="15" w:type="dxa"/>
            </w:tcMar>
            <w:hideMark/>
          </w:tcPr>
          <w:p w14:paraId="035CC8A9" w14:textId="77777777" w:rsidR="00503C32" w:rsidRDefault="00503C32" w:rsidP="004379C1">
            <w:pPr>
              <w:spacing w:before="30" w:after="30"/>
              <w:ind w:left="60" w:right="60"/>
            </w:pPr>
            <w:r>
              <w:rPr>
                <w:b/>
                <w:bCs/>
                <w:lang w:val="en-US"/>
              </w:rPr>
              <w:t>Ngasala,​ Billy,​Mubi,​ Marycelina,​Warsame,​ Marian,​Petzold,​ Max G.,​Massele,​ Amos Y.,​Gustafsson,​ Lars L.,​Tomson,​ Goran,​Premji,​ Zul,​Bjorkman,​ Anders</w:t>
            </w:r>
            <w:r>
              <w:rPr>
                <w:lang w:val="en-US"/>
              </w:rPr>
              <w:t xml:space="preserve">. Impact of training in clinical and microscopy diagnosis of childhood malaria on antimalarial drug prescription and health outcome at primary health care level in Tanzania: a randomized controlled trial. </w:t>
            </w:r>
            <w:r>
              <w:rPr>
                <w:i/>
                <w:iCs/>
              </w:rPr>
              <w:t>Malaria journal.</w:t>
            </w:r>
            <w:r>
              <w:t xml:space="preserve"> 2008. 7:199</w:t>
            </w:r>
          </w:p>
        </w:tc>
      </w:tr>
      <w:tr w:rsidR="00503C32" w14:paraId="21EE2A54" w14:textId="77777777" w:rsidTr="004379C1">
        <w:tc>
          <w:tcPr>
            <w:tcW w:w="0" w:type="auto"/>
            <w:tcMar>
              <w:top w:w="15" w:type="dxa"/>
              <w:left w:w="15" w:type="dxa"/>
              <w:bottom w:w="15" w:type="dxa"/>
              <w:right w:w="15" w:type="dxa"/>
            </w:tcMar>
            <w:hideMark/>
          </w:tcPr>
          <w:p w14:paraId="79468877" w14:textId="77777777" w:rsidR="00503C32" w:rsidRDefault="00503C32" w:rsidP="004379C1">
            <w:pPr>
              <w:spacing w:before="30" w:after="30"/>
              <w:ind w:left="60" w:right="60"/>
            </w:pPr>
            <w:r>
              <w:rPr>
                <w:b/>
                <w:bCs/>
                <w:lang w:val="en-US"/>
              </w:rPr>
              <w:t>Nikolajevic-Sarunac,​ J.,​Henry,​ D. A.,​O'Connell,​ D. L.,​Robertson,​ J.</w:t>
            </w:r>
            <w:r>
              <w:rPr>
                <w:lang w:val="en-US"/>
              </w:rPr>
              <w:t xml:space="preserve">. Effects of information framing on the intentions of family physicians to prescribe long-term hormone replacement therapy. </w:t>
            </w:r>
            <w:r>
              <w:rPr>
                <w:i/>
                <w:iCs/>
              </w:rPr>
              <w:t>Journal of general internal medicine.</w:t>
            </w:r>
            <w:r>
              <w:t xml:space="preserve"> 1999. 14:591-8</w:t>
            </w:r>
          </w:p>
        </w:tc>
      </w:tr>
      <w:tr w:rsidR="00503C32" w14:paraId="05EB41E9" w14:textId="77777777" w:rsidTr="004379C1">
        <w:tc>
          <w:tcPr>
            <w:tcW w:w="0" w:type="auto"/>
            <w:tcMar>
              <w:top w:w="15" w:type="dxa"/>
              <w:left w:w="15" w:type="dxa"/>
              <w:bottom w:w="15" w:type="dxa"/>
              <w:right w:w="15" w:type="dxa"/>
            </w:tcMar>
            <w:hideMark/>
          </w:tcPr>
          <w:p w14:paraId="48DA9DF9" w14:textId="77777777" w:rsidR="00503C32" w:rsidRDefault="00503C32" w:rsidP="004379C1">
            <w:pPr>
              <w:spacing w:before="30" w:after="30"/>
              <w:ind w:left="60" w:right="60"/>
            </w:pPr>
            <w:r>
              <w:rPr>
                <w:b/>
                <w:bCs/>
              </w:rPr>
              <w:t>Nsimba,​ S. E. D.,​Massele,​ A.,​Kayombo,​ E. J.</w:t>
            </w:r>
            <w:r>
              <w:t xml:space="preserve">. </w:t>
            </w:r>
            <w:r>
              <w:rPr>
                <w:lang w:val="en-US"/>
              </w:rPr>
              <w:t xml:space="preserve">Reducing injection overuse through consumers'-prescribers' interactional group discussions in Dar es Salaam region,​ Tanzania. </w:t>
            </w:r>
            <w:r>
              <w:rPr>
                <w:i/>
                <w:iCs/>
              </w:rPr>
              <w:t>Therapy.</w:t>
            </w:r>
            <w:r>
              <w:t xml:space="preserve"> 2011. 8:179-187</w:t>
            </w:r>
          </w:p>
        </w:tc>
      </w:tr>
      <w:tr w:rsidR="00F552CD" w:rsidRPr="00F552CD" w14:paraId="5B75FF28" w14:textId="77777777" w:rsidTr="00F552CD">
        <w:trPr>
          <w:trHeight w:val="842"/>
        </w:trPr>
        <w:tc>
          <w:tcPr>
            <w:tcW w:w="0" w:type="auto"/>
            <w:tcMar>
              <w:top w:w="15" w:type="dxa"/>
              <w:left w:w="15" w:type="dxa"/>
              <w:bottom w:w="15" w:type="dxa"/>
              <w:right w:w="15" w:type="dxa"/>
            </w:tcMar>
          </w:tcPr>
          <w:p w14:paraId="3C77D011" w14:textId="1E1B0131" w:rsidR="00F552CD" w:rsidRPr="00F552CD" w:rsidRDefault="00F552CD" w:rsidP="00F552CD">
            <w:pPr>
              <w:rPr>
                <w:lang w:val="en-US"/>
              </w:rPr>
            </w:pPr>
            <w:r w:rsidRPr="00F552CD">
              <w:rPr>
                <w:b/>
                <w:color w:val="303030"/>
                <w:shd w:val="clear" w:color="auto" w:fill="FFFFFF"/>
                <w:lang w:val="en-US"/>
              </w:rPr>
              <w:lastRenderedPageBreak/>
              <w:t xml:space="preserve">O'Connell DL, Henry D, Tomlins R. </w:t>
            </w:r>
            <w:r w:rsidRPr="00F552CD">
              <w:rPr>
                <w:color w:val="303030"/>
                <w:shd w:val="clear" w:color="auto" w:fill="FFFFFF"/>
                <w:lang w:val="en-US"/>
              </w:rPr>
              <w:t>Randomised controlled trial of effect of feedback on general practitioners' prescribing in Australia. </w:t>
            </w:r>
            <w:r w:rsidRPr="00F552CD">
              <w:rPr>
                <w:i/>
                <w:iCs/>
                <w:color w:val="303030"/>
                <w:shd w:val="clear" w:color="auto" w:fill="FFFFFF"/>
                <w:lang w:val="en-US"/>
              </w:rPr>
              <w:t>BMJ</w:t>
            </w:r>
            <w:r w:rsidRPr="00F552CD">
              <w:rPr>
                <w:color w:val="303030"/>
                <w:shd w:val="clear" w:color="auto" w:fill="FFFFFF"/>
                <w:lang w:val="en-US"/>
              </w:rPr>
              <w:t>. 1999;318(7182):507-511.</w:t>
            </w:r>
            <w:r>
              <w:rPr>
                <w:color w:val="303030"/>
                <w:shd w:val="clear" w:color="auto" w:fill="FFFFFF"/>
                <w:lang w:val="en-US"/>
              </w:rPr>
              <w:t xml:space="preserve"> </w:t>
            </w:r>
            <w:r w:rsidRPr="00F552CD">
              <w:rPr>
                <w:color w:val="303030"/>
                <w:shd w:val="clear" w:color="auto" w:fill="FFFFFF"/>
                <w:lang w:val="en-US"/>
              </w:rPr>
              <w:t>doi:10.1136/bmj.318.7182.507</w:t>
            </w:r>
          </w:p>
        </w:tc>
      </w:tr>
      <w:tr w:rsidR="00503C32" w14:paraId="61B59839" w14:textId="77777777" w:rsidTr="004379C1">
        <w:tc>
          <w:tcPr>
            <w:tcW w:w="0" w:type="auto"/>
            <w:tcMar>
              <w:top w:w="15" w:type="dxa"/>
              <w:left w:w="15" w:type="dxa"/>
              <w:bottom w:w="15" w:type="dxa"/>
              <w:right w:w="15" w:type="dxa"/>
            </w:tcMar>
            <w:hideMark/>
          </w:tcPr>
          <w:p w14:paraId="2D4C4310" w14:textId="77777777" w:rsidR="00503C32" w:rsidRDefault="00503C32" w:rsidP="004379C1">
            <w:pPr>
              <w:spacing w:before="30" w:after="30"/>
              <w:ind w:left="60" w:right="60"/>
            </w:pPr>
            <w:r>
              <w:rPr>
                <w:b/>
                <w:bCs/>
                <w:lang w:val="en-US"/>
              </w:rPr>
              <w:t>Pagaiya,​ N.,​Garner,​ P.</w:t>
            </w:r>
            <w:r>
              <w:rPr>
                <w:lang w:val="en-US"/>
              </w:rPr>
              <w:t xml:space="preserve">. Primary care nurses using guidelines in Thailand: a randomized controlled trial. </w:t>
            </w:r>
            <w:r>
              <w:rPr>
                <w:i/>
                <w:iCs/>
              </w:rPr>
              <w:t>Trop Med Int Health.</w:t>
            </w:r>
            <w:r>
              <w:t xml:space="preserve"> 2005. 10:471-7</w:t>
            </w:r>
          </w:p>
        </w:tc>
      </w:tr>
      <w:tr w:rsidR="00503C32" w14:paraId="5300D0B3" w14:textId="77777777" w:rsidTr="004379C1">
        <w:tc>
          <w:tcPr>
            <w:tcW w:w="0" w:type="auto"/>
            <w:tcMar>
              <w:top w:w="15" w:type="dxa"/>
              <w:left w:w="15" w:type="dxa"/>
              <w:bottom w:w="15" w:type="dxa"/>
              <w:right w:w="15" w:type="dxa"/>
            </w:tcMar>
            <w:hideMark/>
          </w:tcPr>
          <w:p w14:paraId="0E9DB3A1" w14:textId="77777777" w:rsidR="00503C32" w:rsidRDefault="00503C32" w:rsidP="004379C1">
            <w:pPr>
              <w:spacing w:before="30" w:after="30"/>
              <w:ind w:left="60" w:right="60"/>
            </w:pPr>
            <w:r>
              <w:rPr>
                <w:b/>
                <w:bCs/>
                <w:lang w:val="en-US"/>
              </w:rPr>
              <w:t>Palen,​ Ted E.,​ Sharpe,​ Richard E.,​ Jr.,​ Shetterly,​ Susan M.,​ Steiner,​ John F.</w:t>
            </w:r>
            <w:r>
              <w:rPr>
                <w:lang w:val="en-US"/>
              </w:rPr>
              <w:t xml:space="preserve">. Randomized Clinical Trial of a Clinical Decision Support Tool for Improving the Appropriateness Scores for Ordering Imaging Studies in Primary and Specialty Care Ambulatory Clinics. </w:t>
            </w:r>
            <w:r>
              <w:rPr>
                <w:i/>
                <w:iCs/>
              </w:rPr>
              <w:t>AJR. American journal of roentgenology.</w:t>
            </w:r>
            <w:r>
              <w:t xml:space="preserve"> 2019. 213:1015-1020</w:t>
            </w:r>
          </w:p>
        </w:tc>
      </w:tr>
      <w:tr w:rsidR="00503C32" w14:paraId="50C328C9" w14:textId="77777777" w:rsidTr="004379C1">
        <w:tc>
          <w:tcPr>
            <w:tcW w:w="0" w:type="auto"/>
            <w:tcMar>
              <w:top w:w="15" w:type="dxa"/>
              <w:left w:w="15" w:type="dxa"/>
              <w:bottom w:w="15" w:type="dxa"/>
              <w:right w:w="15" w:type="dxa"/>
            </w:tcMar>
            <w:hideMark/>
          </w:tcPr>
          <w:p w14:paraId="6153391E" w14:textId="77777777" w:rsidR="00503C32" w:rsidRDefault="00503C32" w:rsidP="004379C1">
            <w:pPr>
              <w:spacing w:before="30" w:after="30"/>
              <w:ind w:left="60" w:right="60"/>
            </w:pPr>
            <w:r>
              <w:rPr>
                <w:b/>
                <w:bCs/>
                <w:lang w:val="en-US"/>
              </w:rPr>
              <w:t>Pasay,​ Darren K.,​ Guirguis,​ Micheal S.,​ Shkrobot,​ Rhonda C.,​ Slobodan,​ Jeremy P.,​ Wagg,​ Adrian S.,​ Sadowski,​ Cheryl A.,​ Conly,​ John M.,​ Saxinger,​ Lynora M.,​ Bresee,​ Lauren C.</w:t>
            </w:r>
            <w:r>
              <w:rPr>
                <w:lang w:val="en-US"/>
              </w:rPr>
              <w:t xml:space="preserve">. Antimicrobial stewardship in rural nursing homes: Impact of interprofessional education and clinical decision tool implementation on urinary tract infection treatment in a cluster randomized trial. </w:t>
            </w:r>
            <w:r>
              <w:rPr>
                <w:i/>
                <w:iCs/>
              </w:rPr>
              <w:t>Infection control and hospital epidemiology.</w:t>
            </w:r>
            <w:r>
              <w:t xml:space="preserve"> 2019. 40:432-437</w:t>
            </w:r>
          </w:p>
        </w:tc>
      </w:tr>
      <w:tr w:rsidR="00503C32" w14:paraId="326D31CD" w14:textId="77777777" w:rsidTr="004379C1">
        <w:tc>
          <w:tcPr>
            <w:tcW w:w="0" w:type="auto"/>
            <w:tcMar>
              <w:top w:w="15" w:type="dxa"/>
              <w:left w:w="15" w:type="dxa"/>
              <w:bottom w:w="15" w:type="dxa"/>
              <w:right w:w="15" w:type="dxa"/>
            </w:tcMar>
            <w:hideMark/>
          </w:tcPr>
          <w:p w14:paraId="6A008EA5" w14:textId="77777777" w:rsidR="00503C32" w:rsidRDefault="00503C32" w:rsidP="004379C1">
            <w:pPr>
              <w:spacing w:before="30" w:after="30"/>
              <w:ind w:left="60" w:right="60"/>
            </w:pPr>
            <w:r>
              <w:rPr>
                <w:b/>
                <w:bCs/>
                <w:lang w:val="en-US"/>
              </w:rPr>
              <w:t>Pellfolk,​ T. J.,​Gustafson,​ Y.,​Bucht,​ G.,​Karlsson,​ S.</w:t>
            </w:r>
            <w:r>
              <w:rPr>
                <w:lang w:val="en-US"/>
              </w:rPr>
              <w:t xml:space="preserve">. Effects of a restraint minimization program on staff knowledge,​ attitudes,​ and practice: a cluster randomized trial. </w:t>
            </w:r>
            <w:r>
              <w:rPr>
                <w:i/>
                <w:iCs/>
              </w:rPr>
              <w:t>J Am Geriatr Soc.</w:t>
            </w:r>
            <w:r>
              <w:t xml:space="preserve"> 2010. 58:62-9</w:t>
            </w:r>
          </w:p>
        </w:tc>
      </w:tr>
      <w:tr w:rsidR="00503C32" w14:paraId="31094535" w14:textId="77777777" w:rsidTr="004379C1">
        <w:tc>
          <w:tcPr>
            <w:tcW w:w="0" w:type="auto"/>
            <w:tcMar>
              <w:top w:w="15" w:type="dxa"/>
              <w:left w:w="15" w:type="dxa"/>
              <w:bottom w:w="15" w:type="dxa"/>
              <w:right w:w="15" w:type="dxa"/>
            </w:tcMar>
            <w:hideMark/>
          </w:tcPr>
          <w:p w14:paraId="221C417E" w14:textId="77777777" w:rsidR="00503C32" w:rsidRDefault="00503C32" w:rsidP="004379C1">
            <w:pPr>
              <w:spacing w:before="30" w:after="30"/>
              <w:ind w:left="60" w:right="60"/>
            </w:pPr>
            <w:r>
              <w:rPr>
                <w:b/>
                <w:bCs/>
                <w:lang w:val="en-US"/>
              </w:rPr>
              <w:t>Persell,​ Stephen D.,​Doctor,​ Jason N.,​Friedberg,​ Mark W.,​Meeker,​ Daniella,​Friesema,​ Elisha,​Cooper,​ Andrew,​Haryani,​ Ajay,​Gregory,​ Dyanna L.,​Fox,​ Craig R.,​Goldstein,​ Noah J.,​Linder,​ Jeffrey A.</w:t>
            </w:r>
            <w:r>
              <w:rPr>
                <w:lang w:val="en-US"/>
              </w:rPr>
              <w:t xml:space="preserve">. Behavioral interventions to reduce inappropriate antibiotic prescribing: a randomized pilot trial. </w:t>
            </w:r>
            <w:r>
              <w:rPr>
                <w:i/>
                <w:iCs/>
              </w:rPr>
              <w:t>BMC infectious diseases.</w:t>
            </w:r>
            <w:r>
              <w:t xml:space="preserve"> 2016. 16:373</w:t>
            </w:r>
          </w:p>
        </w:tc>
      </w:tr>
      <w:tr w:rsidR="00503C32" w14:paraId="597CE776" w14:textId="77777777" w:rsidTr="004379C1">
        <w:tc>
          <w:tcPr>
            <w:tcW w:w="0" w:type="auto"/>
            <w:tcMar>
              <w:top w:w="15" w:type="dxa"/>
              <w:left w:w="15" w:type="dxa"/>
              <w:bottom w:w="15" w:type="dxa"/>
              <w:right w:w="15" w:type="dxa"/>
            </w:tcMar>
            <w:hideMark/>
          </w:tcPr>
          <w:p w14:paraId="4BB0D234" w14:textId="77777777" w:rsidR="00503C32" w:rsidRDefault="00503C32" w:rsidP="004379C1">
            <w:pPr>
              <w:spacing w:before="30" w:after="30"/>
              <w:ind w:left="60" w:right="60"/>
            </w:pPr>
            <w:r>
              <w:rPr>
                <w:b/>
                <w:bCs/>
                <w:lang w:val="en-US"/>
              </w:rPr>
              <w:t>Pettersson,​ Eva,​Vernby,​ Asa,​Molstad,​ Sigvard,​Lundborg,​ Cecilia Stalsby</w:t>
            </w:r>
            <w:r>
              <w:rPr>
                <w:lang w:val="en-US"/>
              </w:rPr>
              <w:t xml:space="preserve">. Can a multifaceted educational intervention targeting both nurses and physicians change the prescribing of antibiotics to nursing home residents? A cluster randomized controlled trial. </w:t>
            </w:r>
            <w:r>
              <w:rPr>
                <w:i/>
                <w:iCs/>
                <w:lang w:val="en-US"/>
              </w:rPr>
              <w:t>The Journal of antimicrobial chemotherapy.</w:t>
            </w:r>
            <w:r>
              <w:rPr>
                <w:lang w:val="en-US"/>
              </w:rPr>
              <w:t xml:space="preserve"> </w:t>
            </w:r>
            <w:r>
              <w:t>2011. 66:2659-66</w:t>
            </w:r>
          </w:p>
        </w:tc>
      </w:tr>
      <w:tr w:rsidR="00503C32" w14:paraId="5102ED4E" w14:textId="77777777" w:rsidTr="004379C1">
        <w:tc>
          <w:tcPr>
            <w:tcW w:w="0" w:type="auto"/>
            <w:tcMar>
              <w:top w:w="15" w:type="dxa"/>
              <w:left w:w="15" w:type="dxa"/>
              <w:bottom w:w="15" w:type="dxa"/>
              <w:right w:w="15" w:type="dxa"/>
            </w:tcMar>
            <w:hideMark/>
          </w:tcPr>
          <w:p w14:paraId="27C87A27" w14:textId="77777777" w:rsidR="00503C32" w:rsidRDefault="00503C32" w:rsidP="004379C1">
            <w:pPr>
              <w:spacing w:before="30" w:after="30"/>
              <w:ind w:left="60" w:right="60"/>
            </w:pPr>
            <w:r>
              <w:rPr>
                <w:b/>
                <w:bCs/>
                <w:lang w:val="en-US"/>
              </w:rPr>
              <w:t>Phuong,​ Hoang L.,​Nga,​ Tran T. T.,​Giao,​ Phan T.,​Hung,​ Le Q.,​Binh,​ Tran Q.,​Nam,​ Nguyen V.,​Nagelkerke,​ Nico,​de Vries,​ Peter J.</w:t>
            </w:r>
            <w:r>
              <w:rPr>
                <w:lang w:val="en-US"/>
              </w:rPr>
              <w:t xml:space="preserve">. Randomised primary health center based interventions to improve the diagnosis and treatment of undifferentiated fever and dengue in Vietnam. </w:t>
            </w:r>
            <w:r>
              <w:rPr>
                <w:i/>
                <w:iCs/>
              </w:rPr>
              <w:t>BMC health services research.</w:t>
            </w:r>
            <w:r>
              <w:t xml:space="preserve"> 2010. 10:275</w:t>
            </w:r>
          </w:p>
        </w:tc>
      </w:tr>
      <w:tr w:rsidR="00503C32" w14:paraId="2D4ED793" w14:textId="77777777" w:rsidTr="004379C1">
        <w:tc>
          <w:tcPr>
            <w:tcW w:w="0" w:type="auto"/>
            <w:tcMar>
              <w:top w:w="15" w:type="dxa"/>
              <w:left w:w="15" w:type="dxa"/>
              <w:bottom w:w="15" w:type="dxa"/>
              <w:right w:w="15" w:type="dxa"/>
            </w:tcMar>
            <w:hideMark/>
          </w:tcPr>
          <w:p w14:paraId="78569995" w14:textId="77777777" w:rsidR="00503C32" w:rsidRDefault="00503C32" w:rsidP="004379C1">
            <w:pPr>
              <w:spacing w:before="30" w:after="30"/>
              <w:ind w:left="60" w:right="60"/>
            </w:pPr>
            <w:r>
              <w:rPr>
                <w:b/>
                <w:bCs/>
                <w:lang w:val="en-US"/>
              </w:rPr>
              <w:t>Pimlott,​ Nicholas J. G.,​Hux,​ Janet E.,​Wilson,​ Lynn M.,​Kahan,​ Meldon,​Li,​ Cindy,​Rosser,​ Walter W.</w:t>
            </w:r>
            <w:r>
              <w:rPr>
                <w:lang w:val="en-US"/>
              </w:rPr>
              <w:t xml:space="preserve">. Educating physicians to reduce benzodiazepine use by elderly patients: a randomized controlled trial. </w:t>
            </w:r>
            <w:r>
              <w:rPr>
                <w:i/>
                <w:iCs/>
                <w:lang w:val="en-US"/>
              </w:rPr>
              <w:t>CMAJ : Canadian Medical Association journal = journal de l'Association medicale canadienne.</w:t>
            </w:r>
            <w:r>
              <w:rPr>
                <w:lang w:val="en-US"/>
              </w:rPr>
              <w:t xml:space="preserve"> </w:t>
            </w:r>
            <w:r>
              <w:t>2003. 168:835-9</w:t>
            </w:r>
          </w:p>
        </w:tc>
      </w:tr>
      <w:tr w:rsidR="00503C32" w14:paraId="534E3944" w14:textId="77777777" w:rsidTr="004379C1">
        <w:tc>
          <w:tcPr>
            <w:tcW w:w="0" w:type="auto"/>
            <w:tcMar>
              <w:top w:w="15" w:type="dxa"/>
              <w:left w:w="15" w:type="dxa"/>
              <w:bottom w:w="15" w:type="dxa"/>
              <w:right w:w="15" w:type="dxa"/>
            </w:tcMar>
            <w:hideMark/>
          </w:tcPr>
          <w:p w14:paraId="44B0F25A" w14:textId="77777777" w:rsidR="00503C32" w:rsidRDefault="00503C32" w:rsidP="004379C1">
            <w:pPr>
              <w:spacing w:before="30" w:after="30"/>
              <w:ind w:left="60" w:right="60"/>
            </w:pPr>
            <w:r>
              <w:rPr>
                <w:b/>
                <w:bCs/>
              </w:rPr>
              <w:t>Pinto,​ D.,​Heleno,​ B.,​Rodrigues,​ D. S.,​Papoila,​ A. L.,​Santos,​ I.,​Caetano,​ P. A.</w:t>
            </w:r>
            <w:r>
              <w:t xml:space="preserve">. </w:t>
            </w:r>
            <w:r>
              <w:rPr>
                <w:lang w:val="en-US"/>
              </w:rPr>
              <w:t xml:space="preserve">Effectiveness of educational outreach visits compared with usual guideline dissemination to improve family physician prescribing-an 18-month open cluster-randomized trial. </w:t>
            </w:r>
            <w:r>
              <w:rPr>
                <w:i/>
                <w:iCs/>
              </w:rPr>
              <w:t>Implementation Science.</w:t>
            </w:r>
            <w:r>
              <w:t xml:space="preserve"> 2018. 13:#pages#</w:t>
            </w:r>
          </w:p>
        </w:tc>
      </w:tr>
      <w:tr w:rsidR="00503C32" w14:paraId="0E733E0D" w14:textId="77777777" w:rsidTr="004379C1">
        <w:tc>
          <w:tcPr>
            <w:tcW w:w="0" w:type="auto"/>
            <w:tcMar>
              <w:top w:w="15" w:type="dxa"/>
              <w:left w:w="15" w:type="dxa"/>
              <w:bottom w:w="15" w:type="dxa"/>
              <w:right w:w="15" w:type="dxa"/>
            </w:tcMar>
            <w:hideMark/>
          </w:tcPr>
          <w:p w14:paraId="7AF7C5FC" w14:textId="77777777" w:rsidR="00503C32" w:rsidRDefault="00503C32" w:rsidP="004379C1">
            <w:pPr>
              <w:spacing w:before="30" w:after="30"/>
              <w:ind w:left="60" w:right="60"/>
            </w:pPr>
            <w:r>
              <w:rPr>
                <w:b/>
                <w:bCs/>
              </w:rPr>
              <w:t>Pshetizky,​ Y.,​Naimer,​ S.,​Shvartzman,​ P.</w:t>
            </w:r>
            <w:r>
              <w:t xml:space="preserve">. </w:t>
            </w:r>
            <w:r>
              <w:rPr>
                <w:lang w:val="en-US"/>
              </w:rPr>
              <w:t xml:space="preserve">Acute otitis media--a brief explanation to parents and antibiotic use. </w:t>
            </w:r>
            <w:r>
              <w:rPr>
                <w:i/>
                <w:iCs/>
              </w:rPr>
              <w:t>Fam Pract.</w:t>
            </w:r>
            <w:r>
              <w:t xml:space="preserve"> 2003. 20:417-9</w:t>
            </w:r>
          </w:p>
        </w:tc>
      </w:tr>
      <w:tr w:rsidR="00503C32" w14:paraId="49DC82C1" w14:textId="77777777" w:rsidTr="004379C1">
        <w:tc>
          <w:tcPr>
            <w:tcW w:w="0" w:type="auto"/>
            <w:tcMar>
              <w:top w:w="15" w:type="dxa"/>
              <w:left w:w="15" w:type="dxa"/>
              <w:bottom w:w="15" w:type="dxa"/>
              <w:right w:w="15" w:type="dxa"/>
            </w:tcMar>
            <w:hideMark/>
          </w:tcPr>
          <w:p w14:paraId="7620229B" w14:textId="77777777" w:rsidR="00503C32" w:rsidRDefault="00503C32" w:rsidP="004379C1">
            <w:pPr>
              <w:spacing w:before="30" w:after="30"/>
              <w:ind w:left="60" w:right="60"/>
            </w:pPr>
            <w:r>
              <w:rPr>
                <w:b/>
                <w:bCs/>
                <w:lang w:val="en-US"/>
              </w:rPr>
              <w:t>Raebel,​ M. A.,​Charles,​ J.,​Dugan,​ J.,​Carroll,​ N. M.,​Korner,​ E. J.,​Brand,​ D. W.,​Magid,​ D. J.</w:t>
            </w:r>
            <w:r>
              <w:rPr>
                <w:lang w:val="en-US"/>
              </w:rPr>
              <w:t xml:space="preserve">. Randomized trial to improve prescribing safety in ambulatory elderly patients. </w:t>
            </w:r>
            <w:r>
              <w:rPr>
                <w:i/>
                <w:iCs/>
              </w:rPr>
              <w:t>Journal of the American Geriatrics Society.</w:t>
            </w:r>
            <w:r>
              <w:t xml:space="preserve"> 2007. 55:977-985</w:t>
            </w:r>
          </w:p>
        </w:tc>
      </w:tr>
      <w:tr w:rsidR="00503C32" w14:paraId="733C9661" w14:textId="77777777" w:rsidTr="004379C1">
        <w:tc>
          <w:tcPr>
            <w:tcW w:w="0" w:type="auto"/>
            <w:tcMar>
              <w:top w:w="15" w:type="dxa"/>
              <w:left w:w="15" w:type="dxa"/>
              <w:bottom w:w="15" w:type="dxa"/>
              <w:right w:w="15" w:type="dxa"/>
            </w:tcMar>
            <w:hideMark/>
          </w:tcPr>
          <w:p w14:paraId="2B90F610" w14:textId="77777777" w:rsidR="00503C32" w:rsidRDefault="00503C32" w:rsidP="004379C1">
            <w:pPr>
              <w:spacing w:before="30" w:after="30"/>
              <w:ind w:left="60" w:right="60"/>
            </w:pPr>
            <w:r>
              <w:rPr>
                <w:b/>
                <w:bCs/>
                <w:lang w:val="en-US"/>
              </w:rPr>
              <w:t>Rambaud-Althaus,​ Clotilde,​Shao,​ Amani,​Samaka,​ Josephine,​Swai,​ Ndeniria,​Perri,​ Seneca,​Kahama-Maro,​ Judith,​Mitchell,​ Marc,​D'Acremont,​ Valerie,​Genton,​ Blaise</w:t>
            </w:r>
            <w:r>
              <w:rPr>
                <w:lang w:val="en-US"/>
              </w:rPr>
              <w:t xml:space="preserve">. Performance of Health Workers Using an Electronic Algorithm for the Management of Childhood Illness in Tanzania: A Pilot Implementation Study. </w:t>
            </w:r>
            <w:r>
              <w:rPr>
                <w:i/>
                <w:iCs/>
              </w:rPr>
              <w:t>The American journal of tropical medicine and hygiene.</w:t>
            </w:r>
            <w:r>
              <w:t xml:space="preserve"> </w:t>
            </w:r>
            <w:r>
              <w:lastRenderedPageBreak/>
              <w:t>2017. 96:249-257</w:t>
            </w:r>
          </w:p>
        </w:tc>
      </w:tr>
      <w:tr w:rsidR="00503C32" w14:paraId="2ABB80AD" w14:textId="77777777" w:rsidTr="004379C1">
        <w:tc>
          <w:tcPr>
            <w:tcW w:w="0" w:type="auto"/>
            <w:tcMar>
              <w:top w:w="15" w:type="dxa"/>
              <w:left w:w="15" w:type="dxa"/>
              <w:bottom w:w="15" w:type="dxa"/>
              <w:right w:w="15" w:type="dxa"/>
            </w:tcMar>
            <w:hideMark/>
          </w:tcPr>
          <w:p w14:paraId="76620DE2" w14:textId="77777777" w:rsidR="00503C32" w:rsidRDefault="00503C32" w:rsidP="004379C1">
            <w:pPr>
              <w:spacing w:before="30" w:after="30"/>
              <w:ind w:left="60" w:right="60"/>
            </w:pPr>
            <w:r>
              <w:rPr>
                <w:b/>
                <w:bCs/>
                <w:lang w:val="en-US"/>
              </w:rPr>
              <w:lastRenderedPageBreak/>
              <w:t>Ray,​ W. A.,​Stein,​ C. M.,​Byrd,​ V.,​Shorr,​ R.,​Pichert,​ J. W.,​Gideon,​ P.,​Arnold,​ K.,​Brandt,​ K. D.,​Pincus,​ T.,​Griffin,​ M. R.</w:t>
            </w:r>
            <w:r>
              <w:rPr>
                <w:lang w:val="en-US"/>
              </w:rPr>
              <w:t xml:space="preserve">. Educational program for physicians to reduce use of non-steroidal anti-inflammatory drugs among community-dwelling elderly persons: a randomized controlled trial. </w:t>
            </w:r>
            <w:r>
              <w:rPr>
                <w:i/>
                <w:iCs/>
              </w:rPr>
              <w:t>Medical care.</w:t>
            </w:r>
            <w:r>
              <w:t xml:space="preserve"> 2001. 39:425-35</w:t>
            </w:r>
          </w:p>
        </w:tc>
      </w:tr>
      <w:tr w:rsidR="00503C32" w14:paraId="33F6E402" w14:textId="77777777" w:rsidTr="004379C1">
        <w:tc>
          <w:tcPr>
            <w:tcW w:w="0" w:type="auto"/>
            <w:tcMar>
              <w:top w:w="15" w:type="dxa"/>
              <w:left w:w="15" w:type="dxa"/>
              <w:bottom w:w="15" w:type="dxa"/>
              <w:right w:w="15" w:type="dxa"/>
            </w:tcMar>
            <w:hideMark/>
          </w:tcPr>
          <w:p w14:paraId="76444423" w14:textId="77777777" w:rsidR="00503C32" w:rsidRDefault="00503C32" w:rsidP="004379C1">
            <w:pPr>
              <w:spacing w:before="30" w:after="30"/>
              <w:ind w:left="60" w:right="60"/>
            </w:pPr>
            <w:r>
              <w:rPr>
                <w:b/>
                <w:bCs/>
              </w:rPr>
              <w:t>Regev-Yochay,​ Gili,​Raz,​ Meir,​Dagan,​ Ron,​Roizin,​ Hector,​Morag,​ Benjamin,​Hetman,​ Shmuel,​Ringel,​ Sigal,​Ben-Israel,​ Neta,​Varon,​ Miriam,​Somekh,​ Eli,​Rubinstein,​ Ethan</w:t>
            </w:r>
            <w:r>
              <w:t xml:space="preserve">. </w:t>
            </w:r>
            <w:r>
              <w:rPr>
                <w:lang w:val="en-US"/>
              </w:rPr>
              <w:t xml:space="preserve">Reduction in antibiotic use following a cluster randomized controlled multifaceted intervention: the Israeli judicious antibiotic prescription study. </w:t>
            </w:r>
            <w:r>
              <w:rPr>
                <w:i/>
                <w:iCs/>
                <w:lang w:val="en-US"/>
              </w:rPr>
              <w:t>Clinical infectious diseases : an official publication of the Infectious Diseases Society of America.</w:t>
            </w:r>
            <w:r>
              <w:rPr>
                <w:lang w:val="en-US"/>
              </w:rPr>
              <w:t xml:space="preserve"> </w:t>
            </w:r>
            <w:r>
              <w:t>2011. 53:33-41</w:t>
            </w:r>
          </w:p>
        </w:tc>
      </w:tr>
      <w:tr w:rsidR="00503C32" w14:paraId="0FA97626" w14:textId="77777777" w:rsidTr="004379C1">
        <w:tc>
          <w:tcPr>
            <w:tcW w:w="0" w:type="auto"/>
            <w:tcMar>
              <w:top w:w="15" w:type="dxa"/>
              <w:left w:w="15" w:type="dxa"/>
              <w:bottom w:w="15" w:type="dxa"/>
              <w:right w:w="15" w:type="dxa"/>
            </w:tcMar>
            <w:hideMark/>
          </w:tcPr>
          <w:p w14:paraId="2195ECC8" w14:textId="77777777" w:rsidR="00503C32" w:rsidRDefault="00503C32" w:rsidP="004379C1">
            <w:pPr>
              <w:spacing w:before="30" w:after="30"/>
              <w:ind w:left="60" w:right="60"/>
            </w:pPr>
            <w:r>
              <w:rPr>
                <w:b/>
                <w:bCs/>
                <w:lang w:val="en-US"/>
              </w:rPr>
              <w:t>Ringwalt,​ Chris,​Shanahan,​ Meghan,​Wodarski,​ Stephanie,​Jones,​ Jennifer,​Schaffer,​ Danielle,​Fusaro,​ Angela,​Paulozzi,​ Len,​Garrettson,​ Mariana,​Ford,​ Marsha</w:t>
            </w:r>
            <w:r>
              <w:rPr>
                <w:lang w:val="en-US"/>
              </w:rPr>
              <w:t xml:space="preserve">. A Randomized Controlled Trial of an Emergency Department Intervention for Patients with Chronic Noncancer Pain. </w:t>
            </w:r>
            <w:r>
              <w:rPr>
                <w:i/>
                <w:iCs/>
              </w:rPr>
              <w:t>The Journal of emergency medicine.</w:t>
            </w:r>
            <w:r>
              <w:t xml:space="preserve"> 2015. 49:974-83</w:t>
            </w:r>
          </w:p>
        </w:tc>
      </w:tr>
      <w:tr w:rsidR="00503C32" w14:paraId="1C85C320" w14:textId="77777777" w:rsidTr="004379C1">
        <w:tc>
          <w:tcPr>
            <w:tcW w:w="0" w:type="auto"/>
            <w:tcMar>
              <w:top w:w="15" w:type="dxa"/>
              <w:left w:w="15" w:type="dxa"/>
              <w:bottom w:w="15" w:type="dxa"/>
              <w:right w:w="15" w:type="dxa"/>
            </w:tcMar>
            <w:hideMark/>
          </w:tcPr>
          <w:p w14:paraId="732639D6" w14:textId="77777777" w:rsidR="00503C32" w:rsidRDefault="00503C32" w:rsidP="004379C1">
            <w:pPr>
              <w:spacing w:before="30" w:after="30"/>
              <w:ind w:left="60" w:right="60"/>
            </w:pPr>
            <w:r>
              <w:rPr>
                <w:b/>
                <w:bCs/>
                <w:lang w:val="en-US"/>
              </w:rPr>
              <w:t>Rognstad,​ Sture,​Brekke,​ Mette,​Fetveit,​ Arne,​Dalen,​ Ingvild,​Straand,​ Jorund</w:t>
            </w:r>
            <w:r>
              <w:rPr>
                <w:lang w:val="en-US"/>
              </w:rPr>
              <w:t xml:space="preserve">. Prescription peer academic detailing to reduce inappropriate prescribing for older patients: a cluster randomised controlled trial. </w:t>
            </w:r>
            <w:r>
              <w:rPr>
                <w:i/>
                <w:iCs/>
                <w:lang w:val="en-US"/>
              </w:rPr>
              <w:t>The British journal of general practice : the journal of the Royal College of General Practitioners.</w:t>
            </w:r>
            <w:r>
              <w:rPr>
                <w:lang w:val="en-US"/>
              </w:rPr>
              <w:t xml:space="preserve"> </w:t>
            </w:r>
            <w:r>
              <w:t>2013. 63:e554-62</w:t>
            </w:r>
          </w:p>
        </w:tc>
      </w:tr>
      <w:tr w:rsidR="00503C32" w14:paraId="2F455276" w14:textId="77777777" w:rsidTr="004379C1">
        <w:tc>
          <w:tcPr>
            <w:tcW w:w="0" w:type="auto"/>
            <w:tcMar>
              <w:top w:w="15" w:type="dxa"/>
              <w:left w:w="15" w:type="dxa"/>
              <w:bottom w:w="15" w:type="dxa"/>
              <w:right w:w="15" w:type="dxa"/>
            </w:tcMar>
            <w:hideMark/>
          </w:tcPr>
          <w:p w14:paraId="529B6A2E" w14:textId="77777777" w:rsidR="00503C32" w:rsidRDefault="00503C32" w:rsidP="004379C1">
            <w:pPr>
              <w:spacing w:before="30" w:after="30"/>
              <w:ind w:left="60" w:right="60"/>
            </w:pPr>
            <w:r>
              <w:rPr>
                <w:b/>
                <w:bCs/>
                <w:lang w:val="en-US"/>
              </w:rPr>
              <w:t>Rothschild,​ Jeffrey M.,​McGurk,​ Siobhan,​Honour,​ Melissa,​Lu,​ Linh,​McClendon,​ Aubre A.,​Srivastava,​ Priya,​Churchill,​ W. Hallowell,​Kaufman,​ Richard M.,​Avorn,​ Jerry,​Cook,​ E. Francis,​Bates,​ David W.</w:t>
            </w:r>
            <w:r>
              <w:rPr>
                <w:lang w:val="en-US"/>
              </w:rPr>
              <w:t xml:space="preserve">. Assessment of education and computerized decision support interventions for improving transfusion practice. </w:t>
            </w:r>
            <w:r>
              <w:rPr>
                <w:i/>
                <w:iCs/>
              </w:rPr>
              <w:t>Transfusion.</w:t>
            </w:r>
            <w:r>
              <w:t xml:space="preserve"> 2007. 47:228-39</w:t>
            </w:r>
          </w:p>
        </w:tc>
      </w:tr>
      <w:tr w:rsidR="00503C32" w:rsidRPr="00A16D7D" w14:paraId="71CC3072" w14:textId="77777777" w:rsidTr="004379C1">
        <w:tc>
          <w:tcPr>
            <w:tcW w:w="0" w:type="auto"/>
            <w:tcMar>
              <w:top w:w="15" w:type="dxa"/>
              <w:left w:w="15" w:type="dxa"/>
              <w:bottom w:w="15" w:type="dxa"/>
              <w:right w:w="15" w:type="dxa"/>
            </w:tcMar>
            <w:hideMark/>
          </w:tcPr>
          <w:p w14:paraId="117933FD" w14:textId="77777777" w:rsidR="00503C32" w:rsidRDefault="00503C32" w:rsidP="004379C1">
            <w:pPr>
              <w:spacing w:before="30" w:after="30"/>
              <w:ind w:left="60" w:right="60"/>
              <w:rPr>
                <w:lang w:val="en-US"/>
              </w:rPr>
            </w:pPr>
            <w:r>
              <w:rPr>
                <w:b/>
                <w:bCs/>
                <w:lang w:val="en-US"/>
              </w:rPr>
              <w:t>Ruangkanchanasetr,​ S.</w:t>
            </w:r>
            <w:r>
              <w:rPr>
                <w:lang w:val="en-US"/>
              </w:rPr>
              <w:t xml:space="preserve">. Laboratory investigation utilization in pediatric out-patient department Ramathibodi Hospital. </w:t>
            </w:r>
            <w:r>
              <w:rPr>
                <w:i/>
                <w:iCs/>
                <w:lang w:val="en-US"/>
              </w:rPr>
              <w:t>Journal of the Medical Association of Thailand = Chotmaihet thangphaet.</w:t>
            </w:r>
            <w:r>
              <w:rPr>
                <w:lang w:val="en-US"/>
              </w:rPr>
              <w:t xml:space="preserve"> 1993. 76 Suppl 2:194-208</w:t>
            </w:r>
          </w:p>
        </w:tc>
      </w:tr>
      <w:tr w:rsidR="00503C32" w14:paraId="551FCE13" w14:textId="77777777" w:rsidTr="004379C1">
        <w:tc>
          <w:tcPr>
            <w:tcW w:w="0" w:type="auto"/>
            <w:tcMar>
              <w:top w:w="15" w:type="dxa"/>
              <w:left w:w="15" w:type="dxa"/>
              <w:bottom w:w="15" w:type="dxa"/>
              <w:right w:w="15" w:type="dxa"/>
            </w:tcMar>
            <w:hideMark/>
          </w:tcPr>
          <w:p w14:paraId="416B86D1" w14:textId="77777777" w:rsidR="00503C32" w:rsidRDefault="00503C32" w:rsidP="004379C1">
            <w:pPr>
              <w:spacing w:before="30" w:after="30"/>
              <w:ind w:left="60" w:right="60"/>
            </w:pPr>
            <w:r w:rsidRPr="00A16D7D">
              <w:rPr>
                <w:b/>
                <w:bCs/>
              </w:rPr>
              <w:t>Ryskina,​ Kira,​Jessica Dine,​ C.,​Gitelman,​ Yevgeniy,​Leri,​ Damien,​Patel,​ Mitesh,​Kurtzman,​ Gregory,​Lin,​ Lisa Y.,​Epstein,​ Andrew J.</w:t>
            </w:r>
            <w:r w:rsidRPr="00A16D7D">
              <w:t xml:space="preserve">. </w:t>
            </w:r>
            <w:r>
              <w:rPr>
                <w:lang w:val="en-US"/>
              </w:rPr>
              <w:t xml:space="preserve">Effect of Social Comparison Feedback on Laboratory Test Ordering for Hospitalized Patients: A Randomized Controlled Trial. </w:t>
            </w:r>
            <w:r>
              <w:rPr>
                <w:i/>
                <w:iCs/>
              </w:rPr>
              <w:t>Journal of general internal medicine.</w:t>
            </w:r>
            <w:r>
              <w:t xml:space="preserve"> 2018. 33:1639-1645</w:t>
            </w:r>
          </w:p>
        </w:tc>
      </w:tr>
      <w:tr w:rsidR="00503C32" w14:paraId="49EFB4D2" w14:textId="77777777" w:rsidTr="004379C1">
        <w:tc>
          <w:tcPr>
            <w:tcW w:w="0" w:type="auto"/>
            <w:tcMar>
              <w:top w:w="15" w:type="dxa"/>
              <w:left w:w="15" w:type="dxa"/>
              <w:bottom w:w="15" w:type="dxa"/>
              <w:right w:w="15" w:type="dxa"/>
            </w:tcMar>
            <w:hideMark/>
          </w:tcPr>
          <w:p w14:paraId="40319A0D" w14:textId="77777777" w:rsidR="00503C32" w:rsidRDefault="00503C32" w:rsidP="004379C1">
            <w:pPr>
              <w:spacing w:before="30" w:after="30"/>
              <w:ind w:left="60" w:right="60"/>
            </w:pPr>
            <w:r>
              <w:rPr>
                <w:b/>
                <w:bCs/>
                <w:lang w:val="en-US"/>
              </w:rPr>
              <w:t>Sacarny,​ Adam,​Barnett,​ Michael L.,​Le,​ Jackson,​Tetkoski,​ Frank,​Yokum,​ David,​Agrawal,​ Shantanu</w:t>
            </w:r>
            <w:r>
              <w:rPr>
                <w:lang w:val="en-US"/>
              </w:rPr>
              <w:t xml:space="preserve">. Effect of Peer Comparison Letters for High-Volume Primary Care Prescribers of Quetiapine in Older and Disabled Adults: A Randomized Clinical Trial. </w:t>
            </w:r>
            <w:r>
              <w:rPr>
                <w:i/>
                <w:iCs/>
              </w:rPr>
              <w:t>JAMA psychiatry.</w:t>
            </w:r>
            <w:r>
              <w:t xml:space="preserve"> 2018. 75:1003-1011</w:t>
            </w:r>
          </w:p>
        </w:tc>
      </w:tr>
      <w:tr w:rsidR="00503C32" w14:paraId="38ABBA0E" w14:textId="77777777" w:rsidTr="004379C1">
        <w:tc>
          <w:tcPr>
            <w:tcW w:w="0" w:type="auto"/>
            <w:tcMar>
              <w:top w:w="15" w:type="dxa"/>
              <w:left w:w="15" w:type="dxa"/>
              <w:bottom w:w="15" w:type="dxa"/>
              <w:right w:w="15" w:type="dxa"/>
            </w:tcMar>
            <w:hideMark/>
          </w:tcPr>
          <w:p w14:paraId="0BF8BCCD" w14:textId="77777777" w:rsidR="00503C32" w:rsidRPr="004379C1" w:rsidRDefault="00503C32" w:rsidP="004379C1">
            <w:pPr>
              <w:spacing w:before="30" w:after="30"/>
              <w:ind w:left="60" w:right="60"/>
              <w:rPr>
                <w:lang w:val="en-US"/>
              </w:rPr>
            </w:pPr>
            <w:r>
              <w:rPr>
                <w:b/>
                <w:bCs/>
                <w:lang w:val="en-US"/>
              </w:rPr>
              <w:t>Sacarny,​ Adam,​Yokum,​ David,​Finkelstein,​ Amy,​Agrawal,​ Shantanu</w:t>
            </w:r>
            <w:r>
              <w:rPr>
                <w:lang w:val="en-US"/>
              </w:rPr>
              <w:t xml:space="preserve">. Medicare Letters To Curb Overprescribing Of Controlled Substances Had No Detectable Effect On Providers. </w:t>
            </w:r>
            <w:r w:rsidRPr="004379C1">
              <w:rPr>
                <w:i/>
                <w:iCs/>
                <w:lang w:val="en-US"/>
              </w:rPr>
              <w:t>Health affairs (Project Hope).</w:t>
            </w:r>
            <w:r w:rsidRPr="004379C1">
              <w:rPr>
                <w:lang w:val="en-US"/>
              </w:rPr>
              <w:t xml:space="preserve"> 2016. 35:471-9</w:t>
            </w:r>
          </w:p>
          <w:p w14:paraId="606FB626" w14:textId="77777777" w:rsidR="00503C32" w:rsidRDefault="00503C32" w:rsidP="004379C1">
            <w:pPr>
              <w:pStyle w:val="ListParagraph"/>
              <w:spacing w:before="30" w:after="30"/>
              <w:ind w:left="420" w:right="60"/>
            </w:pPr>
            <w:r>
              <w:rPr>
                <w:b/>
                <w:bCs/>
                <w:lang w:val="en-US"/>
              </w:rPr>
              <w:t>Sacarny,​ Adam,​Olenski,​ Andrew R.,​Barnett,​ Michael L.</w:t>
            </w:r>
            <w:r>
              <w:rPr>
                <w:lang w:val="en-US"/>
              </w:rPr>
              <w:t xml:space="preserve">. Association of Quetiapine Overuse Letters With Prescribing by Physician Peers of Targeted Recipients: A Secondary Analysis of a Randomized Clinical Trial. </w:t>
            </w:r>
            <w:r>
              <w:rPr>
                <w:i/>
                <w:iCs/>
              </w:rPr>
              <w:t>JAMA psychiatry.</w:t>
            </w:r>
            <w:r>
              <w:t xml:space="preserve"> 2019. 76:1094-1095</w:t>
            </w:r>
          </w:p>
        </w:tc>
      </w:tr>
      <w:tr w:rsidR="00503C32" w14:paraId="3233267B" w14:textId="77777777" w:rsidTr="004379C1">
        <w:tc>
          <w:tcPr>
            <w:tcW w:w="0" w:type="auto"/>
            <w:tcMar>
              <w:top w:w="15" w:type="dxa"/>
              <w:left w:w="15" w:type="dxa"/>
              <w:bottom w:w="15" w:type="dxa"/>
              <w:right w:w="15" w:type="dxa"/>
            </w:tcMar>
            <w:hideMark/>
          </w:tcPr>
          <w:p w14:paraId="2F0D744B" w14:textId="77777777" w:rsidR="00503C32" w:rsidRDefault="00503C32" w:rsidP="004379C1">
            <w:pPr>
              <w:spacing w:before="30" w:after="30"/>
              <w:ind w:left="60" w:right="60"/>
            </w:pPr>
            <w:r>
              <w:rPr>
                <w:b/>
                <w:bCs/>
                <w:lang w:val="en-US"/>
              </w:rPr>
              <w:t>Sallis,​ Anna,​ Bondaronek,​ Paulina,​ Sanders,​ Jet G.,​ Yu,​ Ly-Mee,​ Harris,​ Victoria,​ Vlaev,​ Ivo,​ Sanders,​ Michael,​ Tonkin-Crine,​ Sarah,​ Chadborn,​ Tim</w:t>
            </w:r>
            <w:r>
              <w:rPr>
                <w:lang w:val="en-US"/>
              </w:rPr>
              <w:t xml:space="preserve">. Prescriber Commitment Posters to Increase Prudent Antibiotic Prescribing in English General Practice: A Cluster Randomized Controlled Trial. </w:t>
            </w:r>
            <w:r w:rsidRPr="004B7DF2">
              <w:rPr>
                <w:i/>
                <w:iCs/>
                <w:lang w:val="en-US"/>
              </w:rPr>
              <w:t>Antibiotics (Basel,​ Switzerland).</w:t>
            </w:r>
            <w:r w:rsidRPr="004B7DF2">
              <w:rPr>
                <w:lang w:val="en-US"/>
              </w:rPr>
              <w:t xml:space="preserve"> 2020. </w:t>
            </w:r>
            <w:r>
              <w:t>9:#pages#</w:t>
            </w:r>
          </w:p>
        </w:tc>
      </w:tr>
      <w:tr w:rsidR="00503C32" w14:paraId="20736F38" w14:textId="77777777" w:rsidTr="004379C1">
        <w:tc>
          <w:tcPr>
            <w:tcW w:w="0" w:type="auto"/>
            <w:tcMar>
              <w:top w:w="15" w:type="dxa"/>
              <w:left w:w="15" w:type="dxa"/>
              <w:bottom w:w="15" w:type="dxa"/>
              <w:right w:w="15" w:type="dxa"/>
            </w:tcMar>
            <w:hideMark/>
          </w:tcPr>
          <w:p w14:paraId="6F58103A" w14:textId="77777777" w:rsidR="00503C32" w:rsidRDefault="00503C32" w:rsidP="004379C1">
            <w:pPr>
              <w:spacing w:before="30" w:after="30"/>
              <w:ind w:left="60" w:right="60"/>
            </w:pPr>
            <w:r>
              <w:rPr>
                <w:b/>
                <w:bCs/>
                <w:lang w:val="en-US"/>
              </w:rPr>
              <w:t>Samore,​ Matthew H.,​Bateman,​ Kim,​Alder,​ Stephen C.,​Hannah,​ Elizabeth,​Donnelly,​ Sharon,​Stoddard,​ Gregory J.,​Haddadin,​ Bassam,​Rubin,​ Michael A.,​Williamson,​ Jacquelyn,​Stults,​ Barry,​Rupper,​ Randall,​Stevenson,​ Kurt</w:t>
            </w:r>
            <w:r>
              <w:rPr>
                <w:lang w:val="en-US"/>
              </w:rPr>
              <w:t xml:space="preserve">. Clinical decision support and appropriateness of </w:t>
            </w:r>
            <w:r>
              <w:rPr>
                <w:lang w:val="en-US"/>
              </w:rPr>
              <w:lastRenderedPageBreak/>
              <w:t xml:space="preserve">antimicrobial prescribing: a randomized trial. </w:t>
            </w:r>
            <w:r>
              <w:rPr>
                <w:i/>
                <w:iCs/>
              </w:rPr>
              <w:t>JAMA.</w:t>
            </w:r>
            <w:r>
              <w:t xml:space="preserve"> 2005. 294:2305-14</w:t>
            </w:r>
          </w:p>
        </w:tc>
      </w:tr>
      <w:tr w:rsidR="00503C32" w14:paraId="3C91E353" w14:textId="77777777" w:rsidTr="004379C1">
        <w:tc>
          <w:tcPr>
            <w:tcW w:w="0" w:type="auto"/>
            <w:tcMar>
              <w:top w:w="15" w:type="dxa"/>
              <w:left w:w="15" w:type="dxa"/>
              <w:bottom w:w="15" w:type="dxa"/>
              <w:right w:w="15" w:type="dxa"/>
            </w:tcMar>
            <w:hideMark/>
          </w:tcPr>
          <w:p w14:paraId="4BD4C4E2" w14:textId="77777777" w:rsidR="00503C32" w:rsidRDefault="00503C32" w:rsidP="004379C1">
            <w:pPr>
              <w:spacing w:before="30" w:after="30"/>
              <w:ind w:left="60" w:right="60"/>
            </w:pPr>
            <w:r>
              <w:rPr>
                <w:b/>
                <w:bCs/>
                <w:lang w:val="en-US"/>
              </w:rPr>
              <w:lastRenderedPageBreak/>
              <w:t>Schectman,​ Joel M.,​Schroth,​ W. Scott,​Verme,​ Dante,​Voss,​ John D.</w:t>
            </w:r>
            <w:r>
              <w:rPr>
                <w:lang w:val="en-US"/>
              </w:rPr>
              <w:t xml:space="preserve">. Randomized controlled trial of education and feedback for implementation of guidelines for acute low back pain. </w:t>
            </w:r>
            <w:r>
              <w:rPr>
                <w:i/>
                <w:iCs/>
              </w:rPr>
              <w:t>Journal of general internal medicine.</w:t>
            </w:r>
            <w:r>
              <w:t xml:space="preserve"> 2003. 18:773-80</w:t>
            </w:r>
          </w:p>
        </w:tc>
      </w:tr>
      <w:tr w:rsidR="00503C32" w14:paraId="53C528AB" w14:textId="77777777" w:rsidTr="004379C1">
        <w:tc>
          <w:tcPr>
            <w:tcW w:w="0" w:type="auto"/>
            <w:tcMar>
              <w:top w:w="15" w:type="dxa"/>
              <w:left w:w="15" w:type="dxa"/>
              <w:bottom w:w="15" w:type="dxa"/>
              <w:right w:w="15" w:type="dxa"/>
            </w:tcMar>
            <w:hideMark/>
          </w:tcPr>
          <w:p w14:paraId="43CABD18" w14:textId="77777777" w:rsidR="00503C32" w:rsidRDefault="00503C32" w:rsidP="004379C1">
            <w:pPr>
              <w:spacing w:before="30" w:after="30"/>
              <w:ind w:left="60" w:right="60"/>
            </w:pPr>
            <w:r>
              <w:rPr>
                <w:b/>
                <w:bCs/>
                <w:lang w:val="en-US"/>
              </w:rPr>
              <w:t>Schmidt,​ I.,​Claesson,​ C. B.,​Westerholm,​ B.,​Nilsson,​ L. G.,​Svarstad,​ B. L.</w:t>
            </w:r>
            <w:r>
              <w:rPr>
                <w:lang w:val="en-US"/>
              </w:rPr>
              <w:t xml:space="preserve">. The impact of regular multidisciplinary team interventions on psychotropic prescribing in Swedish nursing homes. </w:t>
            </w:r>
            <w:r>
              <w:rPr>
                <w:i/>
                <w:iCs/>
              </w:rPr>
              <w:t>Journal of the American Geriatrics Society.</w:t>
            </w:r>
            <w:r>
              <w:t xml:space="preserve"> 1998. 46:77-82</w:t>
            </w:r>
          </w:p>
        </w:tc>
      </w:tr>
      <w:tr w:rsidR="00503C32" w14:paraId="5DC32604" w14:textId="77777777" w:rsidTr="004379C1">
        <w:tc>
          <w:tcPr>
            <w:tcW w:w="0" w:type="auto"/>
            <w:tcMar>
              <w:top w:w="15" w:type="dxa"/>
              <w:left w:w="15" w:type="dxa"/>
              <w:bottom w:w="15" w:type="dxa"/>
              <w:right w:w="15" w:type="dxa"/>
            </w:tcMar>
            <w:hideMark/>
          </w:tcPr>
          <w:p w14:paraId="4DB617FD" w14:textId="77777777" w:rsidR="00503C32" w:rsidRDefault="00503C32" w:rsidP="004379C1">
            <w:pPr>
              <w:spacing w:before="30" w:after="30"/>
              <w:ind w:left="60" w:right="60"/>
            </w:pPr>
            <w:r>
              <w:rPr>
                <w:b/>
                <w:bCs/>
                <w:lang w:val="en-US"/>
              </w:rPr>
              <w:t>Schneiderman,​ L. J.,​Gilmer,​ T.,​Teetzel,​ H. D.,​Dugan,​ D. O.,​Blustein,​ J.,​Cranford,​ R.,​Briggs,​ K. B.,​Komatsu,​ G. I.,​Goodman-Crews,​ P.,​Cohn,​ F.,​Young,​ E. W.</w:t>
            </w:r>
            <w:r>
              <w:rPr>
                <w:lang w:val="en-US"/>
              </w:rPr>
              <w:t xml:space="preserve">. Effect of ethics consultations on nonbeneficial life-sustaining treatments in the intensive care setting: a randomized controlled trial. </w:t>
            </w:r>
            <w:r>
              <w:rPr>
                <w:i/>
                <w:iCs/>
              </w:rPr>
              <w:t>Jama.</w:t>
            </w:r>
            <w:r>
              <w:t xml:space="preserve"> 2003. 290:1166-72</w:t>
            </w:r>
          </w:p>
        </w:tc>
      </w:tr>
      <w:tr w:rsidR="00503C32" w14:paraId="7BA99104" w14:textId="77777777" w:rsidTr="004379C1">
        <w:tc>
          <w:tcPr>
            <w:tcW w:w="0" w:type="auto"/>
            <w:tcMar>
              <w:top w:w="15" w:type="dxa"/>
              <w:left w:w="15" w:type="dxa"/>
              <w:bottom w:w="15" w:type="dxa"/>
              <w:right w:w="15" w:type="dxa"/>
            </w:tcMar>
            <w:hideMark/>
          </w:tcPr>
          <w:p w14:paraId="229650E1" w14:textId="77777777" w:rsidR="00503C32" w:rsidRDefault="00503C32" w:rsidP="004379C1">
            <w:pPr>
              <w:spacing w:before="30" w:after="30"/>
              <w:ind w:left="60" w:right="60"/>
            </w:pPr>
            <w:r>
              <w:rPr>
                <w:b/>
                <w:bCs/>
              </w:rPr>
              <w:t>Sedrak,​ Mina S.,​Myers,​ Jennifer S.,​Small,​ Dylan S.,​Nachamkin,​ Irving,​Ziemba,​ Justin B.,​Murray,​ Dana,​Kurtzman,​ Gregory W.,​Zhu,​ Jingsan,​Wang,​ Wenli,​Mincarelli,​ Deborah,​Danoski,​ Daniel,​Wells,​ Brian P.,​Berns,​ Jeffrey S.,​Brennan,​ Patrick J.,​Hanson,​ C. William,​Dine,​ C. Jessica,​Patel,​ Mitesh S.</w:t>
            </w:r>
            <w:r>
              <w:t xml:space="preserve">. </w:t>
            </w:r>
            <w:r>
              <w:rPr>
                <w:lang w:val="en-US"/>
              </w:rPr>
              <w:t xml:space="preserve">Effect of a Price Transparency Intervention in the Electronic Health Record on Clinician Ordering of Inpatient Laboratory Tests: The PRICE Randomized Clinical Trial. </w:t>
            </w:r>
            <w:r>
              <w:rPr>
                <w:i/>
                <w:iCs/>
              </w:rPr>
              <w:t>JAMA internal medicine.</w:t>
            </w:r>
            <w:r>
              <w:t xml:space="preserve"> 2017. 177:939-945</w:t>
            </w:r>
          </w:p>
        </w:tc>
      </w:tr>
      <w:tr w:rsidR="00503C32" w14:paraId="68F14450" w14:textId="77777777" w:rsidTr="004379C1">
        <w:tc>
          <w:tcPr>
            <w:tcW w:w="0" w:type="auto"/>
            <w:tcMar>
              <w:top w:w="15" w:type="dxa"/>
              <w:left w:w="15" w:type="dxa"/>
              <w:bottom w:w="15" w:type="dxa"/>
              <w:right w:w="15" w:type="dxa"/>
            </w:tcMar>
            <w:hideMark/>
          </w:tcPr>
          <w:p w14:paraId="332D3905" w14:textId="77777777" w:rsidR="00503C32" w:rsidRDefault="00503C32" w:rsidP="004379C1">
            <w:pPr>
              <w:spacing w:before="30" w:after="30"/>
              <w:ind w:left="60" w:right="60"/>
            </w:pPr>
            <w:r>
              <w:rPr>
                <w:b/>
                <w:bCs/>
                <w:lang w:val="en-US"/>
              </w:rPr>
              <w:t>Sharma,​ S.,​Gupta,​ U.,​Roy Chaudhury,​ R.,​Bapna,​ J. S.</w:t>
            </w:r>
            <w:r>
              <w:rPr>
                <w:lang w:val="en-US"/>
              </w:rPr>
              <w:t xml:space="preserve">. Prescribing Behaviour of Physicians. </w:t>
            </w:r>
            <w:r>
              <w:rPr>
                <w:i/>
                <w:iCs/>
                <w:lang w:val="en-US"/>
              </w:rPr>
              <w:t>Journal of Health Management.</w:t>
            </w:r>
            <w:r>
              <w:rPr>
                <w:lang w:val="en-US"/>
              </w:rPr>
              <w:t xml:space="preserve"> </w:t>
            </w:r>
            <w:r>
              <w:t>2002. 4:55-71</w:t>
            </w:r>
          </w:p>
        </w:tc>
      </w:tr>
      <w:tr w:rsidR="00503C32" w14:paraId="67C041DE" w14:textId="77777777" w:rsidTr="004379C1">
        <w:tc>
          <w:tcPr>
            <w:tcW w:w="0" w:type="auto"/>
            <w:tcMar>
              <w:top w:w="15" w:type="dxa"/>
              <w:left w:w="15" w:type="dxa"/>
              <w:bottom w:w="15" w:type="dxa"/>
              <w:right w:w="15" w:type="dxa"/>
            </w:tcMar>
            <w:hideMark/>
          </w:tcPr>
          <w:p w14:paraId="0AD6A68E" w14:textId="77777777" w:rsidR="00503C32" w:rsidRDefault="00503C32" w:rsidP="004379C1">
            <w:pPr>
              <w:spacing w:before="30" w:after="30"/>
              <w:ind w:left="60" w:right="60"/>
            </w:pPr>
            <w:r>
              <w:rPr>
                <w:b/>
                <w:bCs/>
                <w:lang w:val="en-US"/>
              </w:rPr>
              <w:t>Sharma,​ Sweekriti,​Traeger,​ Adrian C.,​O'Keeffe,​ Mary,​Copp,​ Tessa,​Freeman,​ Alexandra,​Hoffmann,​ Tammy,​Maher,​ Chris G.</w:t>
            </w:r>
            <w:r>
              <w:rPr>
                <w:lang w:val="en-US"/>
              </w:rPr>
              <w:t xml:space="preserve">. Effect of information format on intentions and beliefs regarding diagnostic imaging for non-specific low back pain: A randomised controlled trial in members of the public. </w:t>
            </w:r>
            <w:r>
              <w:rPr>
                <w:i/>
                <w:iCs/>
              </w:rPr>
              <w:t>Patient education and counseling.</w:t>
            </w:r>
            <w:r>
              <w:t xml:space="preserve"> 2021. 104:595-602</w:t>
            </w:r>
          </w:p>
        </w:tc>
      </w:tr>
      <w:tr w:rsidR="00503C32" w14:paraId="3A4704EF" w14:textId="77777777" w:rsidTr="004379C1">
        <w:tc>
          <w:tcPr>
            <w:tcW w:w="0" w:type="auto"/>
            <w:tcMar>
              <w:top w:w="15" w:type="dxa"/>
              <w:left w:w="15" w:type="dxa"/>
              <w:bottom w:w="15" w:type="dxa"/>
              <w:right w:w="15" w:type="dxa"/>
            </w:tcMar>
            <w:hideMark/>
          </w:tcPr>
          <w:p w14:paraId="55ABC8E6" w14:textId="77777777" w:rsidR="00503C32" w:rsidRDefault="00503C32" w:rsidP="004379C1">
            <w:pPr>
              <w:spacing w:before="30" w:after="30"/>
              <w:ind w:left="60" w:right="60"/>
            </w:pPr>
            <w:r>
              <w:rPr>
                <w:b/>
                <w:bCs/>
              </w:rPr>
              <w:t>Shen,​ XingRong,​Lu,​ Manman,​Feng,​ Rui,​Cheng,​ Jing,​Chai,​ Jing,​Xie,​ Maomao,​Dong,​ Xuemeng,​Jiang,​ Tao,​Wang,​ Debin</w:t>
            </w:r>
            <w:r>
              <w:t xml:space="preserve">. </w:t>
            </w:r>
            <w:r>
              <w:rPr>
                <w:lang w:val="en-US"/>
              </w:rPr>
              <w:t xml:space="preserve">Web-Based Just-in-Time Information and Feedback on Antibiotic Use for Village Doctors in Rural Anhui,​ China: Randomized Controlled Trial. </w:t>
            </w:r>
            <w:r>
              <w:rPr>
                <w:i/>
                <w:iCs/>
              </w:rPr>
              <w:t>Journal of medical Internet research.</w:t>
            </w:r>
            <w:r>
              <w:t xml:space="preserve"> 2018. 20:e53</w:t>
            </w:r>
          </w:p>
        </w:tc>
      </w:tr>
      <w:tr w:rsidR="00503C32" w14:paraId="5F64A156" w14:textId="77777777" w:rsidTr="004379C1">
        <w:tc>
          <w:tcPr>
            <w:tcW w:w="0" w:type="auto"/>
            <w:tcMar>
              <w:top w:w="15" w:type="dxa"/>
              <w:left w:w="15" w:type="dxa"/>
              <w:bottom w:w="15" w:type="dxa"/>
              <w:right w:w="15" w:type="dxa"/>
            </w:tcMar>
            <w:hideMark/>
          </w:tcPr>
          <w:p w14:paraId="51951572" w14:textId="77777777" w:rsidR="00503C32" w:rsidRDefault="00503C32" w:rsidP="004379C1">
            <w:pPr>
              <w:spacing w:before="30" w:after="30"/>
              <w:ind w:left="60" w:right="60"/>
            </w:pPr>
            <w:r>
              <w:rPr>
                <w:b/>
                <w:bCs/>
                <w:lang w:val="en-US"/>
              </w:rPr>
              <w:t>Shojania,​ K. G.,​Yokoe,​ D.,​Platt,​ R.,​Fiskio,​ J.,​Ma'luf,​ N.,​Bates,​ D. W.</w:t>
            </w:r>
            <w:r>
              <w:rPr>
                <w:lang w:val="en-US"/>
              </w:rPr>
              <w:t xml:space="preserve">. Reducing vancomycin use utilizing a computer guideline: results of a randomized controlled trial. </w:t>
            </w:r>
            <w:r>
              <w:rPr>
                <w:i/>
                <w:iCs/>
              </w:rPr>
              <w:t>Journal of the American Medical Informatics Association : JAMIA.</w:t>
            </w:r>
            <w:r>
              <w:t xml:space="preserve"> 1998. 5:554-62</w:t>
            </w:r>
          </w:p>
        </w:tc>
      </w:tr>
      <w:tr w:rsidR="00503C32" w14:paraId="167F1BFC" w14:textId="77777777" w:rsidTr="004379C1">
        <w:tc>
          <w:tcPr>
            <w:tcW w:w="0" w:type="auto"/>
            <w:tcMar>
              <w:top w:w="15" w:type="dxa"/>
              <w:left w:w="15" w:type="dxa"/>
              <w:bottom w:w="15" w:type="dxa"/>
              <w:right w:w="15" w:type="dxa"/>
            </w:tcMar>
            <w:hideMark/>
          </w:tcPr>
          <w:p w14:paraId="328E41CD" w14:textId="77777777" w:rsidR="00503C32" w:rsidRDefault="00503C32" w:rsidP="004379C1">
            <w:pPr>
              <w:spacing w:before="30" w:after="30"/>
              <w:ind w:left="60" w:right="60"/>
            </w:pPr>
            <w:r>
              <w:rPr>
                <w:b/>
                <w:bCs/>
                <w:lang w:val="en-US"/>
              </w:rPr>
              <w:t>Silverberg,​ Noah D.,​Otamendi,​ Thalia,​Panenka,​ William J.,​Archambault,​ Patrick,​Babul,​ Shelina,​MacLellan,​ Anna,​Li,​ Linda C.,​Canadian,​ T. B. I. Research Consortium</w:t>
            </w:r>
            <w:r>
              <w:rPr>
                <w:lang w:val="en-US"/>
              </w:rPr>
              <w:t xml:space="preserve">. De-implementing Prolonged Rest Advice for Concussion in Primary Care Settings: A Pilot Stepped Wedge Cluster Randomized Trial. </w:t>
            </w:r>
            <w:r>
              <w:rPr>
                <w:i/>
                <w:iCs/>
              </w:rPr>
              <w:t>The Journal of head trauma rehabilitation.</w:t>
            </w:r>
            <w:r>
              <w:t xml:space="preserve"> 2021. 36:79-86</w:t>
            </w:r>
          </w:p>
        </w:tc>
      </w:tr>
      <w:tr w:rsidR="00503C32" w14:paraId="1F580AE6" w14:textId="77777777" w:rsidTr="004379C1">
        <w:tc>
          <w:tcPr>
            <w:tcW w:w="0" w:type="auto"/>
            <w:tcMar>
              <w:top w:w="15" w:type="dxa"/>
              <w:left w:w="15" w:type="dxa"/>
              <w:bottom w:w="15" w:type="dxa"/>
              <w:right w:w="15" w:type="dxa"/>
            </w:tcMar>
            <w:hideMark/>
          </w:tcPr>
          <w:p w14:paraId="2561431A" w14:textId="77777777" w:rsidR="00503C32" w:rsidRDefault="00503C32" w:rsidP="004379C1">
            <w:pPr>
              <w:spacing w:before="30" w:after="30"/>
              <w:ind w:left="60" w:right="60"/>
            </w:pPr>
            <w:r>
              <w:rPr>
                <w:b/>
                <w:bCs/>
                <w:lang w:val="en-US"/>
              </w:rPr>
              <w:t>Simon,​ Steven R.,​Smith,​ David H.,​Feldstein,​ Adrianne C.,​Perrin,​ Nancy,​Yang,​ Xiuhai,​Zhou,​ Yvonne,​Platt,​ Richard,​Soumerai,​ Stephen B.</w:t>
            </w:r>
            <w:r>
              <w:rPr>
                <w:lang w:val="en-US"/>
              </w:rPr>
              <w:t xml:space="preserve">. Computerized prescribing alerts and group academic detailing to reduce the use of potentially inappropriate medications in older people. </w:t>
            </w:r>
            <w:r>
              <w:rPr>
                <w:i/>
                <w:iCs/>
              </w:rPr>
              <w:t>Journal of the American Geriatrics Society.</w:t>
            </w:r>
            <w:r>
              <w:t xml:space="preserve"> 2006. 54:963-8</w:t>
            </w:r>
          </w:p>
        </w:tc>
      </w:tr>
      <w:tr w:rsidR="00503C32" w14:paraId="0E1A11D0" w14:textId="77777777" w:rsidTr="004379C1">
        <w:tc>
          <w:tcPr>
            <w:tcW w:w="0" w:type="auto"/>
            <w:tcMar>
              <w:top w:w="15" w:type="dxa"/>
              <w:left w:w="15" w:type="dxa"/>
              <w:bottom w:w="15" w:type="dxa"/>
              <w:right w:w="15" w:type="dxa"/>
            </w:tcMar>
            <w:hideMark/>
          </w:tcPr>
          <w:p w14:paraId="0FA6D3DA" w14:textId="77777777" w:rsidR="00503C32" w:rsidRDefault="00503C32" w:rsidP="004379C1">
            <w:pPr>
              <w:spacing w:before="30" w:after="30"/>
              <w:ind w:left="60" w:right="60"/>
            </w:pPr>
            <w:r>
              <w:rPr>
                <w:b/>
                <w:bCs/>
                <w:lang w:val="en-US"/>
              </w:rPr>
              <w:t>Smith,​ Timothy D. H.,​Watt,​ Hilary,​Gunn,​ Laura,​Car,​ Josip,​Boyle,​ Robert J.</w:t>
            </w:r>
            <w:r>
              <w:rPr>
                <w:lang w:val="en-US"/>
              </w:rPr>
              <w:t xml:space="preserve">. Recommending Oral Probiotics to Reduce Winter Antibiotic Prescriptions in People With Asthma: A Pragmatic Randomized Controlled Trial. </w:t>
            </w:r>
            <w:r>
              <w:rPr>
                <w:i/>
                <w:iCs/>
              </w:rPr>
              <w:t>Annals of family medicine.</w:t>
            </w:r>
            <w:r>
              <w:t xml:space="preserve"> 2016. 14:422-30</w:t>
            </w:r>
          </w:p>
        </w:tc>
      </w:tr>
      <w:tr w:rsidR="00503C32" w14:paraId="7E55FF34" w14:textId="77777777" w:rsidTr="004379C1">
        <w:tc>
          <w:tcPr>
            <w:tcW w:w="0" w:type="auto"/>
            <w:tcMar>
              <w:top w:w="15" w:type="dxa"/>
              <w:left w:w="15" w:type="dxa"/>
              <w:bottom w:w="15" w:type="dxa"/>
              <w:right w:w="15" w:type="dxa"/>
            </w:tcMar>
            <w:hideMark/>
          </w:tcPr>
          <w:p w14:paraId="192A1435" w14:textId="77777777" w:rsidR="00503C32" w:rsidRDefault="00503C32" w:rsidP="004379C1">
            <w:pPr>
              <w:spacing w:before="30" w:after="30"/>
              <w:ind w:left="60" w:right="60"/>
            </w:pPr>
            <w:r>
              <w:rPr>
                <w:b/>
                <w:bCs/>
                <w:lang w:val="en-US"/>
              </w:rPr>
              <w:t>Solomon,​ D. H.,​Van Houten,​ L.,​Glynn,​ R. J.,​Baden,​ L.,​Curtis,​ K.,​Schrager,​ H.,​Avorn,​ J.</w:t>
            </w:r>
            <w:r>
              <w:rPr>
                <w:lang w:val="en-US"/>
              </w:rPr>
              <w:t xml:space="preserve">. Academic detailing to improve use of broad-spectrum antibiotics at an academic medical center. </w:t>
            </w:r>
            <w:r>
              <w:rPr>
                <w:i/>
                <w:iCs/>
              </w:rPr>
              <w:t>Archives of internal medicine.</w:t>
            </w:r>
            <w:r>
              <w:t xml:space="preserve"> 2001. 161:1897-902</w:t>
            </w:r>
          </w:p>
        </w:tc>
      </w:tr>
      <w:tr w:rsidR="00503C32" w14:paraId="79236E0B" w14:textId="77777777" w:rsidTr="004379C1">
        <w:tc>
          <w:tcPr>
            <w:tcW w:w="0" w:type="auto"/>
            <w:tcMar>
              <w:top w:w="15" w:type="dxa"/>
              <w:left w:w="15" w:type="dxa"/>
              <w:bottom w:w="15" w:type="dxa"/>
              <w:right w:w="15" w:type="dxa"/>
            </w:tcMar>
            <w:hideMark/>
          </w:tcPr>
          <w:p w14:paraId="442C78CF" w14:textId="77777777" w:rsidR="00503C32" w:rsidRDefault="00503C32" w:rsidP="004379C1">
            <w:pPr>
              <w:spacing w:before="30" w:after="30"/>
              <w:ind w:left="60" w:right="60"/>
            </w:pPr>
            <w:r>
              <w:rPr>
                <w:b/>
                <w:bCs/>
                <w:lang w:val="en-US"/>
              </w:rPr>
              <w:t>Sondergaard,​ Jens,​Andersen,​ Morten,​Stovring,​ Henrik,​Kragstrup,​ Jakob</w:t>
            </w:r>
            <w:r>
              <w:rPr>
                <w:lang w:val="en-US"/>
              </w:rPr>
              <w:t xml:space="preserve">. Mailed prescriber feedback in addition to a clinical guideline has no impact: a randomised,​ controlled trial. </w:t>
            </w:r>
            <w:r>
              <w:rPr>
                <w:i/>
                <w:iCs/>
              </w:rPr>
              <w:lastRenderedPageBreak/>
              <w:t>Scandinavian journal of primary health care.</w:t>
            </w:r>
            <w:r>
              <w:t xml:space="preserve"> 2003. 21:47-51</w:t>
            </w:r>
          </w:p>
        </w:tc>
      </w:tr>
      <w:tr w:rsidR="00503C32" w14:paraId="7303C2FE" w14:textId="77777777" w:rsidTr="004379C1">
        <w:tc>
          <w:tcPr>
            <w:tcW w:w="0" w:type="auto"/>
            <w:tcMar>
              <w:top w:w="15" w:type="dxa"/>
              <w:left w:w="15" w:type="dxa"/>
              <w:bottom w:w="15" w:type="dxa"/>
              <w:right w:w="15" w:type="dxa"/>
            </w:tcMar>
            <w:hideMark/>
          </w:tcPr>
          <w:p w14:paraId="5F419BD2" w14:textId="77777777" w:rsidR="00503C32" w:rsidRDefault="00503C32" w:rsidP="004379C1">
            <w:pPr>
              <w:spacing w:before="30" w:after="30"/>
              <w:ind w:left="60" w:right="60"/>
            </w:pPr>
            <w:r>
              <w:rPr>
                <w:b/>
                <w:bCs/>
                <w:lang w:val="en-US"/>
              </w:rPr>
              <w:lastRenderedPageBreak/>
              <w:t>Soumerai,​ S. B.,​Avorn,​ J.</w:t>
            </w:r>
            <w:r>
              <w:rPr>
                <w:lang w:val="en-US"/>
              </w:rPr>
              <w:t xml:space="preserve">. Predictors of physician prescribing change in an educational experiment to improve medication use. </w:t>
            </w:r>
            <w:r>
              <w:rPr>
                <w:i/>
                <w:iCs/>
              </w:rPr>
              <w:t>Medical care.</w:t>
            </w:r>
            <w:r>
              <w:t xml:space="preserve"> 1987. 25:210-21</w:t>
            </w:r>
          </w:p>
        </w:tc>
      </w:tr>
      <w:tr w:rsidR="00503C32" w14:paraId="62956383" w14:textId="77777777" w:rsidTr="004379C1">
        <w:tc>
          <w:tcPr>
            <w:tcW w:w="0" w:type="auto"/>
            <w:tcMar>
              <w:top w:w="15" w:type="dxa"/>
              <w:left w:w="15" w:type="dxa"/>
              <w:bottom w:w="15" w:type="dxa"/>
              <w:right w:w="15" w:type="dxa"/>
            </w:tcMar>
            <w:hideMark/>
          </w:tcPr>
          <w:p w14:paraId="725C8634" w14:textId="77777777" w:rsidR="00503C32" w:rsidRDefault="00503C32" w:rsidP="004379C1">
            <w:pPr>
              <w:spacing w:before="30" w:after="30"/>
              <w:ind w:left="60" w:right="60"/>
            </w:pPr>
            <w:r>
              <w:rPr>
                <w:b/>
                <w:bCs/>
                <w:lang w:val="en-US"/>
              </w:rPr>
              <w:t>Soumerai,​ S. B.,​Salem-Schatz,​ S.,​Avorn,​ J.,​Casteris,​ C. S.,​Ross-Degnan,​ D.,​Popovsky,​ M. A.</w:t>
            </w:r>
            <w:r>
              <w:rPr>
                <w:lang w:val="en-US"/>
              </w:rPr>
              <w:t xml:space="preserve">. A controlled trial of educational outreach to improve blood transfusion practice. </w:t>
            </w:r>
            <w:r>
              <w:rPr>
                <w:i/>
                <w:iCs/>
              </w:rPr>
              <w:t>JAMA.</w:t>
            </w:r>
            <w:r>
              <w:t xml:space="preserve"> 1993. 270:961-6</w:t>
            </w:r>
          </w:p>
        </w:tc>
      </w:tr>
      <w:tr w:rsidR="00503C32" w14:paraId="594B1813" w14:textId="77777777" w:rsidTr="004379C1">
        <w:tc>
          <w:tcPr>
            <w:tcW w:w="0" w:type="auto"/>
            <w:tcMar>
              <w:top w:w="15" w:type="dxa"/>
              <w:left w:w="15" w:type="dxa"/>
              <w:bottom w:w="15" w:type="dxa"/>
              <w:right w:w="15" w:type="dxa"/>
            </w:tcMar>
            <w:hideMark/>
          </w:tcPr>
          <w:p w14:paraId="181784B7" w14:textId="77777777" w:rsidR="00503C32" w:rsidRDefault="00503C32" w:rsidP="004379C1">
            <w:pPr>
              <w:spacing w:before="30" w:after="30"/>
              <w:ind w:left="60" w:right="60"/>
            </w:pPr>
            <w:r>
              <w:rPr>
                <w:b/>
                <w:bCs/>
                <w:lang w:val="en-US"/>
              </w:rPr>
              <w:t>Stamm,​ Andrew W.,​Banerji,​ John S.,​Wolff,​ Erika M.,​Slee,​ April,​Akapame,​ Sydney,​Dahl,​ Kathryn,​Massman I I I,​ John D.,​Soung,​ Michael C.,​Pittenger,​ Kim R.,​Corman,​ John M.</w:t>
            </w:r>
            <w:r>
              <w:rPr>
                <w:lang w:val="en-US"/>
              </w:rPr>
              <w:t xml:space="preserve">. A decision aid versus shared decision making for prostate cancer screening: results of a randomized,​ controlled trial. </w:t>
            </w:r>
            <w:r>
              <w:rPr>
                <w:i/>
                <w:iCs/>
              </w:rPr>
              <w:t>The Canadian journal of urology.</w:t>
            </w:r>
            <w:r>
              <w:t xml:space="preserve"> 2017. 24:8910-8917</w:t>
            </w:r>
          </w:p>
        </w:tc>
      </w:tr>
      <w:tr w:rsidR="00503C32" w14:paraId="3D6ED939" w14:textId="77777777" w:rsidTr="004379C1">
        <w:tc>
          <w:tcPr>
            <w:tcW w:w="0" w:type="auto"/>
            <w:tcMar>
              <w:top w:w="15" w:type="dxa"/>
              <w:left w:w="15" w:type="dxa"/>
              <w:bottom w:w="15" w:type="dxa"/>
              <w:right w:w="15" w:type="dxa"/>
            </w:tcMar>
            <w:hideMark/>
          </w:tcPr>
          <w:p w14:paraId="30E78890" w14:textId="77777777" w:rsidR="00503C32" w:rsidRDefault="00503C32" w:rsidP="004379C1">
            <w:pPr>
              <w:spacing w:before="30" w:after="30"/>
              <w:ind w:left="60" w:right="60"/>
            </w:pPr>
            <w:r>
              <w:rPr>
                <w:b/>
                <w:bCs/>
                <w:lang w:val="en-US"/>
              </w:rPr>
              <w:t>Stein,​ C. M.,​Griffin,​ M. R.,​Taylor,​ J. A.,​Pichert,​ J. W.,​Brandt,​ K. D.,​Ray,​ W. A.</w:t>
            </w:r>
            <w:r>
              <w:rPr>
                <w:lang w:val="en-US"/>
              </w:rPr>
              <w:t xml:space="preserve">. Educational program for nursing home physicians and staff to reduce use of non-steroidal anti-inflammatory drugs among nursing home residents: a randomized controlled trial. </w:t>
            </w:r>
            <w:r>
              <w:rPr>
                <w:i/>
                <w:iCs/>
              </w:rPr>
              <w:t>Medical care.</w:t>
            </w:r>
            <w:r>
              <w:t xml:space="preserve"> 2001. 39:436-45</w:t>
            </w:r>
          </w:p>
        </w:tc>
      </w:tr>
      <w:tr w:rsidR="00503C32" w14:paraId="19557204" w14:textId="77777777" w:rsidTr="004379C1">
        <w:tc>
          <w:tcPr>
            <w:tcW w:w="0" w:type="auto"/>
            <w:tcMar>
              <w:top w:w="15" w:type="dxa"/>
              <w:left w:w="15" w:type="dxa"/>
              <w:bottom w:w="15" w:type="dxa"/>
              <w:right w:w="15" w:type="dxa"/>
            </w:tcMar>
            <w:hideMark/>
          </w:tcPr>
          <w:p w14:paraId="60904289" w14:textId="77777777" w:rsidR="00503C32" w:rsidRDefault="00503C32" w:rsidP="004379C1">
            <w:pPr>
              <w:spacing w:before="30" w:after="30"/>
              <w:ind w:left="60" w:right="60"/>
            </w:pPr>
            <w:r>
              <w:rPr>
                <w:b/>
                <w:bCs/>
                <w:lang w:val="en-US"/>
              </w:rPr>
              <w:t>Stiell,​ Ian G,​Clement,​ Catherine M,​Grimshaw,​ Jeremy,​Brison,​ Robert J,​Rowe,​ Brian H,​Schull,​ Michael J,​Lee,​ Jacques S,​Brehaut,​ Jamie,​McKnight,​ R Douglas,​Eisenhauer,​ Mary A,​Dreyer,​ Jonathan,​Letovsky,​ Eric,​Rutledge,​ Tim,​MacPhail,​ Iain,​Ross,​ Scott,​Shah,​ Amit,​Perry,​ Jeffrey J,​Holroyd,​ Brian R,​Ip,​ Urbain,​Lesiuk,​ Howard,​Wells,​ George A</w:t>
            </w:r>
            <w:r>
              <w:rPr>
                <w:lang w:val="en-US"/>
              </w:rPr>
              <w:t xml:space="preserve">. Implementation of the Canadian C-Spine Rule: prospective 12 centre cluster randomised trial. </w:t>
            </w:r>
            <w:r>
              <w:rPr>
                <w:i/>
                <w:iCs/>
              </w:rPr>
              <w:t>BMJ.</w:t>
            </w:r>
            <w:r>
              <w:t xml:space="preserve"> 2009. 339:b4146</w:t>
            </w:r>
          </w:p>
        </w:tc>
      </w:tr>
      <w:tr w:rsidR="00503C32" w14:paraId="701D53AA" w14:textId="77777777" w:rsidTr="004379C1">
        <w:tc>
          <w:tcPr>
            <w:tcW w:w="0" w:type="auto"/>
            <w:tcMar>
              <w:top w:w="15" w:type="dxa"/>
              <w:left w:w="15" w:type="dxa"/>
              <w:bottom w:w="15" w:type="dxa"/>
              <w:right w:w="15" w:type="dxa"/>
            </w:tcMar>
            <w:hideMark/>
          </w:tcPr>
          <w:p w14:paraId="7E03BAAC" w14:textId="77777777" w:rsidR="00503C32" w:rsidRDefault="00503C32" w:rsidP="004379C1">
            <w:pPr>
              <w:spacing w:before="30" w:after="30"/>
              <w:ind w:left="60" w:right="60"/>
            </w:pPr>
            <w:r>
              <w:rPr>
                <w:b/>
                <w:bCs/>
                <w:lang w:val="en-US"/>
              </w:rPr>
              <w:t>Suffoletto,​ Brian,​Landau,​ Aaron</w:t>
            </w:r>
            <w:r>
              <w:rPr>
                <w:lang w:val="en-US"/>
              </w:rPr>
              <w:t xml:space="preserve">. Nudging Emergency Care Providers to Reduce Opioid Prescribing Using Peer Norm Comparison Feedback: A Pilot Randomized Trial. </w:t>
            </w:r>
            <w:r>
              <w:rPr>
                <w:i/>
                <w:iCs/>
              </w:rPr>
              <w:t>Pain medicine (Malden,​ Mass.).</w:t>
            </w:r>
            <w:r>
              <w:t xml:space="preserve"> 2019. #volume#:#pages#</w:t>
            </w:r>
          </w:p>
        </w:tc>
      </w:tr>
      <w:tr w:rsidR="00503C32" w14:paraId="463B6876" w14:textId="77777777" w:rsidTr="004379C1">
        <w:tc>
          <w:tcPr>
            <w:tcW w:w="0" w:type="auto"/>
            <w:tcMar>
              <w:top w:w="15" w:type="dxa"/>
              <w:left w:w="15" w:type="dxa"/>
              <w:bottom w:w="15" w:type="dxa"/>
              <w:right w:w="15" w:type="dxa"/>
            </w:tcMar>
            <w:hideMark/>
          </w:tcPr>
          <w:p w14:paraId="301F9247" w14:textId="77777777" w:rsidR="00503C32" w:rsidRDefault="00503C32" w:rsidP="004379C1">
            <w:pPr>
              <w:spacing w:before="30" w:after="30"/>
              <w:ind w:left="60" w:right="60"/>
            </w:pPr>
            <w:r>
              <w:rPr>
                <w:b/>
                <w:bCs/>
                <w:lang w:val="en-US"/>
              </w:rPr>
              <w:t>Tan,​ Winson Jianhong,​Acharyya,​ Sanchalika,​Chew,​ Min Hoe,​Foo,​ Fung Joon,​Chan,​ Weng Hoong,​Wong,​ Wai Keong,​Ooi,​ London Lucien,​Ng,​ Jeremy Chung Fai,​Ong,​ Hock Soo</w:t>
            </w:r>
            <w:r>
              <w:rPr>
                <w:lang w:val="en-US"/>
              </w:rPr>
              <w:t xml:space="preserve">. Randomized control trial comparing an Alvarado Score-based management algorithm and current best practice in the evaluation of suspected appendicitis. </w:t>
            </w:r>
            <w:r>
              <w:rPr>
                <w:i/>
                <w:iCs/>
              </w:rPr>
              <w:t>World journal of emergency surgery : WJES.</w:t>
            </w:r>
            <w:r>
              <w:t xml:space="preserve"> 2020. 15:30</w:t>
            </w:r>
          </w:p>
        </w:tc>
      </w:tr>
      <w:tr w:rsidR="00503C32" w14:paraId="1726928E" w14:textId="77777777" w:rsidTr="004379C1">
        <w:tc>
          <w:tcPr>
            <w:tcW w:w="0" w:type="auto"/>
            <w:tcMar>
              <w:top w:w="15" w:type="dxa"/>
              <w:left w:w="15" w:type="dxa"/>
              <w:bottom w:w="15" w:type="dxa"/>
              <w:right w:w="15" w:type="dxa"/>
            </w:tcMar>
            <w:hideMark/>
          </w:tcPr>
          <w:p w14:paraId="70235952" w14:textId="77777777" w:rsidR="00503C32" w:rsidRDefault="00503C32" w:rsidP="004379C1">
            <w:pPr>
              <w:spacing w:before="30" w:after="30"/>
              <w:ind w:left="60" w:right="60"/>
            </w:pPr>
            <w:r>
              <w:rPr>
                <w:b/>
                <w:bCs/>
                <w:lang w:val="en-US"/>
              </w:rPr>
              <w:t>Tang,​ Yuqing,​Liu,​ Chaojie,​Zhang,​ Xinping</w:t>
            </w:r>
            <w:r>
              <w:rPr>
                <w:lang w:val="en-US"/>
              </w:rPr>
              <w:t xml:space="preserve">. Public reporting as a prescriptions quality improvement measure in primary care settings in China: variations in effects associated with diagnoses. </w:t>
            </w:r>
            <w:r>
              <w:rPr>
                <w:i/>
                <w:iCs/>
              </w:rPr>
              <w:t>Scientific reports.</w:t>
            </w:r>
            <w:r>
              <w:t xml:space="preserve"> 2016. 6:39361</w:t>
            </w:r>
          </w:p>
        </w:tc>
      </w:tr>
      <w:tr w:rsidR="00503C32" w14:paraId="1A651E54" w14:textId="77777777" w:rsidTr="004379C1">
        <w:tc>
          <w:tcPr>
            <w:tcW w:w="0" w:type="auto"/>
            <w:tcMar>
              <w:top w:w="15" w:type="dxa"/>
              <w:left w:w="15" w:type="dxa"/>
              <w:bottom w:w="15" w:type="dxa"/>
              <w:right w:w="15" w:type="dxa"/>
            </w:tcMar>
            <w:hideMark/>
          </w:tcPr>
          <w:p w14:paraId="3DD11D7D" w14:textId="77777777" w:rsidR="00503C32" w:rsidRDefault="00503C32" w:rsidP="004379C1">
            <w:pPr>
              <w:spacing w:before="30" w:after="30"/>
              <w:ind w:left="60" w:right="60"/>
            </w:pPr>
            <w:r>
              <w:rPr>
                <w:b/>
                <w:bCs/>
                <w:lang w:val="en-US"/>
              </w:rPr>
              <w:t>Tang,​ Yuqing,​Liu,​ Chenxi,​Zhang,​ Xinping</w:t>
            </w:r>
            <w:r>
              <w:rPr>
                <w:lang w:val="en-US"/>
              </w:rPr>
              <w:t xml:space="preserve">. Performance associated effect variations of public reporting in promoting antibiotic prescribing practice: a cluster randomized-controlled trial in primary healthcare settings. </w:t>
            </w:r>
            <w:r>
              <w:rPr>
                <w:i/>
                <w:iCs/>
              </w:rPr>
              <w:t>Primary health care research &amp; development.</w:t>
            </w:r>
            <w:r>
              <w:t xml:space="preserve"> 2017. 18:482-491</w:t>
            </w:r>
          </w:p>
        </w:tc>
      </w:tr>
      <w:tr w:rsidR="00503C32" w14:paraId="7694F703" w14:textId="77777777" w:rsidTr="004379C1">
        <w:tc>
          <w:tcPr>
            <w:tcW w:w="0" w:type="auto"/>
            <w:tcMar>
              <w:top w:w="15" w:type="dxa"/>
              <w:left w:w="15" w:type="dxa"/>
              <w:bottom w:w="15" w:type="dxa"/>
              <w:right w:w="15" w:type="dxa"/>
            </w:tcMar>
            <w:hideMark/>
          </w:tcPr>
          <w:p w14:paraId="34492ECB" w14:textId="77777777" w:rsidR="00503C32" w:rsidRDefault="00503C32" w:rsidP="004379C1">
            <w:pPr>
              <w:spacing w:before="30" w:after="30"/>
              <w:ind w:left="60" w:right="60"/>
            </w:pPr>
            <w:r>
              <w:rPr>
                <w:b/>
                <w:bCs/>
                <w:lang w:val="en-US"/>
              </w:rPr>
              <w:t>Taylor,​ J. A.,​Kwan-Gett,​ T. S.,​McMahon,​ E. M.,​ Jr.</w:t>
            </w:r>
            <w:r>
              <w:rPr>
                <w:lang w:val="en-US"/>
              </w:rPr>
              <w:t xml:space="preserve">. Effectiveness of a parental educational intervention in reducing antibiotic use in children: a randomized controlled trial. </w:t>
            </w:r>
            <w:r>
              <w:rPr>
                <w:i/>
                <w:iCs/>
              </w:rPr>
              <w:t>Pediatr Infect Dis J.</w:t>
            </w:r>
            <w:r>
              <w:t xml:space="preserve"> 2005. 24:489-93</w:t>
            </w:r>
          </w:p>
        </w:tc>
      </w:tr>
      <w:tr w:rsidR="00503C32" w14:paraId="4AAE9864" w14:textId="77777777" w:rsidTr="004379C1">
        <w:tc>
          <w:tcPr>
            <w:tcW w:w="0" w:type="auto"/>
            <w:tcMar>
              <w:top w:w="15" w:type="dxa"/>
              <w:left w:w="15" w:type="dxa"/>
              <w:bottom w:w="15" w:type="dxa"/>
              <w:right w:w="15" w:type="dxa"/>
            </w:tcMar>
            <w:hideMark/>
          </w:tcPr>
          <w:p w14:paraId="4BD5230D" w14:textId="77777777" w:rsidR="00503C32" w:rsidRDefault="00503C32" w:rsidP="004379C1">
            <w:pPr>
              <w:spacing w:before="30" w:after="30"/>
              <w:ind w:left="60" w:right="60"/>
            </w:pPr>
            <w:r>
              <w:rPr>
                <w:b/>
                <w:bCs/>
                <w:lang w:val="en-US"/>
              </w:rPr>
              <w:t>Teixeira Rodrigues,​ Antonio,​Roque,​ Fatima,​Pineiro-Lamas,​ Maria,​Falcao,​ Amilcar,​Figueiras,​ Adolfo,​Herdeiro,​ Maria Teresa</w:t>
            </w:r>
            <w:r>
              <w:rPr>
                <w:lang w:val="en-US"/>
              </w:rPr>
              <w:t xml:space="preserve">. Effectiveness of an intervention to improve antibiotic-prescribing behaviour in primary care: a controlled,​ interrupted time-series study. </w:t>
            </w:r>
            <w:r>
              <w:rPr>
                <w:i/>
                <w:iCs/>
              </w:rPr>
              <w:t>The Journal of antimicrobial chemotherapy.</w:t>
            </w:r>
            <w:r>
              <w:t xml:space="preserve"> 2019. 74:2788-2796</w:t>
            </w:r>
          </w:p>
        </w:tc>
      </w:tr>
      <w:tr w:rsidR="00503C32" w14:paraId="08E2268B" w14:textId="77777777" w:rsidTr="004379C1">
        <w:tc>
          <w:tcPr>
            <w:tcW w:w="0" w:type="auto"/>
            <w:tcMar>
              <w:top w:w="15" w:type="dxa"/>
              <w:left w:w="15" w:type="dxa"/>
              <w:bottom w:w="15" w:type="dxa"/>
              <w:right w:w="15" w:type="dxa"/>
            </w:tcMar>
            <w:hideMark/>
          </w:tcPr>
          <w:p w14:paraId="27191909" w14:textId="77777777" w:rsidR="00503C32" w:rsidRDefault="00503C32" w:rsidP="004379C1">
            <w:pPr>
              <w:spacing w:before="30" w:after="30"/>
              <w:ind w:left="60" w:right="60"/>
            </w:pPr>
            <w:r>
              <w:rPr>
                <w:b/>
                <w:bCs/>
                <w:lang w:val="en-US"/>
              </w:rPr>
              <w:t>Terrell,​ Kevin M.,​Perkins,​ Anthony J.,​Dexter,​ Paul R.,​Hui,​ Siu L.,​Callahan,​ Christopher M.,​Miller,​ Douglas K.</w:t>
            </w:r>
            <w:r>
              <w:rPr>
                <w:lang w:val="en-US"/>
              </w:rPr>
              <w:t xml:space="preserve">. Computerized decision support to reduce potentially inappropriate prescribing to older emergency department patients: a randomized,​ controlled trial. </w:t>
            </w:r>
            <w:r>
              <w:rPr>
                <w:i/>
                <w:iCs/>
              </w:rPr>
              <w:t>Journal of the American Geriatrics Society.</w:t>
            </w:r>
            <w:r>
              <w:t xml:space="preserve"> 2009. 57:1388-94</w:t>
            </w:r>
          </w:p>
        </w:tc>
      </w:tr>
      <w:tr w:rsidR="00F552CD" w14:paraId="162C648F" w14:textId="77777777" w:rsidTr="004379C1">
        <w:tc>
          <w:tcPr>
            <w:tcW w:w="0" w:type="auto"/>
            <w:tcMar>
              <w:top w:w="15" w:type="dxa"/>
              <w:left w:w="15" w:type="dxa"/>
              <w:bottom w:w="15" w:type="dxa"/>
              <w:right w:w="15" w:type="dxa"/>
            </w:tcMar>
          </w:tcPr>
          <w:p w14:paraId="76BB9ABE" w14:textId="4AD9E871" w:rsidR="00F552CD" w:rsidRPr="00F552CD" w:rsidRDefault="00F552CD" w:rsidP="00F552CD">
            <w:pPr>
              <w:spacing w:before="30" w:after="30"/>
              <w:ind w:left="60" w:right="60"/>
              <w:rPr>
                <w:b/>
                <w:bCs/>
              </w:rPr>
            </w:pPr>
            <w:r w:rsidRPr="00F552CD">
              <w:rPr>
                <w:b/>
                <w:bCs/>
                <w:lang w:val="en-US"/>
              </w:rPr>
              <w:t xml:space="preserve">Testad I, Ballard C, Brønnick K, Aarsland D. </w:t>
            </w:r>
            <w:r w:rsidRPr="00F552CD">
              <w:rPr>
                <w:bCs/>
                <w:lang w:val="en-US"/>
              </w:rPr>
              <w:t xml:space="preserve">The effect of staff training on agitation and use of </w:t>
            </w:r>
            <w:r w:rsidRPr="00F552CD">
              <w:rPr>
                <w:bCs/>
                <w:lang w:val="en-US"/>
              </w:rPr>
              <w:lastRenderedPageBreak/>
              <w:t>restraint in nursing home residents with dementia: a single-blind, randomized controlled trial. </w:t>
            </w:r>
            <w:r w:rsidRPr="00F552CD">
              <w:rPr>
                <w:bCs/>
                <w:i/>
                <w:iCs/>
              </w:rPr>
              <w:t>J Clin Psychiatry</w:t>
            </w:r>
            <w:r w:rsidRPr="00F552CD">
              <w:rPr>
                <w:bCs/>
              </w:rPr>
              <w:t>. 2010;71(1):80-86. doi:10.4088/JCP.09m05486oli</w:t>
            </w:r>
          </w:p>
        </w:tc>
      </w:tr>
      <w:tr w:rsidR="00503C32" w:rsidRPr="00F552CD" w14:paraId="3C6687D7" w14:textId="77777777" w:rsidTr="004379C1">
        <w:tc>
          <w:tcPr>
            <w:tcW w:w="0" w:type="auto"/>
            <w:tcMar>
              <w:top w:w="15" w:type="dxa"/>
              <w:left w:w="15" w:type="dxa"/>
              <w:bottom w:w="15" w:type="dxa"/>
              <w:right w:w="15" w:type="dxa"/>
            </w:tcMar>
            <w:hideMark/>
          </w:tcPr>
          <w:p w14:paraId="66ED65C8" w14:textId="77777777" w:rsidR="00503C32" w:rsidRPr="00F552CD" w:rsidRDefault="00503C32" w:rsidP="004379C1">
            <w:pPr>
              <w:spacing w:before="30" w:after="30"/>
              <w:ind w:left="60" w:right="60"/>
              <w:rPr>
                <w:lang w:val="en-US"/>
              </w:rPr>
            </w:pPr>
            <w:r>
              <w:rPr>
                <w:b/>
                <w:bCs/>
                <w:lang w:val="en-US"/>
              </w:rPr>
              <w:lastRenderedPageBreak/>
              <w:t>Testad,​ I.,​Mekki,​ T. E.,​Førland,​ O.,​Øye,​ C.,​Tveit,​ E. M.,​Jacobsen,​ F.,​Kirkevold,​ Ø</w:t>
            </w:r>
            <w:r>
              <w:rPr>
                <w:lang w:val="en-US"/>
              </w:rPr>
              <w:t xml:space="preserve">. Modeling and evaluating evidence-based continuing education program in nursing home dementia care (MEDCED)--training of care home staff to reduce use of restraint in care home residents with dementia. </w:t>
            </w:r>
            <w:r w:rsidRPr="00F552CD">
              <w:rPr>
                <w:lang w:val="en-US"/>
              </w:rPr>
              <w:t xml:space="preserve">A cluster randomized controlled trial. </w:t>
            </w:r>
            <w:r w:rsidRPr="00F552CD">
              <w:rPr>
                <w:i/>
                <w:iCs/>
                <w:lang w:val="en-US"/>
              </w:rPr>
              <w:t>Int J Geriatr Psychiatry.</w:t>
            </w:r>
            <w:r w:rsidRPr="00F552CD">
              <w:rPr>
                <w:lang w:val="en-US"/>
              </w:rPr>
              <w:t xml:space="preserve"> 2016. 31:24-32</w:t>
            </w:r>
          </w:p>
        </w:tc>
      </w:tr>
      <w:tr w:rsidR="00503C32" w14:paraId="041B8C40" w14:textId="77777777" w:rsidTr="004379C1">
        <w:tc>
          <w:tcPr>
            <w:tcW w:w="0" w:type="auto"/>
            <w:tcMar>
              <w:top w:w="15" w:type="dxa"/>
              <w:left w:w="15" w:type="dxa"/>
              <w:bottom w:w="15" w:type="dxa"/>
              <w:right w:w="15" w:type="dxa"/>
            </w:tcMar>
            <w:hideMark/>
          </w:tcPr>
          <w:p w14:paraId="4476294F" w14:textId="77777777" w:rsidR="00503C32" w:rsidRDefault="00503C32" w:rsidP="004379C1">
            <w:pPr>
              <w:spacing w:before="30" w:after="30"/>
              <w:ind w:left="60" w:right="60"/>
            </w:pPr>
            <w:r>
              <w:rPr>
                <w:b/>
                <w:bCs/>
                <w:lang w:val="en-US"/>
              </w:rPr>
              <w:t>Thomas,​ Ruth E.,​Croal,​ Bernard Lewis,​Ramsay,​ Craig,​Eccles,​ Martin,​Grimshaw,​ Jeremy</w:t>
            </w:r>
            <w:r>
              <w:rPr>
                <w:lang w:val="en-US"/>
              </w:rPr>
              <w:t xml:space="preserve">. Effect of enhanced feedback and brief educational reminder messages on laboratory test requesting in primary care: a cluster randomised trial. </w:t>
            </w:r>
            <w:r>
              <w:rPr>
                <w:i/>
                <w:iCs/>
              </w:rPr>
              <w:t>Lancet (London,​ England).</w:t>
            </w:r>
            <w:r>
              <w:t xml:space="preserve"> 2006. 367:1990-6</w:t>
            </w:r>
          </w:p>
        </w:tc>
      </w:tr>
      <w:tr w:rsidR="00503C32" w14:paraId="46BE8DC8" w14:textId="77777777" w:rsidTr="004379C1">
        <w:tc>
          <w:tcPr>
            <w:tcW w:w="0" w:type="auto"/>
            <w:tcMar>
              <w:top w:w="15" w:type="dxa"/>
              <w:left w:w="15" w:type="dxa"/>
              <w:bottom w:w="15" w:type="dxa"/>
              <w:right w:w="15" w:type="dxa"/>
            </w:tcMar>
            <w:hideMark/>
          </w:tcPr>
          <w:p w14:paraId="2FE030D8" w14:textId="77777777" w:rsidR="00503C32" w:rsidRDefault="00503C32" w:rsidP="004379C1">
            <w:pPr>
              <w:spacing w:before="30" w:after="30"/>
              <w:ind w:left="60" w:right="60"/>
            </w:pPr>
            <w:r>
              <w:rPr>
                <w:b/>
                <w:bCs/>
                <w:lang w:val="en-US"/>
              </w:rPr>
              <w:t>Tierney,​ W. M.,​Miller,​ M. E.,​McDonald,​ C. J.</w:t>
            </w:r>
            <w:r>
              <w:rPr>
                <w:lang w:val="en-US"/>
              </w:rPr>
              <w:t xml:space="preserve">. The effect on test ordering of informing physicians of the charges for outpatient diagnostic tests. </w:t>
            </w:r>
            <w:r>
              <w:rPr>
                <w:i/>
                <w:iCs/>
              </w:rPr>
              <w:t>N Engl J Med.</w:t>
            </w:r>
            <w:r>
              <w:t xml:space="preserve"> 1990. 322:1499-504</w:t>
            </w:r>
          </w:p>
        </w:tc>
      </w:tr>
      <w:tr w:rsidR="00503C32" w14:paraId="445B989B" w14:textId="77777777" w:rsidTr="004379C1">
        <w:tc>
          <w:tcPr>
            <w:tcW w:w="0" w:type="auto"/>
            <w:tcMar>
              <w:top w:w="15" w:type="dxa"/>
              <w:left w:w="15" w:type="dxa"/>
              <w:bottom w:w="15" w:type="dxa"/>
              <w:right w:w="15" w:type="dxa"/>
            </w:tcMar>
            <w:hideMark/>
          </w:tcPr>
          <w:p w14:paraId="17521E28" w14:textId="77777777" w:rsidR="00503C32" w:rsidRDefault="00503C32" w:rsidP="004379C1">
            <w:pPr>
              <w:spacing w:before="30" w:after="30"/>
              <w:ind w:left="60" w:right="60"/>
            </w:pPr>
            <w:r>
              <w:rPr>
                <w:b/>
                <w:bCs/>
                <w:lang w:val="en-US"/>
              </w:rPr>
              <w:t>Tierney,​ William M.,​McDonald,​ Clement J.,​Hui,​ Siu L.,​Martin,​ Douglas K.</w:t>
            </w:r>
            <w:r>
              <w:rPr>
                <w:lang w:val="en-US"/>
              </w:rPr>
              <w:t xml:space="preserve">. Computer Predictions of Abnormal Test Results: Effects on Outpatient Testing. </w:t>
            </w:r>
            <w:r>
              <w:rPr>
                <w:i/>
                <w:iCs/>
              </w:rPr>
              <w:t>JAMA.</w:t>
            </w:r>
            <w:r>
              <w:t xml:space="preserve"> 1988. 259:1194-1198</w:t>
            </w:r>
          </w:p>
        </w:tc>
      </w:tr>
      <w:tr w:rsidR="00503C32" w14:paraId="06A9AF93" w14:textId="77777777" w:rsidTr="004379C1">
        <w:tc>
          <w:tcPr>
            <w:tcW w:w="0" w:type="auto"/>
            <w:tcMar>
              <w:top w:w="15" w:type="dxa"/>
              <w:left w:w="15" w:type="dxa"/>
              <w:bottom w:w="15" w:type="dxa"/>
              <w:right w:w="15" w:type="dxa"/>
            </w:tcMar>
            <w:hideMark/>
          </w:tcPr>
          <w:p w14:paraId="08FA555E" w14:textId="77777777" w:rsidR="00503C32" w:rsidRDefault="00503C32" w:rsidP="004379C1">
            <w:pPr>
              <w:spacing w:before="30" w:after="30"/>
              <w:ind w:left="60" w:right="60"/>
            </w:pPr>
            <w:r>
              <w:rPr>
                <w:b/>
                <w:bCs/>
                <w:lang w:val="en-US"/>
              </w:rPr>
              <w:t>Torrente,​ Fernando,​Bustin,​ Julian,​Triskier,​ Fabian,​Ajzenman,​ Nicolas,​Tomio,​ Ailin,​Mastai,​ Ricardo,​Lopez Boo,​ Florencia</w:t>
            </w:r>
            <w:r>
              <w:rPr>
                <w:lang w:val="en-US"/>
              </w:rPr>
              <w:t xml:space="preserve">. Effect of a Social Norm Email Feedback Program on the Unnecessary Prescription of Nimodipine in Ambulatory Care of Older Adults: A Randomized Clinical Trial. </w:t>
            </w:r>
            <w:r>
              <w:rPr>
                <w:i/>
                <w:iCs/>
              </w:rPr>
              <w:t>JAMA network open.</w:t>
            </w:r>
            <w:r>
              <w:t xml:space="preserve"> 2020. 3:e2027082</w:t>
            </w:r>
          </w:p>
        </w:tc>
      </w:tr>
      <w:tr w:rsidR="00503C32" w14:paraId="2F8AF149" w14:textId="77777777" w:rsidTr="004379C1">
        <w:tc>
          <w:tcPr>
            <w:tcW w:w="0" w:type="auto"/>
            <w:tcMar>
              <w:top w:w="15" w:type="dxa"/>
              <w:left w:w="15" w:type="dxa"/>
              <w:bottom w:w="15" w:type="dxa"/>
              <w:right w:w="15" w:type="dxa"/>
            </w:tcMar>
            <w:hideMark/>
          </w:tcPr>
          <w:p w14:paraId="36C14543" w14:textId="77777777" w:rsidR="00503C32" w:rsidRDefault="00503C32" w:rsidP="004379C1">
            <w:pPr>
              <w:spacing w:before="30" w:after="30"/>
              <w:ind w:left="60" w:right="60"/>
            </w:pPr>
            <w:r>
              <w:rPr>
                <w:b/>
                <w:bCs/>
                <w:lang w:val="en-US"/>
              </w:rPr>
              <w:t>Trietsch,​ J.,​Van Steenkiste,​ B.,​Grol,​ R.,​Winkens,​ B.,​Ulenkate,​ H.,​Metsemakers,​ J.,​Van Der Weijden,​ T.</w:t>
            </w:r>
            <w:r>
              <w:rPr>
                <w:lang w:val="en-US"/>
              </w:rPr>
              <w:t xml:space="preserve">. Effect of audit and feedback with peer review on general practitioners' prescribing and test ordering performance: A cluster-randomized controlled trial. </w:t>
            </w:r>
            <w:r>
              <w:rPr>
                <w:i/>
                <w:iCs/>
              </w:rPr>
              <w:t>BMC Family Practice.</w:t>
            </w:r>
            <w:r>
              <w:t xml:space="preserve"> 2017. 18:#pages#</w:t>
            </w:r>
          </w:p>
        </w:tc>
      </w:tr>
      <w:tr w:rsidR="00503C32" w14:paraId="2DF681AE" w14:textId="77777777" w:rsidTr="004379C1">
        <w:tc>
          <w:tcPr>
            <w:tcW w:w="0" w:type="auto"/>
            <w:tcMar>
              <w:top w:w="15" w:type="dxa"/>
              <w:left w:w="15" w:type="dxa"/>
              <w:bottom w:w="15" w:type="dxa"/>
              <w:right w:w="15" w:type="dxa"/>
            </w:tcMar>
            <w:hideMark/>
          </w:tcPr>
          <w:p w14:paraId="00573E1D" w14:textId="77777777" w:rsidR="00503C32" w:rsidRDefault="00503C32" w:rsidP="004379C1">
            <w:pPr>
              <w:spacing w:before="30" w:after="30"/>
              <w:ind w:left="60" w:right="60"/>
            </w:pPr>
            <w:r>
              <w:rPr>
                <w:b/>
                <w:bCs/>
                <w:lang w:val="en-US"/>
              </w:rPr>
              <w:t>Ubel,​ Peter A.,​Jepson,​ Christopher,​Baron,​ Jonathan,​Hershey,​ John C.,​Asch,​ David A.</w:t>
            </w:r>
            <w:r>
              <w:rPr>
                <w:lang w:val="en-US"/>
              </w:rPr>
              <w:t xml:space="preserve">. The influence of cost-effectiveness information on physicians' cancer screening recommendations. </w:t>
            </w:r>
            <w:r>
              <w:rPr>
                <w:i/>
                <w:iCs/>
              </w:rPr>
              <w:t>Social science &amp; medicine (1982).</w:t>
            </w:r>
            <w:r>
              <w:t xml:space="preserve"> 2003. 56:1727-36</w:t>
            </w:r>
          </w:p>
        </w:tc>
      </w:tr>
      <w:tr w:rsidR="00503C32" w14:paraId="0D804A74" w14:textId="77777777" w:rsidTr="004379C1">
        <w:tc>
          <w:tcPr>
            <w:tcW w:w="0" w:type="auto"/>
            <w:tcMar>
              <w:top w:w="15" w:type="dxa"/>
              <w:left w:w="15" w:type="dxa"/>
              <w:bottom w:w="15" w:type="dxa"/>
              <w:right w:w="15" w:type="dxa"/>
            </w:tcMar>
            <w:hideMark/>
          </w:tcPr>
          <w:p w14:paraId="64D9AAF4" w14:textId="77777777" w:rsidR="00503C32" w:rsidRDefault="00503C32" w:rsidP="004379C1">
            <w:pPr>
              <w:spacing w:before="30" w:after="30"/>
              <w:ind w:left="60" w:right="60"/>
            </w:pPr>
            <w:r>
              <w:rPr>
                <w:b/>
                <w:bCs/>
                <w:lang w:val="en-US"/>
              </w:rPr>
              <w:t>Urbiztondo,​ Ines,​Bjerrum,​ Lars,​Caballero,​ Lidia,​Suarez,​ Miguel Angel,​Olinisky,​ Monica,​Cordoba,​ Gloria</w:t>
            </w:r>
            <w:r>
              <w:rPr>
                <w:lang w:val="en-US"/>
              </w:rPr>
              <w:t xml:space="preserve">. Decreasing Inappropriate Use of Antibiotics in Primary Care in Four Countries in South America-Cluster Randomized Controlled Trial. </w:t>
            </w:r>
            <w:r>
              <w:rPr>
                <w:i/>
                <w:iCs/>
              </w:rPr>
              <w:t>Antibiotics (Basel,​ Switzerland).</w:t>
            </w:r>
            <w:r>
              <w:t xml:space="preserve"> 2017. 6:#pages#</w:t>
            </w:r>
          </w:p>
        </w:tc>
      </w:tr>
      <w:tr w:rsidR="00503C32" w14:paraId="7518BCB6" w14:textId="77777777" w:rsidTr="004379C1">
        <w:tc>
          <w:tcPr>
            <w:tcW w:w="0" w:type="auto"/>
            <w:tcMar>
              <w:top w:w="15" w:type="dxa"/>
              <w:left w:w="15" w:type="dxa"/>
              <w:bottom w:w="15" w:type="dxa"/>
              <w:right w:w="15" w:type="dxa"/>
            </w:tcMar>
            <w:hideMark/>
          </w:tcPr>
          <w:p w14:paraId="0DB508A1" w14:textId="77777777" w:rsidR="00503C32" w:rsidRDefault="00503C32" w:rsidP="004379C1">
            <w:pPr>
              <w:spacing w:before="30" w:after="30"/>
              <w:ind w:left="60" w:right="60"/>
            </w:pPr>
            <w:r>
              <w:rPr>
                <w:b/>
                <w:bCs/>
                <w:lang w:val="en-US"/>
              </w:rPr>
              <w:t>van Bokhoven,​ Marloes A.,​Koch,​ Helen,​van der Weijden,​ Trudy,​Weekers-Muyres,​ Anuska H. M.,​Bindels,​ Patrick J. E.,​Grol,​ Richard P. T. M.,​Dinant,​ Geert-Jan</w:t>
            </w:r>
            <w:r>
              <w:rPr>
                <w:lang w:val="en-US"/>
              </w:rPr>
              <w:t xml:space="preserve">. The effect of watchful waiting compared to immediate test ordering instructions on general practitioners' blood test ordering behaviour for patients with unexplained complaints; a randomized clinical trial (ISRCTN55755886). </w:t>
            </w:r>
            <w:r>
              <w:rPr>
                <w:i/>
                <w:iCs/>
              </w:rPr>
              <w:t>Implementation science : IS.</w:t>
            </w:r>
            <w:r>
              <w:t xml:space="preserve"> 2012. 7:29</w:t>
            </w:r>
          </w:p>
        </w:tc>
      </w:tr>
      <w:tr w:rsidR="00503C32" w14:paraId="680E9FB6" w14:textId="77777777" w:rsidTr="004379C1">
        <w:tc>
          <w:tcPr>
            <w:tcW w:w="0" w:type="auto"/>
            <w:tcMar>
              <w:top w:w="15" w:type="dxa"/>
              <w:left w:w="15" w:type="dxa"/>
              <w:bottom w:w="15" w:type="dxa"/>
              <w:right w:w="15" w:type="dxa"/>
            </w:tcMar>
            <w:hideMark/>
          </w:tcPr>
          <w:p w14:paraId="510C831C" w14:textId="77777777" w:rsidR="00503C32" w:rsidRDefault="00503C32" w:rsidP="004379C1">
            <w:pPr>
              <w:spacing w:before="30" w:after="30"/>
              <w:ind w:left="60" w:right="60"/>
            </w:pPr>
            <w:r>
              <w:rPr>
                <w:b/>
                <w:bCs/>
              </w:rPr>
              <w:t>van de Maat,​ Josephine S.,​ Peeters,​ Daphne,​ Nieboer,​ Daan,​ van Wermeskerken,​ Anne-Marie,​ Smit,​ Frank J.,​ Noordzij,​ Jeroen G.,​ Tramper-Stranders,​ Gerdien,​ Driessen,​ Gertjan J. A.,​ Obihara,​ Charlie C.,​ Punt,​ Jeanine,​ van der Lei,​ Johan,​ Polinder,​ Suzanne,​ Moll,​ Henriette A.,​ Oostenbrink,​ Rianne</w:t>
            </w:r>
            <w:r>
              <w:t xml:space="preserve">. </w:t>
            </w:r>
            <w:r>
              <w:rPr>
                <w:lang w:val="en-US"/>
              </w:rPr>
              <w:t xml:space="preserve">Evaluation of a clinical decision rule to guide antibiotic prescription in children with suspected lower respiratory tract infection in The Netherlands: A stepped-wedge cluster randomised trial. </w:t>
            </w:r>
            <w:r>
              <w:rPr>
                <w:i/>
                <w:iCs/>
              </w:rPr>
              <w:t>PLoS medicine.</w:t>
            </w:r>
            <w:r>
              <w:t xml:space="preserve"> 2020. 17:e1003034</w:t>
            </w:r>
          </w:p>
        </w:tc>
      </w:tr>
      <w:tr w:rsidR="00503C32" w14:paraId="11CE8E0B" w14:textId="77777777" w:rsidTr="004379C1">
        <w:tc>
          <w:tcPr>
            <w:tcW w:w="0" w:type="auto"/>
            <w:tcMar>
              <w:top w:w="15" w:type="dxa"/>
              <w:left w:w="15" w:type="dxa"/>
              <w:bottom w:w="15" w:type="dxa"/>
              <w:right w:w="15" w:type="dxa"/>
            </w:tcMar>
            <w:hideMark/>
          </w:tcPr>
          <w:p w14:paraId="14120174" w14:textId="77777777" w:rsidR="00503C32" w:rsidRDefault="00503C32" w:rsidP="004379C1">
            <w:pPr>
              <w:spacing w:before="30" w:after="30"/>
              <w:ind w:left="60" w:right="60"/>
            </w:pPr>
            <w:r>
              <w:rPr>
                <w:b/>
                <w:bCs/>
              </w:rPr>
              <w:t>van der Velden,​ A. W.,​Kuyvenhoven,​ M. M.,​Verheij,​ T. J. M.</w:t>
            </w:r>
            <w:r>
              <w:t xml:space="preserve">. </w:t>
            </w:r>
            <w:r>
              <w:rPr>
                <w:lang w:val="en-US"/>
              </w:rPr>
              <w:t xml:space="preserve">Improving antibiotic prescribing quality by an intervention embedded in the primary care practice accreditation: The ARTI4 randomized trial. </w:t>
            </w:r>
            <w:r>
              <w:rPr>
                <w:i/>
                <w:iCs/>
              </w:rPr>
              <w:t>Journal of Antimicrobial Chemotherapy.</w:t>
            </w:r>
            <w:r>
              <w:t xml:space="preserve"> 2016. 71:257-263</w:t>
            </w:r>
          </w:p>
        </w:tc>
      </w:tr>
      <w:tr w:rsidR="00503C32" w14:paraId="7E1894E8" w14:textId="77777777" w:rsidTr="004379C1">
        <w:tc>
          <w:tcPr>
            <w:tcW w:w="0" w:type="auto"/>
            <w:tcMar>
              <w:top w:w="15" w:type="dxa"/>
              <w:left w:w="15" w:type="dxa"/>
              <w:bottom w:w="15" w:type="dxa"/>
              <w:right w:w="15" w:type="dxa"/>
            </w:tcMar>
            <w:hideMark/>
          </w:tcPr>
          <w:p w14:paraId="3C2BF9BD" w14:textId="77777777" w:rsidR="00503C32" w:rsidRDefault="00503C32" w:rsidP="004379C1">
            <w:pPr>
              <w:spacing w:before="30" w:after="30"/>
              <w:ind w:left="60" w:right="60"/>
            </w:pPr>
            <w:r>
              <w:rPr>
                <w:b/>
                <w:bCs/>
                <w:lang w:val="en-US"/>
              </w:rPr>
              <w:t>van Eijk,​ M. E.,​Avorn,​ J.,​Porsius,​ A. J.,​de Boer,​ A.</w:t>
            </w:r>
            <w:r>
              <w:rPr>
                <w:lang w:val="en-US"/>
              </w:rPr>
              <w:t xml:space="preserve">. Reducing prescribing of highly anticholinergic antidepressants for elderly people: randomised trial of group versus individual academic detailing. </w:t>
            </w:r>
            <w:r>
              <w:rPr>
                <w:i/>
                <w:iCs/>
              </w:rPr>
              <w:t>BMJ (Clinical research ed.).</w:t>
            </w:r>
            <w:r>
              <w:t xml:space="preserve"> 2001. 322:654-7</w:t>
            </w:r>
          </w:p>
        </w:tc>
      </w:tr>
      <w:tr w:rsidR="00503C32" w14:paraId="26B15CE5" w14:textId="77777777" w:rsidTr="004379C1">
        <w:tc>
          <w:tcPr>
            <w:tcW w:w="0" w:type="auto"/>
            <w:tcMar>
              <w:top w:w="15" w:type="dxa"/>
              <w:left w:w="15" w:type="dxa"/>
              <w:bottom w:w="15" w:type="dxa"/>
              <w:right w:w="15" w:type="dxa"/>
            </w:tcMar>
            <w:hideMark/>
          </w:tcPr>
          <w:p w14:paraId="101592E7" w14:textId="77777777" w:rsidR="00503C32" w:rsidRDefault="00503C32" w:rsidP="004379C1">
            <w:pPr>
              <w:spacing w:before="30" w:after="30"/>
              <w:ind w:left="60" w:right="60"/>
            </w:pPr>
            <w:r>
              <w:rPr>
                <w:b/>
                <w:bCs/>
                <w:lang w:val="en-US"/>
              </w:rPr>
              <w:lastRenderedPageBreak/>
              <w:t>Verstappen,​ Wim H. J. M.,​van der Weijden,​ Trudy,​Dubois,​ Willy I.,​Smeele,​ Ivo,​Hermsen,​ Jan,​Tan,​ Frans E. S.,​Grol,​ Richard P. T. M.</w:t>
            </w:r>
            <w:r>
              <w:rPr>
                <w:lang w:val="en-US"/>
              </w:rPr>
              <w:t xml:space="preserve">. Improving test ordering in primary care: the added value of a small-group quality improvement strategy compared with classic feedback only. </w:t>
            </w:r>
            <w:r>
              <w:rPr>
                <w:i/>
                <w:iCs/>
              </w:rPr>
              <w:t>Annals of family medicine.</w:t>
            </w:r>
            <w:r>
              <w:t xml:space="preserve"> 2004. 2:569-575</w:t>
            </w:r>
          </w:p>
        </w:tc>
      </w:tr>
      <w:tr w:rsidR="00503C32" w14:paraId="6E6A25FC" w14:textId="77777777" w:rsidTr="004379C1">
        <w:tc>
          <w:tcPr>
            <w:tcW w:w="0" w:type="auto"/>
            <w:tcMar>
              <w:top w:w="15" w:type="dxa"/>
              <w:left w:w="15" w:type="dxa"/>
              <w:bottom w:w="15" w:type="dxa"/>
              <w:right w:w="15" w:type="dxa"/>
            </w:tcMar>
            <w:hideMark/>
          </w:tcPr>
          <w:p w14:paraId="7D4580C6" w14:textId="77777777" w:rsidR="00503C32" w:rsidRDefault="00503C32" w:rsidP="004379C1">
            <w:pPr>
              <w:spacing w:before="30" w:after="30"/>
              <w:ind w:left="60" w:right="60"/>
            </w:pPr>
            <w:r>
              <w:rPr>
                <w:b/>
                <w:bCs/>
                <w:lang w:val="en-US"/>
              </w:rPr>
              <w:t>Verstappen,​ Wim H. J. M.,​van der Weijden,​ Trudy,​Sijbrandij,​ Jildou,​Smeele,​ Ivo,​Hermsen,​ Jan,​Grimshaw,​ Jeremy,​Grol,​ Richard P. T. M.</w:t>
            </w:r>
            <w:r>
              <w:rPr>
                <w:lang w:val="en-US"/>
              </w:rPr>
              <w:t xml:space="preserve">. Effect of a practice-based strategy on test ordering performance of primary care physicians: a randomized trial. </w:t>
            </w:r>
            <w:r>
              <w:rPr>
                <w:i/>
                <w:iCs/>
              </w:rPr>
              <w:t>JAMA.</w:t>
            </w:r>
            <w:r>
              <w:t xml:space="preserve"> 2003. 289:2407-12</w:t>
            </w:r>
          </w:p>
        </w:tc>
      </w:tr>
      <w:tr w:rsidR="00503C32" w14:paraId="2E99427B" w14:textId="77777777" w:rsidTr="004379C1">
        <w:tc>
          <w:tcPr>
            <w:tcW w:w="0" w:type="auto"/>
            <w:tcMar>
              <w:top w:w="15" w:type="dxa"/>
              <w:left w:w="15" w:type="dxa"/>
              <w:bottom w:w="15" w:type="dxa"/>
              <w:right w:w="15" w:type="dxa"/>
            </w:tcMar>
            <w:hideMark/>
          </w:tcPr>
          <w:p w14:paraId="794030B3" w14:textId="77777777" w:rsidR="00503C32" w:rsidRDefault="00503C32" w:rsidP="004379C1">
            <w:pPr>
              <w:spacing w:before="30" w:after="30"/>
              <w:ind w:left="60" w:right="60"/>
            </w:pPr>
            <w:r>
              <w:rPr>
                <w:b/>
                <w:bCs/>
                <w:lang w:val="en-US"/>
              </w:rPr>
              <w:t>Vervloet,​ Marcia,​Meulepas,​ Marianne A.,​Cals,​ Jochen W. L.,​Eimers,​ Marietta,​van der Hoek,​ Lucas S.,​van Dijk,​ Liset</w:t>
            </w:r>
            <w:r>
              <w:rPr>
                <w:lang w:val="en-US"/>
              </w:rPr>
              <w:t xml:space="preserve">. Reducing antibiotic prescriptions for respiratory tract infections in family practice: results of a cluster randomized controlled trial evaluating a multifaceted peer-group-based intervention. </w:t>
            </w:r>
            <w:r>
              <w:rPr>
                <w:i/>
                <w:iCs/>
              </w:rPr>
              <w:t>NPJ primary care respiratory medicine.</w:t>
            </w:r>
            <w:r>
              <w:t xml:space="preserve"> 2016. 26:15083</w:t>
            </w:r>
          </w:p>
        </w:tc>
      </w:tr>
      <w:tr w:rsidR="00503C32" w14:paraId="1414A22A" w14:textId="77777777" w:rsidTr="004379C1">
        <w:tc>
          <w:tcPr>
            <w:tcW w:w="0" w:type="auto"/>
            <w:tcMar>
              <w:top w:w="15" w:type="dxa"/>
              <w:left w:w="15" w:type="dxa"/>
              <w:bottom w:w="15" w:type="dxa"/>
              <w:right w:w="15" w:type="dxa"/>
            </w:tcMar>
            <w:hideMark/>
          </w:tcPr>
          <w:p w14:paraId="48984179" w14:textId="77777777" w:rsidR="00503C32" w:rsidRDefault="00503C32" w:rsidP="004379C1">
            <w:pPr>
              <w:spacing w:before="30" w:after="30"/>
              <w:ind w:left="60" w:right="60"/>
            </w:pPr>
            <w:r>
              <w:rPr>
                <w:b/>
                <w:bCs/>
              </w:rPr>
              <w:t>Vicentini,​ Massimo,​ Mancuso,​ Pamela,​ Giorgi Rossi,​ Paolo,​ Di Pede,​ Sara,​ Pellati,​ Morena,​ Gandolfi,​ Alberto,​ Zoboli,​ Daniela,​ Ricco,​ Daniela,​ Busani,​ Corrado,​ Ferretti,​ Alessandra</w:t>
            </w:r>
            <w:r>
              <w:t xml:space="preserve">. </w:t>
            </w:r>
            <w:r>
              <w:rPr>
                <w:lang w:val="en-US"/>
              </w:rPr>
              <w:t xml:space="preserve">A cluster randomized trial to measure the impact on nonsteroidal anti-inflammatory drug and proton pump inhibitor prescribing in Italy of distributing cost-free paracetamol to osteoarthritic patients. </w:t>
            </w:r>
            <w:r>
              <w:rPr>
                <w:i/>
                <w:iCs/>
              </w:rPr>
              <w:t>BMC family practice.</w:t>
            </w:r>
            <w:r>
              <w:t xml:space="preserve"> 2019. 20:169</w:t>
            </w:r>
          </w:p>
        </w:tc>
      </w:tr>
      <w:tr w:rsidR="00503C32" w14:paraId="2364D561" w14:textId="77777777" w:rsidTr="004379C1">
        <w:tc>
          <w:tcPr>
            <w:tcW w:w="0" w:type="auto"/>
            <w:tcMar>
              <w:top w:w="15" w:type="dxa"/>
              <w:left w:w="15" w:type="dxa"/>
              <w:bottom w:w="15" w:type="dxa"/>
              <w:right w:w="15" w:type="dxa"/>
            </w:tcMar>
            <w:hideMark/>
          </w:tcPr>
          <w:p w14:paraId="769DEB9D" w14:textId="77777777" w:rsidR="00503C32" w:rsidRDefault="00503C32" w:rsidP="004379C1">
            <w:pPr>
              <w:spacing w:before="30" w:after="30"/>
              <w:ind w:left="60" w:right="60"/>
            </w:pPr>
            <w:r>
              <w:rPr>
                <w:b/>
                <w:bCs/>
              </w:rPr>
              <w:t>Voorn,​ Veronique M. A.,​Marang-van de Mheen,​ Perla J.,​van der Hout,​ Anja,​Hofstede,​ Stefanie N.,​So-Osman,​ Cynthia,​van den Akker-van Marle,​ M. Elske,​Kaptein,​ Ad A.,​Stijnen,​ Theo,​Koopman-van Gemert,​ Ankie W. M. M.,​Dahan,​ Albert,​Vliet Vlieland,​ Thea P. M. M.,​Nelissen,​ Rob G. H. H.,​van Bodegom-Vos,​ Leti</w:t>
            </w:r>
            <w:r>
              <w:t xml:space="preserve">. </w:t>
            </w:r>
            <w:r>
              <w:rPr>
                <w:lang w:val="en-US"/>
              </w:rPr>
              <w:t xml:space="preserve">The effectiveness of a de-implementation strategy to reduce low-value blood management techniques in primary hip and knee arthroplasty: a pragmatic cluster-randomized controlled trial. </w:t>
            </w:r>
            <w:r>
              <w:rPr>
                <w:i/>
                <w:iCs/>
              </w:rPr>
              <w:t>Implementation science : IS.</w:t>
            </w:r>
            <w:r>
              <w:t xml:space="preserve"> 2017. 12:72</w:t>
            </w:r>
          </w:p>
        </w:tc>
      </w:tr>
      <w:tr w:rsidR="00503C32" w14:paraId="2AAE0A1D" w14:textId="77777777" w:rsidTr="004379C1">
        <w:tc>
          <w:tcPr>
            <w:tcW w:w="0" w:type="auto"/>
            <w:tcMar>
              <w:top w:w="15" w:type="dxa"/>
              <w:left w:w="15" w:type="dxa"/>
              <w:bottom w:w="15" w:type="dxa"/>
              <w:right w:w="15" w:type="dxa"/>
            </w:tcMar>
            <w:hideMark/>
          </w:tcPr>
          <w:p w14:paraId="6E5AC114" w14:textId="77777777" w:rsidR="00503C32" w:rsidRDefault="00503C32" w:rsidP="004379C1">
            <w:pPr>
              <w:spacing w:before="30" w:after="30"/>
              <w:ind w:left="60" w:right="60"/>
            </w:pPr>
            <w:r>
              <w:rPr>
                <w:b/>
                <w:bCs/>
                <w:lang w:val="en-US"/>
              </w:rPr>
              <w:t>Wattal,​ C.,​Goel,​ N.,​Khanna,​ S.,​Byotra,​ S. P.,​Laxminarayan,​ R.,​Easton,​ A.</w:t>
            </w:r>
            <w:r>
              <w:rPr>
                <w:lang w:val="en-US"/>
              </w:rPr>
              <w:t xml:space="preserve">. Impact of informational feedback to clinicians on antibiotic-prescribing rates in a tertiary care hospital in Delhi. </w:t>
            </w:r>
            <w:r>
              <w:rPr>
                <w:i/>
                <w:iCs/>
              </w:rPr>
              <w:t>Indian journal of medical microbiology.</w:t>
            </w:r>
            <w:r>
              <w:t xml:space="preserve"> 2015. 33:255-9</w:t>
            </w:r>
          </w:p>
        </w:tc>
      </w:tr>
      <w:tr w:rsidR="00503C32" w14:paraId="7D3D9C32" w14:textId="77777777" w:rsidTr="004379C1">
        <w:tc>
          <w:tcPr>
            <w:tcW w:w="0" w:type="auto"/>
            <w:tcMar>
              <w:top w:w="15" w:type="dxa"/>
              <w:left w:w="15" w:type="dxa"/>
              <w:bottom w:w="15" w:type="dxa"/>
              <w:right w:w="15" w:type="dxa"/>
            </w:tcMar>
            <w:hideMark/>
          </w:tcPr>
          <w:p w14:paraId="71C6B919" w14:textId="77777777" w:rsidR="00503C32" w:rsidRPr="004379C1" w:rsidRDefault="00503C32" w:rsidP="004379C1">
            <w:pPr>
              <w:spacing w:before="30" w:after="30"/>
              <w:ind w:left="60" w:right="60"/>
              <w:rPr>
                <w:lang w:val="en-US"/>
              </w:rPr>
            </w:pPr>
            <w:r>
              <w:rPr>
                <w:b/>
                <w:bCs/>
              </w:rPr>
              <w:t>Wei,​ Xiaolin,​Zhang,​ Zhitong,​Walley,​ John D.,​Hicks,​ Joseph P.,​Zeng,​ Jun,​Deng,​ Simin,​Zhou,​ Yu,​Yin,​ Jia,​Newell,​ James N.,​Sun,​ Qiang,​Zou,​ Guanyang,​Guo,​ Yan,​Upshur,​ Ross E. G.,​Lin,​ Mei</w:t>
            </w:r>
            <w:r>
              <w:t xml:space="preserve">. </w:t>
            </w:r>
            <w:r>
              <w:rPr>
                <w:lang w:val="en-US"/>
              </w:rPr>
              <w:t xml:space="preserve">Effect of a training and educational intervention for physicians and caregivers on antibiotic prescribing for upper respiratory tract infections in children at primary care facilities in rural China: a cluster-randomised controlled trial. </w:t>
            </w:r>
            <w:r w:rsidRPr="004379C1">
              <w:rPr>
                <w:i/>
                <w:iCs/>
                <w:lang w:val="en-US"/>
              </w:rPr>
              <w:t>The Lancet. Global health.</w:t>
            </w:r>
            <w:r w:rsidRPr="004379C1">
              <w:rPr>
                <w:lang w:val="en-US"/>
              </w:rPr>
              <w:t xml:space="preserve"> 2017. 5:e1258-e1267</w:t>
            </w:r>
          </w:p>
          <w:p w14:paraId="6FB7E79E" w14:textId="77777777" w:rsidR="00503C32" w:rsidRDefault="00503C32" w:rsidP="004379C1">
            <w:pPr>
              <w:pStyle w:val="ListParagraph"/>
              <w:spacing w:before="30" w:after="30"/>
              <w:ind w:left="420" w:right="60"/>
            </w:pPr>
            <w:r w:rsidRPr="004379C1">
              <w:rPr>
                <w:b/>
                <w:bCs/>
                <w:lang w:val="en-US"/>
              </w:rPr>
              <w:t>Wei,​ Xiaolin,​Zhang,​ Zhitong,​Hicks,​ Joseph P.,​Walley,​ John D.,​King,​ Rebecca,​Newell,​ James N.,​Yin,​ Jia,​Zeng,​ Jun,​Guo,​ Yan,​Lin,​ Mei,​Upshur,​ Ross E. G.,​Sun,​ Qiang</w:t>
            </w:r>
            <w:r w:rsidRPr="004379C1">
              <w:rPr>
                <w:lang w:val="en-US"/>
              </w:rPr>
              <w:t xml:space="preserve">. </w:t>
            </w:r>
            <w:r>
              <w:rPr>
                <w:lang w:val="en-US"/>
              </w:rPr>
              <w:t xml:space="preserve">Long-term outcomes of an educational intervention to reduce antibiotic prescribing for childhood upper respiratory tract infections in rural China: Follow-up of a cluster-randomised controlled trial. </w:t>
            </w:r>
            <w:r>
              <w:rPr>
                <w:i/>
                <w:iCs/>
              </w:rPr>
              <w:t>PLoS medicine.</w:t>
            </w:r>
            <w:r>
              <w:t xml:space="preserve"> 2019. 16:e1002733</w:t>
            </w:r>
          </w:p>
        </w:tc>
      </w:tr>
      <w:tr w:rsidR="00503C32" w14:paraId="2EF7CA7D" w14:textId="77777777" w:rsidTr="004379C1">
        <w:tc>
          <w:tcPr>
            <w:tcW w:w="0" w:type="auto"/>
            <w:tcMar>
              <w:top w:w="15" w:type="dxa"/>
              <w:left w:w="15" w:type="dxa"/>
              <w:bottom w:w="15" w:type="dxa"/>
              <w:right w:w="15" w:type="dxa"/>
            </w:tcMar>
            <w:hideMark/>
          </w:tcPr>
          <w:p w14:paraId="3F9E177C" w14:textId="77777777" w:rsidR="00503C32" w:rsidRDefault="00503C32" w:rsidP="004379C1">
            <w:pPr>
              <w:spacing w:before="30" w:after="30"/>
              <w:ind w:left="60" w:right="60"/>
            </w:pPr>
            <w:r>
              <w:rPr>
                <w:b/>
                <w:bCs/>
                <w:lang w:val="en-US"/>
              </w:rPr>
              <w:t>Weiss,​ Curtis H.,​Dibardino,​ David,​Rho,​ Jason,​Sung,​ Nina,​Collander,​ Brett,​Wunderink,​ Richard G.</w:t>
            </w:r>
            <w:r>
              <w:rPr>
                <w:lang w:val="en-US"/>
              </w:rPr>
              <w:t xml:space="preserve">. A clinical trial comparing physician prompting with an unprompted automated electronic checklist to reduce empirical antibiotic utilization. </w:t>
            </w:r>
            <w:r>
              <w:rPr>
                <w:i/>
                <w:iCs/>
              </w:rPr>
              <w:t>Critical care medicine.</w:t>
            </w:r>
            <w:r>
              <w:t xml:space="preserve"> 2013. 41:2563-9</w:t>
            </w:r>
          </w:p>
        </w:tc>
      </w:tr>
      <w:tr w:rsidR="00503C32" w14:paraId="27FEF63B" w14:textId="77777777" w:rsidTr="004379C1">
        <w:tc>
          <w:tcPr>
            <w:tcW w:w="0" w:type="auto"/>
            <w:tcMar>
              <w:top w:w="15" w:type="dxa"/>
              <w:left w:w="15" w:type="dxa"/>
              <w:bottom w:w="15" w:type="dxa"/>
              <w:right w:w="15" w:type="dxa"/>
            </w:tcMar>
            <w:hideMark/>
          </w:tcPr>
          <w:p w14:paraId="731FDA19" w14:textId="77777777" w:rsidR="00503C32" w:rsidRDefault="00503C32" w:rsidP="004379C1">
            <w:pPr>
              <w:spacing w:before="30" w:after="30"/>
              <w:ind w:left="60" w:right="60"/>
            </w:pPr>
            <w:r>
              <w:rPr>
                <w:b/>
                <w:bCs/>
                <w:lang w:val="en-US"/>
              </w:rPr>
              <w:t>Welschen,​ Ineke,​Kuyvenhoven,​ Marijke M.,​Hoes,​ Arno W.,​Verheij,​ Theo J. M.</w:t>
            </w:r>
            <w:r>
              <w:rPr>
                <w:lang w:val="en-US"/>
              </w:rPr>
              <w:t xml:space="preserve">. Effectiveness of a multiple intervention to reduce antibiotic prescribing for respiratory tract symptoms in primary care: randomised controlled trial. </w:t>
            </w:r>
            <w:r>
              <w:rPr>
                <w:i/>
                <w:iCs/>
              </w:rPr>
              <w:t>BMJ (Clinical research ed.).</w:t>
            </w:r>
            <w:r>
              <w:t xml:space="preserve"> 2004. 329:431</w:t>
            </w:r>
          </w:p>
        </w:tc>
      </w:tr>
      <w:tr w:rsidR="00503C32" w14:paraId="55C410D8" w14:textId="77777777" w:rsidTr="004379C1">
        <w:tc>
          <w:tcPr>
            <w:tcW w:w="0" w:type="auto"/>
            <w:tcMar>
              <w:top w:w="15" w:type="dxa"/>
              <w:left w:w="15" w:type="dxa"/>
              <w:bottom w:w="15" w:type="dxa"/>
              <w:right w:w="15" w:type="dxa"/>
            </w:tcMar>
            <w:hideMark/>
          </w:tcPr>
          <w:p w14:paraId="7B3906BA" w14:textId="77777777" w:rsidR="00503C32" w:rsidRDefault="00503C32" w:rsidP="004379C1">
            <w:pPr>
              <w:spacing w:before="30" w:after="30"/>
              <w:ind w:left="60" w:right="60"/>
            </w:pPr>
            <w:r>
              <w:rPr>
                <w:b/>
                <w:bCs/>
              </w:rPr>
              <w:t>Wertheim,​ Bradley M.,​Aguirre,​ Andrew J.,​Bhattacharyya,​ Roby P.,​Chorba,​ John,​Jadhav,​ Ashutosh P.,​Kerry,​ Vanessa B.,​Macklin,​ Eric A.,​Motyckova,​ Gabriela,​Raju,​ Shveta,​Lewandrowski,​ Kent,​Hunt,​ Daniel P.,​Wright,​ Douglas E.</w:t>
            </w:r>
            <w:r>
              <w:t xml:space="preserve">. </w:t>
            </w:r>
            <w:r>
              <w:rPr>
                <w:lang w:val="en-US"/>
              </w:rPr>
              <w:t xml:space="preserve">An Educational and Administrative Intervention to Promote Rational Laboratory Test Ordering on an Academic General Medicine Service. </w:t>
            </w:r>
            <w:r>
              <w:rPr>
                <w:i/>
                <w:iCs/>
              </w:rPr>
              <w:t>The American journal of medicine.</w:t>
            </w:r>
            <w:r>
              <w:t xml:space="preserve"> 2017. 130:47-53</w:t>
            </w:r>
          </w:p>
        </w:tc>
      </w:tr>
      <w:tr w:rsidR="00503C32" w14:paraId="38EF80DA" w14:textId="77777777" w:rsidTr="004379C1">
        <w:tc>
          <w:tcPr>
            <w:tcW w:w="0" w:type="auto"/>
            <w:tcMar>
              <w:top w:w="15" w:type="dxa"/>
              <w:left w:w="15" w:type="dxa"/>
              <w:bottom w:w="15" w:type="dxa"/>
              <w:right w:w="15" w:type="dxa"/>
            </w:tcMar>
            <w:hideMark/>
          </w:tcPr>
          <w:p w14:paraId="5DC7114C" w14:textId="77777777" w:rsidR="00503C32" w:rsidRDefault="00503C32" w:rsidP="004379C1">
            <w:pPr>
              <w:spacing w:before="30" w:after="30"/>
              <w:ind w:left="60" w:right="60"/>
            </w:pPr>
            <w:r>
              <w:rPr>
                <w:b/>
                <w:bCs/>
                <w:lang w:val="en-US"/>
              </w:rPr>
              <w:lastRenderedPageBreak/>
              <w:t>Whyte,​ John,​ Winiecki,​ Scott,​ Hoffman,​ Christina,​ Patel,​ Kaushal</w:t>
            </w:r>
            <w:r>
              <w:rPr>
                <w:lang w:val="en-US"/>
              </w:rPr>
              <w:t xml:space="preserve">. FDA collaboration to improve safe use of fluoroquinolone antibiotics: an ex post facto matched control study of targeted short-form messaging and online education served to high prescribers. </w:t>
            </w:r>
            <w:r>
              <w:rPr>
                <w:i/>
                <w:iCs/>
              </w:rPr>
              <w:t>Pharmacy practice.</w:t>
            </w:r>
            <w:r>
              <w:t xml:space="preserve"> 2020. 18:1773</w:t>
            </w:r>
          </w:p>
        </w:tc>
      </w:tr>
      <w:tr w:rsidR="00503C32" w14:paraId="4270B57A" w14:textId="77777777" w:rsidTr="004379C1">
        <w:tc>
          <w:tcPr>
            <w:tcW w:w="0" w:type="auto"/>
            <w:tcMar>
              <w:top w:w="15" w:type="dxa"/>
              <w:left w:w="15" w:type="dxa"/>
              <w:bottom w:w="15" w:type="dxa"/>
              <w:right w:w="15" w:type="dxa"/>
            </w:tcMar>
            <w:hideMark/>
          </w:tcPr>
          <w:p w14:paraId="572F08C8" w14:textId="77777777" w:rsidR="00503C32" w:rsidRDefault="00503C32" w:rsidP="004379C1">
            <w:pPr>
              <w:spacing w:before="30" w:after="30"/>
              <w:ind w:left="60" w:right="60"/>
            </w:pPr>
            <w:r>
              <w:rPr>
                <w:b/>
                <w:bCs/>
                <w:lang w:val="en-US"/>
              </w:rPr>
              <w:t>Wilson,​ Eileen J.,​Nasrin,​ Dilruba,​Dear,​ Keith B. G.,​Douglas,​ Robert M.</w:t>
            </w:r>
            <w:r>
              <w:rPr>
                <w:lang w:val="en-US"/>
              </w:rPr>
              <w:t xml:space="preserve">. Changing GPs' antibiotic prescribing: a randomised controlled trial. </w:t>
            </w:r>
            <w:r>
              <w:rPr>
                <w:i/>
                <w:iCs/>
                <w:lang w:val="en-US"/>
              </w:rPr>
              <w:t>Communicable diseases intelligence quarterly report.</w:t>
            </w:r>
            <w:r>
              <w:rPr>
                <w:lang w:val="en-US"/>
              </w:rPr>
              <w:t xml:space="preserve"> </w:t>
            </w:r>
            <w:r>
              <w:t>2003. 27 Suppl:S32-8</w:t>
            </w:r>
          </w:p>
        </w:tc>
      </w:tr>
      <w:tr w:rsidR="00503C32" w14:paraId="7D5A06E9" w14:textId="77777777" w:rsidTr="004379C1">
        <w:tc>
          <w:tcPr>
            <w:tcW w:w="0" w:type="auto"/>
            <w:tcMar>
              <w:top w:w="15" w:type="dxa"/>
              <w:left w:w="15" w:type="dxa"/>
              <w:bottom w:w="15" w:type="dxa"/>
              <w:right w:w="15" w:type="dxa"/>
            </w:tcMar>
            <w:hideMark/>
          </w:tcPr>
          <w:p w14:paraId="78EED478" w14:textId="77777777" w:rsidR="00503C32" w:rsidRDefault="00503C32" w:rsidP="004379C1">
            <w:pPr>
              <w:spacing w:before="30" w:after="30"/>
              <w:ind w:left="60" w:right="60"/>
            </w:pPr>
            <w:r>
              <w:rPr>
                <w:b/>
                <w:bCs/>
                <w:lang w:val="en-US"/>
              </w:rPr>
              <w:t>Wolters,​ Rene,​Wensing,​ Michel,​Klomp,​ Maarten,​Lagro-Jansen,​ Toine,​Weel,​ Chris van,​Grol,​ Richard</w:t>
            </w:r>
            <w:r>
              <w:rPr>
                <w:lang w:val="en-US"/>
              </w:rPr>
              <w:t xml:space="preserve">. Effects of distance learning on clinical management of LUTS in primary care: a randomised trial. </w:t>
            </w:r>
            <w:r>
              <w:rPr>
                <w:i/>
                <w:iCs/>
              </w:rPr>
              <w:t>Patient education and counseling.</w:t>
            </w:r>
            <w:r>
              <w:t xml:space="preserve"> 2005. 59:212-8</w:t>
            </w:r>
          </w:p>
        </w:tc>
      </w:tr>
      <w:tr w:rsidR="00503C32" w14:paraId="74B30B79" w14:textId="77777777" w:rsidTr="004379C1">
        <w:tc>
          <w:tcPr>
            <w:tcW w:w="0" w:type="auto"/>
            <w:tcMar>
              <w:top w:w="15" w:type="dxa"/>
              <w:left w:w="15" w:type="dxa"/>
              <w:bottom w:w="15" w:type="dxa"/>
              <w:right w:w="15" w:type="dxa"/>
            </w:tcMar>
            <w:hideMark/>
          </w:tcPr>
          <w:p w14:paraId="01C81AA6" w14:textId="77777777" w:rsidR="00503C32" w:rsidRDefault="00503C32" w:rsidP="004379C1">
            <w:pPr>
              <w:spacing w:before="30" w:after="30"/>
              <w:ind w:left="60" w:right="60"/>
            </w:pPr>
            <w:r>
              <w:rPr>
                <w:b/>
                <w:bCs/>
                <w:lang w:val="en-US"/>
              </w:rPr>
              <w:t>Worrall,​ Graham,​Hutchinson,​ James,​Sherman,​ Gregory,​Griffiths,​ Joseph</w:t>
            </w:r>
            <w:r>
              <w:rPr>
                <w:lang w:val="en-US"/>
              </w:rPr>
              <w:t xml:space="preserve">. Diagnosing streptococcal sore throat in adults: randomized controlled trial of in-office aids. </w:t>
            </w:r>
            <w:r>
              <w:rPr>
                <w:i/>
                <w:iCs/>
              </w:rPr>
              <w:t>Canadian family physician Medecin de famille canadien.</w:t>
            </w:r>
            <w:r>
              <w:t xml:space="preserve"> 2007. 53:666-71</w:t>
            </w:r>
          </w:p>
        </w:tc>
      </w:tr>
      <w:tr w:rsidR="00503C32" w14:paraId="16C845AD" w14:textId="77777777" w:rsidTr="004379C1">
        <w:tc>
          <w:tcPr>
            <w:tcW w:w="0" w:type="auto"/>
            <w:tcMar>
              <w:top w:w="15" w:type="dxa"/>
              <w:left w:w="15" w:type="dxa"/>
              <w:bottom w:w="15" w:type="dxa"/>
              <w:right w:w="15" w:type="dxa"/>
            </w:tcMar>
            <w:hideMark/>
          </w:tcPr>
          <w:p w14:paraId="13CC1181" w14:textId="77777777" w:rsidR="00503C32" w:rsidRDefault="00503C32" w:rsidP="004379C1">
            <w:pPr>
              <w:spacing w:before="30" w:after="30"/>
              <w:ind w:left="60" w:right="60"/>
            </w:pPr>
            <w:r>
              <w:rPr>
                <w:b/>
                <w:bCs/>
                <w:lang w:val="en-US"/>
              </w:rPr>
              <w:t>Yadav,​ Kabir,​Meeker,​ Daniella,​Mistry,​ Rakesh D.,​Doctor,​ Jason N.,​Fleming-Dutra,​ Katherine E.,​Fleischman,​ Ross J.,​Gaona,​ Samuel D.,​Stahmer,​ Aubyn,​May,​ Larissa</w:t>
            </w:r>
            <w:r>
              <w:rPr>
                <w:lang w:val="en-US"/>
              </w:rPr>
              <w:t xml:space="preserve">. A Multifaceted Intervention Improves Prescribing for Acute Respiratory Infection for Adults and Children in Emergency Department and Urgent Care Settings. </w:t>
            </w:r>
            <w:r>
              <w:rPr>
                <w:i/>
                <w:iCs/>
                <w:lang w:val="en-US"/>
              </w:rPr>
              <w:t>Academic emergency medicine : official journal of the Society for Academic Emergency Medicine.</w:t>
            </w:r>
            <w:r>
              <w:rPr>
                <w:lang w:val="en-US"/>
              </w:rPr>
              <w:t xml:space="preserve"> </w:t>
            </w:r>
            <w:r>
              <w:t>2019. 26:719-731</w:t>
            </w:r>
          </w:p>
        </w:tc>
      </w:tr>
      <w:tr w:rsidR="00503C32" w14:paraId="6F46D558" w14:textId="77777777" w:rsidTr="004379C1">
        <w:tc>
          <w:tcPr>
            <w:tcW w:w="0" w:type="auto"/>
            <w:tcMar>
              <w:top w:w="15" w:type="dxa"/>
              <w:left w:w="15" w:type="dxa"/>
              <w:bottom w:w="15" w:type="dxa"/>
              <w:right w:w="15" w:type="dxa"/>
            </w:tcMar>
            <w:hideMark/>
          </w:tcPr>
          <w:p w14:paraId="1C25C016" w14:textId="77777777" w:rsidR="00503C32" w:rsidRDefault="00503C32" w:rsidP="004379C1">
            <w:pPr>
              <w:spacing w:before="30" w:after="30"/>
              <w:ind w:left="60" w:right="60"/>
            </w:pPr>
            <w:r>
              <w:rPr>
                <w:b/>
                <w:bCs/>
                <w:lang w:val="en-US"/>
              </w:rPr>
              <w:t>Yang,​ Lianping,​Liu,​ Chaojie,​Wang,​ Lijun,​Yin,​ Xi,​Zhang,​ Xinping</w:t>
            </w:r>
            <w:r>
              <w:rPr>
                <w:lang w:val="en-US"/>
              </w:rPr>
              <w:t xml:space="preserve">. Public reporting improves antibiotic prescribing for upper respiratory tract infections in primary care: a matched-pair cluster-randomized trial in China. </w:t>
            </w:r>
            <w:r>
              <w:rPr>
                <w:i/>
                <w:iCs/>
              </w:rPr>
              <w:t>Health research policy and systems.</w:t>
            </w:r>
            <w:r>
              <w:t xml:space="preserve"> 2014. 12:61</w:t>
            </w:r>
          </w:p>
        </w:tc>
      </w:tr>
      <w:tr w:rsidR="00503C32" w14:paraId="6A954250" w14:textId="77777777" w:rsidTr="004379C1">
        <w:tc>
          <w:tcPr>
            <w:tcW w:w="0" w:type="auto"/>
            <w:tcMar>
              <w:top w:w="15" w:type="dxa"/>
              <w:left w:w="15" w:type="dxa"/>
              <w:bottom w:w="15" w:type="dxa"/>
              <w:right w:w="15" w:type="dxa"/>
            </w:tcMar>
            <w:hideMark/>
          </w:tcPr>
          <w:p w14:paraId="0B738A82" w14:textId="77777777" w:rsidR="00503C32" w:rsidRDefault="00503C32" w:rsidP="004379C1">
            <w:pPr>
              <w:spacing w:before="30" w:after="30"/>
              <w:ind w:left="60" w:right="60"/>
            </w:pPr>
            <w:r>
              <w:rPr>
                <w:b/>
                <w:bCs/>
                <w:lang w:val="en-US"/>
              </w:rPr>
              <w:t>Yip,​ Winnie,​Powell-Jackson,​ Timothy,​Chen,​ Wen,​Hu,​ Min,​Fe,​ Eduardo,​Hu,​ Mu,​Jian,​ Weiyan,​Lu,​ Ming,​Han,​ Wei,​Hsiao,​ William C.</w:t>
            </w:r>
            <w:r>
              <w:rPr>
                <w:lang w:val="en-US"/>
              </w:rPr>
              <w:t xml:space="preserve">. Capitation combined with pay-for-performance improves antibiotic prescribing practices in rural China. </w:t>
            </w:r>
            <w:r>
              <w:rPr>
                <w:i/>
                <w:iCs/>
              </w:rPr>
              <w:t>Health affairs (Project Hope).</w:t>
            </w:r>
            <w:r>
              <w:t xml:space="preserve"> 2014. 33:502-10</w:t>
            </w:r>
          </w:p>
        </w:tc>
      </w:tr>
      <w:tr w:rsidR="00503C32" w14:paraId="47226332" w14:textId="77777777" w:rsidTr="004379C1">
        <w:tc>
          <w:tcPr>
            <w:tcW w:w="0" w:type="auto"/>
            <w:tcMar>
              <w:top w:w="15" w:type="dxa"/>
              <w:left w:w="15" w:type="dxa"/>
              <w:bottom w:w="15" w:type="dxa"/>
              <w:right w:w="15" w:type="dxa"/>
            </w:tcMar>
            <w:hideMark/>
          </w:tcPr>
          <w:p w14:paraId="7B1DF3E4" w14:textId="77777777" w:rsidR="00503C32" w:rsidRDefault="00503C32" w:rsidP="004379C1">
            <w:pPr>
              <w:spacing w:before="30" w:after="30"/>
              <w:ind w:left="60" w:right="60"/>
            </w:pPr>
            <w:r>
              <w:rPr>
                <w:b/>
                <w:bCs/>
                <w:lang w:val="en-US"/>
              </w:rPr>
              <w:t>Zeiger,​ R. S.,​Schatz,​ M.,​Li,​ Q.,​Solari,​ P. G.,​Zazzali,​ J. L.,​Chen,​ W.</w:t>
            </w:r>
            <w:r>
              <w:rPr>
                <w:lang w:val="en-US"/>
              </w:rPr>
              <w:t xml:space="preserve">. Real-time asthma outreach reduces excessive short-acting </w:t>
            </w:r>
            <w:r>
              <w:t>β</w:t>
            </w:r>
            <w:r>
              <w:rPr>
                <w:lang w:val="en-US"/>
              </w:rPr>
              <w:t xml:space="preserve">2-agonist use: a randomized study. </w:t>
            </w:r>
            <w:r>
              <w:rPr>
                <w:i/>
                <w:iCs/>
              </w:rPr>
              <w:t>J Allergy Clin Immunol Pract.</w:t>
            </w:r>
            <w:r>
              <w:t xml:space="preserve"> 2014. 2:445-456,​ 456.e1-5</w:t>
            </w:r>
          </w:p>
        </w:tc>
      </w:tr>
      <w:tr w:rsidR="00503C32" w14:paraId="0F94F6AD" w14:textId="77777777" w:rsidTr="004379C1">
        <w:tc>
          <w:tcPr>
            <w:tcW w:w="0" w:type="auto"/>
            <w:tcMar>
              <w:top w:w="15" w:type="dxa"/>
              <w:left w:w="15" w:type="dxa"/>
              <w:bottom w:w="15" w:type="dxa"/>
              <w:right w:w="15" w:type="dxa"/>
            </w:tcMar>
            <w:hideMark/>
          </w:tcPr>
          <w:p w14:paraId="0D444843" w14:textId="77777777" w:rsidR="00503C32" w:rsidRDefault="00503C32" w:rsidP="004379C1">
            <w:pPr>
              <w:spacing w:before="30" w:after="30"/>
              <w:ind w:left="60" w:right="60"/>
            </w:pPr>
            <w:r>
              <w:rPr>
                <w:b/>
                <w:bCs/>
                <w:lang w:val="en-US"/>
              </w:rPr>
              <w:t>Zwar,​ N.,​Wolk,​ J.,​Gordon,​ J.,​Sanson-Fisher,​ R.,​Kehoe,​ L.</w:t>
            </w:r>
            <w:r>
              <w:rPr>
                <w:lang w:val="en-US"/>
              </w:rPr>
              <w:t xml:space="preserve">. Influencing antibiotic prescribing in general practice: a trial of prescriber feedback and management guidelines. </w:t>
            </w:r>
            <w:r>
              <w:rPr>
                <w:i/>
                <w:iCs/>
              </w:rPr>
              <w:t>Family practice.</w:t>
            </w:r>
            <w:r>
              <w:t xml:space="preserve"> 1999. 16:495-500</w:t>
            </w:r>
          </w:p>
        </w:tc>
      </w:tr>
    </w:tbl>
    <w:p w14:paraId="60C8177F" w14:textId="77777777" w:rsidR="00503C32" w:rsidRPr="000F588F" w:rsidRDefault="00503C32" w:rsidP="000F588F">
      <w:pPr>
        <w:rPr>
          <w:lang w:val="en-US"/>
        </w:rPr>
      </w:pPr>
    </w:p>
    <w:sectPr w:rsidR="00503C32" w:rsidRPr="000F588F" w:rsidSect="00BD62DD">
      <w:pgSz w:w="11900" w:h="16840"/>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83312F" w14:textId="77777777" w:rsidR="009F1F85" w:rsidRDefault="009F1F85" w:rsidP="004379C1">
      <w:r>
        <w:separator/>
      </w:r>
    </w:p>
  </w:endnote>
  <w:endnote w:type="continuationSeparator" w:id="0">
    <w:p w14:paraId="436A9B73" w14:textId="77777777" w:rsidR="009F1F85" w:rsidRDefault="009F1F85" w:rsidP="00437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ource Sans Pro">
    <w:altName w:val="Arial"/>
    <w:panose1 w:val="00000000000000000000"/>
    <w:charset w:val="00"/>
    <w:family w:val="swiss"/>
    <w:notTrueType/>
    <w:pitch w:val="variable"/>
    <w:sig w:usb0="600002F7" w:usb1="02000001" w:usb2="00000000" w:usb3="00000000" w:csb0="0000019F" w:csb1="00000000"/>
  </w:font>
  <w:font w:name="Segoe UI">
    <w:altName w:val="Arial"/>
    <w:panose1 w:val="020B0502040204020203"/>
    <w:charset w:val="00"/>
    <w:family w:val="swiss"/>
    <w:pitch w:val="variable"/>
    <w:sig w:usb0="E4002EFF" w:usb1="C000E47F" w:usb2="00000009" w:usb3="00000000" w:csb0="000001FF" w:csb1="00000000"/>
  </w:font>
  <w:font w:name="Helvetica Neue">
    <w:altName w:val="Corbel"/>
    <w:charset w:val="00"/>
    <w:family w:val="auto"/>
    <w:pitch w:val="variable"/>
    <w:sig w:usb0="00000003" w:usb1="500079DB" w:usb2="0000001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188948310"/>
      <w:docPartObj>
        <w:docPartGallery w:val="Page Numbers (Bottom of Page)"/>
        <w:docPartUnique/>
      </w:docPartObj>
    </w:sdtPr>
    <w:sdtEndPr>
      <w:rPr>
        <w:rStyle w:val="PageNumber"/>
      </w:rPr>
    </w:sdtEndPr>
    <w:sdtContent>
      <w:p w14:paraId="04259434" w14:textId="77777777" w:rsidR="00D8066A" w:rsidRDefault="00D8066A" w:rsidP="004379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B3363B" w14:textId="77777777" w:rsidR="00D8066A" w:rsidRDefault="00D8066A" w:rsidP="004379C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21834014"/>
      <w:docPartObj>
        <w:docPartGallery w:val="Page Numbers (Bottom of Page)"/>
        <w:docPartUnique/>
      </w:docPartObj>
    </w:sdtPr>
    <w:sdtEndPr>
      <w:rPr>
        <w:rStyle w:val="PageNumber"/>
      </w:rPr>
    </w:sdtEndPr>
    <w:sdtContent>
      <w:p w14:paraId="7C260C63" w14:textId="77777777" w:rsidR="00D8066A" w:rsidRDefault="00D8066A" w:rsidP="004379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36CD9">
          <w:rPr>
            <w:rStyle w:val="PageNumber"/>
            <w:noProof/>
          </w:rPr>
          <w:t>1</w:t>
        </w:r>
        <w:r>
          <w:rPr>
            <w:rStyle w:val="PageNumber"/>
          </w:rPr>
          <w:fldChar w:fldCharType="end"/>
        </w:r>
      </w:p>
    </w:sdtContent>
  </w:sdt>
  <w:p w14:paraId="5AB63696" w14:textId="77777777" w:rsidR="00D8066A" w:rsidRDefault="00D8066A" w:rsidP="004379C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4631A3" w14:textId="77777777" w:rsidR="009F1F85" w:rsidRDefault="009F1F85" w:rsidP="004379C1">
      <w:r>
        <w:separator/>
      </w:r>
    </w:p>
  </w:footnote>
  <w:footnote w:type="continuationSeparator" w:id="0">
    <w:p w14:paraId="0BEDDAE7" w14:textId="77777777" w:rsidR="009F1F85" w:rsidRDefault="009F1F85" w:rsidP="004379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91D76"/>
    <w:multiLevelType w:val="hybridMultilevel"/>
    <w:tmpl w:val="C87E0872"/>
    <w:lvl w:ilvl="0" w:tplc="2C644300">
      <w:start w:val="1"/>
      <w:numFmt w:val="decimal"/>
      <w:lvlText w:val="%1."/>
      <w:lvlJc w:val="left"/>
      <w:pPr>
        <w:ind w:left="720" w:hanging="360"/>
      </w:pPr>
      <w:rPr>
        <w:rFonts w:ascii="Arial" w:hAnsi="Arial" w:cs="Arial" w:hint="default"/>
        <w:color w:val="30303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0415CB"/>
    <w:multiLevelType w:val="hybridMultilevel"/>
    <w:tmpl w:val="24C63F68"/>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A91D97"/>
    <w:multiLevelType w:val="hybridMultilevel"/>
    <w:tmpl w:val="BC905B16"/>
    <w:lvl w:ilvl="0" w:tplc="17D4A0E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0A1D61"/>
    <w:multiLevelType w:val="hybridMultilevel"/>
    <w:tmpl w:val="5C582D7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93366C"/>
    <w:multiLevelType w:val="hybridMultilevel"/>
    <w:tmpl w:val="24C63F68"/>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BE539D"/>
    <w:multiLevelType w:val="hybridMultilevel"/>
    <w:tmpl w:val="CAD60772"/>
    <w:lvl w:ilvl="0" w:tplc="18BC484C">
      <w:start w:val="1"/>
      <w:numFmt w:val="decimal"/>
      <w:lvlText w:val="%1."/>
      <w:lvlJc w:val="left"/>
      <w:pPr>
        <w:ind w:left="720" w:hanging="360"/>
      </w:pPr>
    </w:lvl>
    <w:lvl w:ilvl="1" w:tplc="FE9E9488">
      <w:start w:val="1"/>
      <w:numFmt w:val="lowerLetter"/>
      <w:lvlText w:val="%2."/>
      <w:lvlJc w:val="left"/>
      <w:pPr>
        <w:ind w:left="1440" w:hanging="360"/>
      </w:pPr>
    </w:lvl>
    <w:lvl w:ilvl="2" w:tplc="9C609CB0">
      <w:start w:val="1"/>
      <w:numFmt w:val="lowerRoman"/>
      <w:lvlText w:val="%3."/>
      <w:lvlJc w:val="right"/>
      <w:pPr>
        <w:ind w:left="2160" w:hanging="180"/>
      </w:pPr>
    </w:lvl>
    <w:lvl w:ilvl="3" w:tplc="77C8CBE8">
      <w:start w:val="1"/>
      <w:numFmt w:val="decimal"/>
      <w:lvlText w:val="%4."/>
      <w:lvlJc w:val="left"/>
      <w:pPr>
        <w:ind w:left="2880" w:hanging="360"/>
      </w:pPr>
    </w:lvl>
    <w:lvl w:ilvl="4" w:tplc="08A4DA02">
      <w:start w:val="1"/>
      <w:numFmt w:val="lowerLetter"/>
      <w:lvlText w:val="%5."/>
      <w:lvlJc w:val="left"/>
      <w:pPr>
        <w:ind w:left="3600" w:hanging="360"/>
      </w:pPr>
    </w:lvl>
    <w:lvl w:ilvl="5" w:tplc="0040F020">
      <w:start w:val="1"/>
      <w:numFmt w:val="lowerRoman"/>
      <w:lvlText w:val="%6."/>
      <w:lvlJc w:val="right"/>
      <w:pPr>
        <w:ind w:left="4320" w:hanging="180"/>
      </w:pPr>
    </w:lvl>
    <w:lvl w:ilvl="6" w:tplc="9726F6C6">
      <w:start w:val="1"/>
      <w:numFmt w:val="decimal"/>
      <w:lvlText w:val="%7."/>
      <w:lvlJc w:val="left"/>
      <w:pPr>
        <w:ind w:left="5040" w:hanging="360"/>
      </w:pPr>
    </w:lvl>
    <w:lvl w:ilvl="7" w:tplc="8D34AC98">
      <w:start w:val="1"/>
      <w:numFmt w:val="lowerLetter"/>
      <w:lvlText w:val="%8."/>
      <w:lvlJc w:val="left"/>
      <w:pPr>
        <w:ind w:left="5760" w:hanging="360"/>
      </w:pPr>
    </w:lvl>
    <w:lvl w:ilvl="8" w:tplc="B50C4192">
      <w:start w:val="1"/>
      <w:numFmt w:val="lowerRoman"/>
      <w:lvlText w:val="%9."/>
      <w:lvlJc w:val="right"/>
      <w:pPr>
        <w:ind w:left="6480" w:hanging="180"/>
      </w:pPr>
    </w:lvl>
  </w:abstractNum>
  <w:abstractNum w:abstractNumId="6">
    <w:nsid w:val="413263FD"/>
    <w:multiLevelType w:val="hybridMultilevel"/>
    <w:tmpl w:val="2EE08F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37E059E"/>
    <w:multiLevelType w:val="hybridMultilevel"/>
    <w:tmpl w:val="2DE64A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641E14"/>
    <w:multiLevelType w:val="hybridMultilevel"/>
    <w:tmpl w:val="24C63F68"/>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DBE3852"/>
    <w:multiLevelType w:val="hybridMultilevel"/>
    <w:tmpl w:val="D16EE8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BEB7017"/>
    <w:multiLevelType w:val="multilevel"/>
    <w:tmpl w:val="BD8AD698"/>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702622B1"/>
    <w:multiLevelType w:val="hybridMultilevel"/>
    <w:tmpl w:val="B686E7F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11"/>
  </w:num>
  <w:num w:numId="4">
    <w:abstractNumId w:val="6"/>
  </w:num>
  <w:num w:numId="5">
    <w:abstractNumId w:val="3"/>
  </w:num>
  <w:num w:numId="6">
    <w:abstractNumId w:val="7"/>
  </w:num>
  <w:num w:numId="7">
    <w:abstractNumId w:val="2"/>
  </w:num>
  <w:num w:numId="8">
    <w:abstractNumId w:val="5"/>
  </w:num>
  <w:num w:numId="9">
    <w:abstractNumId w:val="9"/>
  </w:num>
  <w:num w:numId="10">
    <w:abstractNumId w:val="8"/>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912"/>
    <w:rsid w:val="000123ED"/>
    <w:rsid w:val="0001383C"/>
    <w:rsid w:val="000171B8"/>
    <w:rsid w:val="00025579"/>
    <w:rsid w:val="000411E9"/>
    <w:rsid w:val="0005052E"/>
    <w:rsid w:val="00055FE2"/>
    <w:rsid w:val="000654CE"/>
    <w:rsid w:val="000655DA"/>
    <w:rsid w:val="00065EE4"/>
    <w:rsid w:val="00066D96"/>
    <w:rsid w:val="0007617D"/>
    <w:rsid w:val="00080093"/>
    <w:rsid w:val="0009569A"/>
    <w:rsid w:val="000A2D5F"/>
    <w:rsid w:val="000C0EC1"/>
    <w:rsid w:val="000E1D7C"/>
    <w:rsid w:val="000E4DAA"/>
    <w:rsid w:val="000F0364"/>
    <w:rsid w:val="000F550D"/>
    <w:rsid w:val="000F588F"/>
    <w:rsid w:val="0010418C"/>
    <w:rsid w:val="001112AB"/>
    <w:rsid w:val="00117423"/>
    <w:rsid w:val="00126ABC"/>
    <w:rsid w:val="001413D1"/>
    <w:rsid w:val="00174F46"/>
    <w:rsid w:val="00192183"/>
    <w:rsid w:val="001B1CB8"/>
    <w:rsid w:val="001B3A75"/>
    <w:rsid w:val="001C39A5"/>
    <w:rsid w:val="001D7165"/>
    <w:rsid w:val="001F4829"/>
    <w:rsid w:val="002029AD"/>
    <w:rsid w:val="002043C9"/>
    <w:rsid w:val="00224DFF"/>
    <w:rsid w:val="00230197"/>
    <w:rsid w:val="0024192B"/>
    <w:rsid w:val="00254A0F"/>
    <w:rsid w:val="00277E80"/>
    <w:rsid w:val="002808AC"/>
    <w:rsid w:val="00287C56"/>
    <w:rsid w:val="002B6EA9"/>
    <w:rsid w:val="002E4DCF"/>
    <w:rsid w:val="0030507B"/>
    <w:rsid w:val="003252DD"/>
    <w:rsid w:val="00332D9B"/>
    <w:rsid w:val="00334A34"/>
    <w:rsid w:val="003548FB"/>
    <w:rsid w:val="003705C7"/>
    <w:rsid w:val="00380830"/>
    <w:rsid w:val="003852CD"/>
    <w:rsid w:val="003B00F1"/>
    <w:rsid w:val="003D3DD8"/>
    <w:rsid w:val="003E44E3"/>
    <w:rsid w:val="00402826"/>
    <w:rsid w:val="00422CCD"/>
    <w:rsid w:val="004347F6"/>
    <w:rsid w:val="004379C1"/>
    <w:rsid w:val="00453F58"/>
    <w:rsid w:val="004726BA"/>
    <w:rsid w:val="00490F2F"/>
    <w:rsid w:val="00492DD7"/>
    <w:rsid w:val="00493B4D"/>
    <w:rsid w:val="004B3D37"/>
    <w:rsid w:val="004B7DF2"/>
    <w:rsid w:val="004C0AB2"/>
    <w:rsid w:val="004E38F0"/>
    <w:rsid w:val="004E6D1C"/>
    <w:rsid w:val="004F381E"/>
    <w:rsid w:val="00503C32"/>
    <w:rsid w:val="005153DC"/>
    <w:rsid w:val="00522453"/>
    <w:rsid w:val="00531646"/>
    <w:rsid w:val="00531912"/>
    <w:rsid w:val="00547DF8"/>
    <w:rsid w:val="00562FD9"/>
    <w:rsid w:val="005813FD"/>
    <w:rsid w:val="005A03A0"/>
    <w:rsid w:val="005B667C"/>
    <w:rsid w:val="005B742D"/>
    <w:rsid w:val="005C180D"/>
    <w:rsid w:val="005E2768"/>
    <w:rsid w:val="0061429C"/>
    <w:rsid w:val="0061751D"/>
    <w:rsid w:val="00640035"/>
    <w:rsid w:val="006440F7"/>
    <w:rsid w:val="00650344"/>
    <w:rsid w:val="00654561"/>
    <w:rsid w:val="00684098"/>
    <w:rsid w:val="006917C1"/>
    <w:rsid w:val="006978C7"/>
    <w:rsid w:val="00697DDC"/>
    <w:rsid w:val="006C24F1"/>
    <w:rsid w:val="006D1E20"/>
    <w:rsid w:val="006E52B6"/>
    <w:rsid w:val="006E5FFE"/>
    <w:rsid w:val="006F43E6"/>
    <w:rsid w:val="00717A30"/>
    <w:rsid w:val="007675B1"/>
    <w:rsid w:val="00786AEA"/>
    <w:rsid w:val="007B0EF6"/>
    <w:rsid w:val="007B17D7"/>
    <w:rsid w:val="007C3FED"/>
    <w:rsid w:val="007E1620"/>
    <w:rsid w:val="007E421C"/>
    <w:rsid w:val="007F2381"/>
    <w:rsid w:val="008109E7"/>
    <w:rsid w:val="00822979"/>
    <w:rsid w:val="00852CA1"/>
    <w:rsid w:val="00864BBD"/>
    <w:rsid w:val="00865DC1"/>
    <w:rsid w:val="00874C53"/>
    <w:rsid w:val="0088423B"/>
    <w:rsid w:val="00893374"/>
    <w:rsid w:val="008A2062"/>
    <w:rsid w:val="008B4EA7"/>
    <w:rsid w:val="008C06F9"/>
    <w:rsid w:val="008C3EA6"/>
    <w:rsid w:val="008D26E9"/>
    <w:rsid w:val="008D4555"/>
    <w:rsid w:val="008D5542"/>
    <w:rsid w:val="008F0556"/>
    <w:rsid w:val="00916BEF"/>
    <w:rsid w:val="00940513"/>
    <w:rsid w:val="009A60D2"/>
    <w:rsid w:val="009B5502"/>
    <w:rsid w:val="009C1A08"/>
    <w:rsid w:val="009C44E4"/>
    <w:rsid w:val="009E02C3"/>
    <w:rsid w:val="009E1BB2"/>
    <w:rsid w:val="009F1F85"/>
    <w:rsid w:val="00A0721F"/>
    <w:rsid w:val="00A07C1A"/>
    <w:rsid w:val="00A14F85"/>
    <w:rsid w:val="00A16D7D"/>
    <w:rsid w:val="00A5282A"/>
    <w:rsid w:val="00A5351F"/>
    <w:rsid w:val="00A57B35"/>
    <w:rsid w:val="00A87FE6"/>
    <w:rsid w:val="00AC3694"/>
    <w:rsid w:val="00B23126"/>
    <w:rsid w:val="00B302EE"/>
    <w:rsid w:val="00B37CE3"/>
    <w:rsid w:val="00B51982"/>
    <w:rsid w:val="00B548F0"/>
    <w:rsid w:val="00B63FC9"/>
    <w:rsid w:val="00B8228C"/>
    <w:rsid w:val="00B951A2"/>
    <w:rsid w:val="00B97A1A"/>
    <w:rsid w:val="00BD62DD"/>
    <w:rsid w:val="00BE0921"/>
    <w:rsid w:val="00C0275D"/>
    <w:rsid w:val="00C174D9"/>
    <w:rsid w:val="00C2483C"/>
    <w:rsid w:val="00C43215"/>
    <w:rsid w:val="00C46151"/>
    <w:rsid w:val="00C8483A"/>
    <w:rsid w:val="00CA76A4"/>
    <w:rsid w:val="00CB5B50"/>
    <w:rsid w:val="00CD256A"/>
    <w:rsid w:val="00CF2902"/>
    <w:rsid w:val="00CF4165"/>
    <w:rsid w:val="00D021FD"/>
    <w:rsid w:val="00D200D7"/>
    <w:rsid w:val="00D275A8"/>
    <w:rsid w:val="00D318CD"/>
    <w:rsid w:val="00D54AAB"/>
    <w:rsid w:val="00D71D9E"/>
    <w:rsid w:val="00D75259"/>
    <w:rsid w:val="00D76C0A"/>
    <w:rsid w:val="00D8066A"/>
    <w:rsid w:val="00D93339"/>
    <w:rsid w:val="00DB6275"/>
    <w:rsid w:val="00DC10C5"/>
    <w:rsid w:val="00DD76E2"/>
    <w:rsid w:val="00DF7B51"/>
    <w:rsid w:val="00DF7C24"/>
    <w:rsid w:val="00E03D27"/>
    <w:rsid w:val="00E1763A"/>
    <w:rsid w:val="00E8261C"/>
    <w:rsid w:val="00EA3AD8"/>
    <w:rsid w:val="00EA54DC"/>
    <w:rsid w:val="00EB575F"/>
    <w:rsid w:val="00EB674C"/>
    <w:rsid w:val="00ED474A"/>
    <w:rsid w:val="00EF615C"/>
    <w:rsid w:val="00F04D7F"/>
    <w:rsid w:val="00F051C0"/>
    <w:rsid w:val="00F31C47"/>
    <w:rsid w:val="00F36CD9"/>
    <w:rsid w:val="00F552CD"/>
    <w:rsid w:val="00F71272"/>
    <w:rsid w:val="00F75606"/>
    <w:rsid w:val="00F91980"/>
    <w:rsid w:val="00FA3316"/>
    <w:rsid w:val="00FB731D"/>
    <w:rsid w:val="00FC287B"/>
    <w:rsid w:val="00FE2084"/>
    <w:rsid w:val="00FE61D6"/>
    <w:rsid w:val="00FF409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AE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D96"/>
    <w:rPr>
      <w:rFonts w:ascii="Times New Roman" w:eastAsia="Times New Roman" w:hAnsi="Times New Roman" w:cs="Times New Roman"/>
    </w:rPr>
  </w:style>
  <w:style w:type="paragraph" w:styleId="Heading1">
    <w:name w:val="heading 1"/>
    <w:basedOn w:val="Normal"/>
    <w:next w:val="Normal"/>
    <w:link w:val="Heading1Char"/>
    <w:uiPriority w:val="9"/>
    <w:qFormat/>
    <w:rsid w:val="0053191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3191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191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31912"/>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531912"/>
    <w:pPr>
      <w:ind w:left="720"/>
      <w:contextualSpacing/>
    </w:pPr>
  </w:style>
  <w:style w:type="paragraph" w:styleId="NoSpacing">
    <w:name w:val="No Spacing"/>
    <w:uiPriority w:val="1"/>
    <w:qFormat/>
    <w:rsid w:val="005B742D"/>
    <w:rPr>
      <w:rFonts w:ascii="Calibri" w:eastAsia="Calibri" w:hAnsi="Calibri" w:cs="Times New Roman"/>
      <w:sz w:val="22"/>
      <w:szCs w:val="22"/>
      <w:lang w:val="en-CA"/>
    </w:rPr>
  </w:style>
  <w:style w:type="paragraph" w:customStyle="1" w:styleId="c-bibliographic-informationcitation">
    <w:name w:val="c-bibliographic-information__citation"/>
    <w:basedOn w:val="Normal"/>
    <w:rsid w:val="00F04D7F"/>
    <w:pPr>
      <w:spacing w:before="100" w:beforeAutospacing="1" w:after="100" w:afterAutospacing="1"/>
    </w:pPr>
  </w:style>
  <w:style w:type="paragraph" w:styleId="CommentText">
    <w:name w:val="annotation text"/>
    <w:basedOn w:val="Normal"/>
    <w:link w:val="CommentTextChar"/>
    <w:uiPriority w:val="99"/>
    <w:unhideWhenUsed/>
    <w:rsid w:val="0088423B"/>
    <w:pPr>
      <w:spacing w:after="160"/>
    </w:pPr>
    <w:rPr>
      <w:rFonts w:eastAsiaTheme="minorEastAsia"/>
      <w:sz w:val="20"/>
      <w:szCs w:val="20"/>
      <w:lang w:val="en-AU" w:eastAsia="zh-CN"/>
    </w:rPr>
  </w:style>
  <w:style w:type="character" w:customStyle="1" w:styleId="CommentTextChar">
    <w:name w:val="Comment Text Char"/>
    <w:basedOn w:val="DefaultParagraphFont"/>
    <w:link w:val="CommentText"/>
    <w:uiPriority w:val="99"/>
    <w:rsid w:val="0088423B"/>
    <w:rPr>
      <w:rFonts w:eastAsiaTheme="minorEastAsia"/>
      <w:sz w:val="20"/>
      <w:szCs w:val="20"/>
      <w:lang w:val="en-AU" w:eastAsia="zh-CN"/>
    </w:rPr>
  </w:style>
  <w:style w:type="paragraph" w:customStyle="1" w:styleId="Default">
    <w:name w:val="Default"/>
    <w:rsid w:val="0088423B"/>
    <w:pPr>
      <w:widowControl w:val="0"/>
      <w:autoSpaceDE w:val="0"/>
      <w:autoSpaceDN w:val="0"/>
      <w:adjustRightInd w:val="0"/>
    </w:pPr>
    <w:rPr>
      <w:rFonts w:ascii="Calibri" w:eastAsia="Times New Roman" w:hAnsi="Calibri" w:cs="Calibri"/>
      <w:color w:val="000000"/>
      <w:lang w:val="en-CA" w:eastAsia="en-CA"/>
    </w:rPr>
  </w:style>
  <w:style w:type="paragraph" w:customStyle="1" w:styleId="CM1">
    <w:name w:val="CM1"/>
    <w:basedOn w:val="Default"/>
    <w:next w:val="Default"/>
    <w:rsid w:val="0088423B"/>
    <w:rPr>
      <w:rFonts w:cs="Times New Roman"/>
      <w:color w:val="auto"/>
    </w:rPr>
  </w:style>
  <w:style w:type="character" w:styleId="Hyperlink">
    <w:name w:val="Hyperlink"/>
    <w:rsid w:val="0088423B"/>
    <w:rPr>
      <w:color w:val="0563C1"/>
      <w:u w:val="single"/>
    </w:rPr>
  </w:style>
  <w:style w:type="paragraph" w:styleId="Caption">
    <w:name w:val="caption"/>
    <w:basedOn w:val="Normal"/>
    <w:next w:val="Normal"/>
    <w:uiPriority w:val="35"/>
    <w:unhideWhenUsed/>
    <w:qFormat/>
    <w:rsid w:val="000F588F"/>
    <w:pPr>
      <w:spacing w:after="200"/>
    </w:pPr>
    <w:rPr>
      <w:i/>
      <w:iCs/>
      <w:color w:val="44546A" w:themeColor="text2"/>
      <w:sz w:val="18"/>
      <w:szCs w:val="18"/>
    </w:rPr>
  </w:style>
  <w:style w:type="paragraph" w:styleId="Footer">
    <w:name w:val="footer"/>
    <w:basedOn w:val="Normal"/>
    <w:link w:val="FooterChar"/>
    <w:uiPriority w:val="99"/>
    <w:unhideWhenUsed/>
    <w:rsid w:val="004379C1"/>
    <w:pPr>
      <w:tabs>
        <w:tab w:val="center" w:pos="4986"/>
        <w:tab w:val="right" w:pos="9972"/>
      </w:tabs>
    </w:pPr>
  </w:style>
  <w:style w:type="character" w:customStyle="1" w:styleId="FooterChar">
    <w:name w:val="Footer Char"/>
    <w:basedOn w:val="DefaultParagraphFont"/>
    <w:link w:val="Footer"/>
    <w:uiPriority w:val="99"/>
    <w:rsid w:val="004379C1"/>
  </w:style>
  <w:style w:type="character" w:styleId="PageNumber">
    <w:name w:val="page number"/>
    <w:basedOn w:val="DefaultParagraphFont"/>
    <w:uiPriority w:val="99"/>
    <w:semiHidden/>
    <w:unhideWhenUsed/>
    <w:rsid w:val="004379C1"/>
  </w:style>
  <w:style w:type="character" w:styleId="CommentReference">
    <w:name w:val="annotation reference"/>
    <w:basedOn w:val="DefaultParagraphFont"/>
    <w:uiPriority w:val="99"/>
    <w:semiHidden/>
    <w:unhideWhenUsed/>
    <w:rsid w:val="004379C1"/>
    <w:rPr>
      <w:sz w:val="16"/>
      <w:szCs w:val="16"/>
    </w:rPr>
  </w:style>
  <w:style w:type="paragraph" w:styleId="CommentSubject">
    <w:name w:val="annotation subject"/>
    <w:basedOn w:val="CommentText"/>
    <w:next w:val="CommentText"/>
    <w:link w:val="CommentSubjectChar"/>
    <w:uiPriority w:val="99"/>
    <w:semiHidden/>
    <w:unhideWhenUsed/>
    <w:rsid w:val="004379C1"/>
    <w:pPr>
      <w:spacing w:after="0"/>
    </w:pPr>
    <w:rPr>
      <w:rFonts w:eastAsiaTheme="minorHAnsi"/>
      <w:b/>
      <w:bCs/>
      <w:lang w:val="fi-FI" w:eastAsia="en-US"/>
    </w:rPr>
  </w:style>
  <w:style w:type="character" w:customStyle="1" w:styleId="CommentSubjectChar">
    <w:name w:val="Comment Subject Char"/>
    <w:basedOn w:val="CommentTextChar"/>
    <w:link w:val="CommentSubject"/>
    <w:uiPriority w:val="99"/>
    <w:semiHidden/>
    <w:rsid w:val="004379C1"/>
    <w:rPr>
      <w:rFonts w:eastAsiaTheme="minorEastAsia"/>
      <w:b/>
      <w:bCs/>
      <w:sz w:val="20"/>
      <w:szCs w:val="20"/>
      <w:lang w:val="en-AU" w:eastAsia="zh-CN"/>
    </w:rPr>
  </w:style>
  <w:style w:type="paragraph" w:styleId="BalloonText">
    <w:name w:val="Balloon Text"/>
    <w:basedOn w:val="Normal"/>
    <w:link w:val="BalloonTextChar"/>
    <w:uiPriority w:val="99"/>
    <w:semiHidden/>
    <w:unhideWhenUsed/>
    <w:rsid w:val="004379C1"/>
    <w:rPr>
      <w:sz w:val="18"/>
      <w:szCs w:val="18"/>
    </w:rPr>
  </w:style>
  <w:style w:type="character" w:customStyle="1" w:styleId="BalloonTextChar">
    <w:name w:val="Balloon Text Char"/>
    <w:basedOn w:val="DefaultParagraphFont"/>
    <w:link w:val="BalloonText"/>
    <w:uiPriority w:val="99"/>
    <w:semiHidden/>
    <w:rsid w:val="004379C1"/>
    <w:rPr>
      <w:rFonts w:ascii="Times New Roman" w:hAnsi="Times New Roman" w:cs="Times New Roman"/>
      <w:sz w:val="18"/>
      <w:szCs w:val="18"/>
    </w:rPr>
  </w:style>
  <w:style w:type="character" w:customStyle="1" w:styleId="UnresolvedMention">
    <w:name w:val="Unresolved Mention"/>
    <w:basedOn w:val="DefaultParagraphFont"/>
    <w:uiPriority w:val="99"/>
    <w:semiHidden/>
    <w:unhideWhenUsed/>
    <w:rsid w:val="00EB674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D96"/>
    <w:rPr>
      <w:rFonts w:ascii="Times New Roman" w:eastAsia="Times New Roman" w:hAnsi="Times New Roman" w:cs="Times New Roman"/>
    </w:rPr>
  </w:style>
  <w:style w:type="paragraph" w:styleId="Heading1">
    <w:name w:val="heading 1"/>
    <w:basedOn w:val="Normal"/>
    <w:next w:val="Normal"/>
    <w:link w:val="Heading1Char"/>
    <w:uiPriority w:val="9"/>
    <w:qFormat/>
    <w:rsid w:val="0053191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3191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191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31912"/>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531912"/>
    <w:pPr>
      <w:ind w:left="720"/>
      <w:contextualSpacing/>
    </w:pPr>
  </w:style>
  <w:style w:type="paragraph" w:styleId="NoSpacing">
    <w:name w:val="No Spacing"/>
    <w:uiPriority w:val="1"/>
    <w:qFormat/>
    <w:rsid w:val="005B742D"/>
    <w:rPr>
      <w:rFonts w:ascii="Calibri" w:eastAsia="Calibri" w:hAnsi="Calibri" w:cs="Times New Roman"/>
      <w:sz w:val="22"/>
      <w:szCs w:val="22"/>
      <w:lang w:val="en-CA"/>
    </w:rPr>
  </w:style>
  <w:style w:type="paragraph" w:customStyle="1" w:styleId="c-bibliographic-informationcitation">
    <w:name w:val="c-bibliographic-information__citation"/>
    <w:basedOn w:val="Normal"/>
    <w:rsid w:val="00F04D7F"/>
    <w:pPr>
      <w:spacing w:before="100" w:beforeAutospacing="1" w:after="100" w:afterAutospacing="1"/>
    </w:pPr>
  </w:style>
  <w:style w:type="paragraph" w:styleId="CommentText">
    <w:name w:val="annotation text"/>
    <w:basedOn w:val="Normal"/>
    <w:link w:val="CommentTextChar"/>
    <w:uiPriority w:val="99"/>
    <w:unhideWhenUsed/>
    <w:rsid w:val="0088423B"/>
    <w:pPr>
      <w:spacing w:after="160"/>
    </w:pPr>
    <w:rPr>
      <w:rFonts w:eastAsiaTheme="minorEastAsia"/>
      <w:sz w:val="20"/>
      <w:szCs w:val="20"/>
      <w:lang w:val="en-AU" w:eastAsia="zh-CN"/>
    </w:rPr>
  </w:style>
  <w:style w:type="character" w:customStyle="1" w:styleId="CommentTextChar">
    <w:name w:val="Comment Text Char"/>
    <w:basedOn w:val="DefaultParagraphFont"/>
    <w:link w:val="CommentText"/>
    <w:uiPriority w:val="99"/>
    <w:rsid w:val="0088423B"/>
    <w:rPr>
      <w:rFonts w:eastAsiaTheme="minorEastAsia"/>
      <w:sz w:val="20"/>
      <w:szCs w:val="20"/>
      <w:lang w:val="en-AU" w:eastAsia="zh-CN"/>
    </w:rPr>
  </w:style>
  <w:style w:type="paragraph" w:customStyle="1" w:styleId="Default">
    <w:name w:val="Default"/>
    <w:rsid w:val="0088423B"/>
    <w:pPr>
      <w:widowControl w:val="0"/>
      <w:autoSpaceDE w:val="0"/>
      <w:autoSpaceDN w:val="0"/>
      <w:adjustRightInd w:val="0"/>
    </w:pPr>
    <w:rPr>
      <w:rFonts w:ascii="Calibri" w:eastAsia="Times New Roman" w:hAnsi="Calibri" w:cs="Calibri"/>
      <w:color w:val="000000"/>
      <w:lang w:val="en-CA" w:eastAsia="en-CA"/>
    </w:rPr>
  </w:style>
  <w:style w:type="paragraph" w:customStyle="1" w:styleId="CM1">
    <w:name w:val="CM1"/>
    <w:basedOn w:val="Default"/>
    <w:next w:val="Default"/>
    <w:rsid w:val="0088423B"/>
    <w:rPr>
      <w:rFonts w:cs="Times New Roman"/>
      <w:color w:val="auto"/>
    </w:rPr>
  </w:style>
  <w:style w:type="character" w:styleId="Hyperlink">
    <w:name w:val="Hyperlink"/>
    <w:rsid w:val="0088423B"/>
    <w:rPr>
      <w:color w:val="0563C1"/>
      <w:u w:val="single"/>
    </w:rPr>
  </w:style>
  <w:style w:type="paragraph" w:styleId="Caption">
    <w:name w:val="caption"/>
    <w:basedOn w:val="Normal"/>
    <w:next w:val="Normal"/>
    <w:uiPriority w:val="35"/>
    <w:unhideWhenUsed/>
    <w:qFormat/>
    <w:rsid w:val="000F588F"/>
    <w:pPr>
      <w:spacing w:after="200"/>
    </w:pPr>
    <w:rPr>
      <w:i/>
      <w:iCs/>
      <w:color w:val="44546A" w:themeColor="text2"/>
      <w:sz w:val="18"/>
      <w:szCs w:val="18"/>
    </w:rPr>
  </w:style>
  <w:style w:type="paragraph" w:styleId="Footer">
    <w:name w:val="footer"/>
    <w:basedOn w:val="Normal"/>
    <w:link w:val="FooterChar"/>
    <w:uiPriority w:val="99"/>
    <w:unhideWhenUsed/>
    <w:rsid w:val="004379C1"/>
    <w:pPr>
      <w:tabs>
        <w:tab w:val="center" w:pos="4986"/>
        <w:tab w:val="right" w:pos="9972"/>
      </w:tabs>
    </w:pPr>
  </w:style>
  <w:style w:type="character" w:customStyle="1" w:styleId="FooterChar">
    <w:name w:val="Footer Char"/>
    <w:basedOn w:val="DefaultParagraphFont"/>
    <w:link w:val="Footer"/>
    <w:uiPriority w:val="99"/>
    <w:rsid w:val="004379C1"/>
  </w:style>
  <w:style w:type="character" w:styleId="PageNumber">
    <w:name w:val="page number"/>
    <w:basedOn w:val="DefaultParagraphFont"/>
    <w:uiPriority w:val="99"/>
    <w:semiHidden/>
    <w:unhideWhenUsed/>
    <w:rsid w:val="004379C1"/>
  </w:style>
  <w:style w:type="character" w:styleId="CommentReference">
    <w:name w:val="annotation reference"/>
    <w:basedOn w:val="DefaultParagraphFont"/>
    <w:uiPriority w:val="99"/>
    <w:semiHidden/>
    <w:unhideWhenUsed/>
    <w:rsid w:val="004379C1"/>
    <w:rPr>
      <w:sz w:val="16"/>
      <w:szCs w:val="16"/>
    </w:rPr>
  </w:style>
  <w:style w:type="paragraph" w:styleId="CommentSubject">
    <w:name w:val="annotation subject"/>
    <w:basedOn w:val="CommentText"/>
    <w:next w:val="CommentText"/>
    <w:link w:val="CommentSubjectChar"/>
    <w:uiPriority w:val="99"/>
    <w:semiHidden/>
    <w:unhideWhenUsed/>
    <w:rsid w:val="004379C1"/>
    <w:pPr>
      <w:spacing w:after="0"/>
    </w:pPr>
    <w:rPr>
      <w:rFonts w:eastAsiaTheme="minorHAnsi"/>
      <w:b/>
      <w:bCs/>
      <w:lang w:val="fi-FI" w:eastAsia="en-US"/>
    </w:rPr>
  </w:style>
  <w:style w:type="character" w:customStyle="1" w:styleId="CommentSubjectChar">
    <w:name w:val="Comment Subject Char"/>
    <w:basedOn w:val="CommentTextChar"/>
    <w:link w:val="CommentSubject"/>
    <w:uiPriority w:val="99"/>
    <w:semiHidden/>
    <w:rsid w:val="004379C1"/>
    <w:rPr>
      <w:rFonts w:eastAsiaTheme="minorEastAsia"/>
      <w:b/>
      <w:bCs/>
      <w:sz w:val="20"/>
      <w:szCs w:val="20"/>
      <w:lang w:val="en-AU" w:eastAsia="zh-CN"/>
    </w:rPr>
  </w:style>
  <w:style w:type="paragraph" w:styleId="BalloonText">
    <w:name w:val="Balloon Text"/>
    <w:basedOn w:val="Normal"/>
    <w:link w:val="BalloonTextChar"/>
    <w:uiPriority w:val="99"/>
    <w:semiHidden/>
    <w:unhideWhenUsed/>
    <w:rsid w:val="004379C1"/>
    <w:rPr>
      <w:sz w:val="18"/>
      <w:szCs w:val="18"/>
    </w:rPr>
  </w:style>
  <w:style w:type="character" w:customStyle="1" w:styleId="BalloonTextChar">
    <w:name w:val="Balloon Text Char"/>
    <w:basedOn w:val="DefaultParagraphFont"/>
    <w:link w:val="BalloonText"/>
    <w:uiPriority w:val="99"/>
    <w:semiHidden/>
    <w:rsid w:val="004379C1"/>
    <w:rPr>
      <w:rFonts w:ascii="Times New Roman" w:hAnsi="Times New Roman" w:cs="Times New Roman"/>
      <w:sz w:val="18"/>
      <w:szCs w:val="18"/>
    </w:rPr>
  </w:style>
  <w:style w:type="character" w:customStyle="1" w:styleId="UnresolvedMention">
    <w:name w:val="Unresolved Mention"/>
    <w:basedOn w:val="DefaultParagraphFont"/>
    <w:uiPriority w:val="99"/>
    <w:semiHidden/>
    <w:unhideWhenUsed/>
    <w:rsid w:val="00EB67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47045">
      <w:bodyDiv w:val="1"/>
      <w:marLeft w:val="0"/>
      <w:marRight w:val="0"/>
      <w:marTop w:val="0"/>
      <w:marBottom w:val="0"/>
      <w:divBdr>
        <w:top w:val="none" w:sz="0" w:space="0" w:color="auto"/>
        <w:left w:val="none" w:sz="0" w:space="0" w:color="auto"/>
        <w:bottom w:val="none" w:sz="0" w:space="0" w:color="auto"/>
        <w:right w:val="none" w:sz="0" w:space="0" w:color="auto"/>
      </w:divBdr>
    </w:div>
    <w:div w:id="62996145">
      <w:bodyDiv w:val="1"/>
      <w:marLeft w:val="0"/>
      <w:marRight w:val="0"/>
      <w:marTop w:val="0"/>
      <w:marBottom w:val="0"/>
      <w:divBdr>
        <w:top w:val="none" w:sz="0" w:space="0" w:color="auto"/>
        <w:left w:val="none" w:sz="0" w:space="0" w:color="auto"/>
        <w:bottom w:val="none" w:sz="0" w:space="0" w:color="auto"/>
        <w:right w:val="none" w:sz="0" w:space="0" w:color="auto"/>
      </w:divBdr>
    </w:div>
    <w:div w:id="142163748">
      <w:bodyDiv w:val="1"/>
      <w:marLeft w:val="0"/>
      <w:marRight w:val="0"/>
      <w:marTop w:val="0"/>
      <w:marBottom w:val="0"/>
      <w:divBdr>
        <w:top w:val="none" w:sz="0" w:space="0" w:color="auto"/>
        <w:left w:val="none" w:sz="0" w:space="0" w:color="auto"/>
        <w:bottom w:val="none" w:sz="0" w:space="0" w:color="auto"/>
        <w:right w:val="none" w:sz="0" w:space="0" w:color="auto"/>
      </w:divBdr>
    </w:div>
    <w:div w:id="173885692">
      <w:bodyDiv w:val="1"/>
      <w:marLeft w:val="0"/>
      <w:marRight w:val="0"/>
      <w:marTop w:val="0"/>
      <w:marBottom w:val="0"/>
      <w:divBdr>
        <w:top w:val="none" w:sz="0" w:space="0" w:color="auto"/>
        <w:left w:val="none" w:sz="0" w:space="0" w:color="auto"/>
        <w:bottom w:val="none" w:sz="0" w:space="0" w:color="auto"/>
        <w:right w:val="none" w:sz="0" w:space="0" w:color="auto"/>
      </w:divBdr>
    </w:div>
    <w:div w:id="198320223">
      <w:bodyDiv w:val="1"/>
      <w:marLeft w:val="0"/>
      <w:marRight w:val="0"/>
      <w:marTop w:val="0"/>
      <w:marBottom w:val="0"/>
      <w:divBdr>
        <w:top w:val="none" w:sz="0" w:space="0" w:color="auto"/>
        <w:left w:val="none" w:sz="0" w:space="0" w:color="auto"/>
        <w:bottom w:val="none" w:sz="0" w:space="0" w:color="auto"/>
        <w:right w:val="none" w:sz="0" w:space="0" w:color="auto"/>
      </w:divBdr>
    </w:div>
    <w:div w:id="251938637">
      <w:bodyDiv w:val="1"/>
      <w:marLeft w:val="0"/>
      <w:marRight w:val="0"/>
      <w:marTop w:val="0"/>
      <w:marBottom w:val="0"/>
      <w:divBdr>
        <w:top w:val="none" w:sz="0" w:space="0" w:color="auto"/>
        <w:left w:val="none" w:sz="0" w:space="0" w:color="auto"/>
        <w:bottom w:val="none" w:sz="0" w:space="0" w:color="auto"/>
        <w:right w:val="none" w:sz="0" w:space="0" w:color="auto"/>
      </w:divBdr>
    </w:div>
    <w:div w:id="351804072">
      <w:bodyDiv w:val="1"/>
      <w:marLeft w:val="0"/>
      <w:marRight w:val="0"/>
      <w:marTop w:val="0"/>
      <w:marBottom w:val="0"/>
      <w:divBdr>
        <w:top w:val="none" w:sz="0" w:space="0" w:color="auto"/>
        <w:left w:val="none" w:sz="0" w:space="0" w:color="auto"/>
        <w:bottom w:val="none" w:sz="0" w:space="0" w:color="auto"/>
        <w:right w:val="none" w:sz="0" w:space="0" w:color="auto"/>
      </w:divBdr>
    </w:div>
    <w:div w:id="447551790">
      <w:bodyDiv w:val="1"/>
      <w:marLeft w:val="0"/>
      <w:marRight w:val="0"/>
      <w:marTop w:val="0"/>
      <w:marBottom w:val="0"/>
      <w:divBdr>
        <w:top w:val="none" w:sz="0" w:space="0" w:color="auto"/>
        <w:left w:val="none" w:sz="0" w:space="0" w:color="auto"/>
        <w:bottom w:val="none" w:sz="0" w:space="0" w:color="auto"/>
        <w:right w:val="none" w:sz="0" w:space="0" w:color="auto"/>
      </w:divBdr>
      <w:divsChild>
        <w:div w:id="322053800">
          <w:marLeft w:val="0"/>
          <w:marRight w:val="0"/>
          <w:marTop w:val="0"/>
          <w:marBottom w:val="0"/>
          <w:divBdr>
            <w:top w:val="single" w:sz="6" w:space="0" w:color="5B616B"/>
            <w:left w:val="single" w:sz="6" w:space="0" w:color="5B616B"/>
            <w:bottom w:val="single" w:sz="6" w:space="0" w:color="5B616B"/>
            <w:right w:val="single" w:sz="6" w:space="0" w:color="5B616B"/>
          </w:divBdr>
        </w:div>
        <w:div w:id="63112316">
          <w:marLeft w:val="0"/>
          <w:marRight w:val="0"/>
          <w:marTop w:val="0"/>
          <w:marBottom w:val="0"/>
          <w:divBdr>
            <w:top w:val="none" w:sz="0" w:space="0" w:color="auto"/>
            <w:left w:val="none" w:sz="0" w:space="0" w:color="auto"/>
            <w:bottom w:val="none" w:sz="0" w:space="0" w:color="auto"/>
            <w:right w:val="none" w:sz="0" w:space="0" w:color="auto"/>
          </w:divBdr>
        </w:div>
      </w:divsChild>
    </w:div>
    <w:div w:id="447821994">
      <w:bodyDiv w:val="1"/>
      <w:marLeft w:val="0"/>
      <w:marRight w:val="0"/>
      <w:marTop w:val="0"/>
      <w:marBottom w:val="0"/>
      <w:divBdr>
        <w:top w:val="none" w:sz="0" w:space="0" w:color="auto"/>
        <w:left w:val="none" w:sz="0" w:space="0" w:color="auto"/>
        <w:bottom w:val="none" w:sz="0" w:space="0" w:color="auto"/>
        <w:right w:val="none" w:sz="0" w:space="0" w:color="auto"/>
      </w:divBdr>
    </w:div>
    <w:div w:id="525290388">
      <w:bodyDiv w:val="1"/>
      <w:marLeft w:val="0"/>
      <w:marRight w:val="0"/>
      <w:marTop w:val="0"/>
      <w:marBottom w:val="0"/>
      <w:divBdr>
        <w:top w:val="none" w:sz="0" w:space="0" w:color="auto"/>
        <w:left w:val="none" w:sz="0" w:space="0" w:color="auto"/>
        <w:bottom w:val="none" w:sz="0" w:space="0" w:color="auto"/>
        <w:right w:val="none" w:sz="0" w:space="0" w:color="auto"/>
      </w:divBdr>
    </w:div>
    <w:div w:id="567350846">
      <w:bodyDiv w:val="1"/>
      <w:marLeft w:val="0"/>
      <w:marRight w:val="0"/>
      <w:marTop w:val="0"/>
      <w:marBottom w:val="0"/>
      <w:divBdr>
        <w:top w:val="none" w:sz="0" w:space="0" w:color="auto"/>
        <w:left w:val="none" w:sz="0" w:space="0" w:color="auto"/>
        <w:bottom w:val="none" w:sz="0" w:space="0" w:color="auto"/>
        <w:right w:val="none" w:sz="0" w:space="0" w:color="auto"/>
      </w:divBdr>
    </w:div>
    <w:div w:id="627131761">
      <w:bodyDiv w:val="1"/>
      <w:marLeft w:val="0"/>
      <w:marRight w:val="0"/>
      <w:marTop w:val="0"/>
      <w:marBottom w:val="0"/>
      <w:divBdr>
        <w:top w:val="none" w:sz="0" w:space="0" w:color="auto"/>
        <w:left w:val="none" w:sz="0" w:space="0" w:color="auto"/>
        <w:bottom w:val="none" w:sz="0" w:space="0" w:color="auto"/>
        <w:right w:val="none" w:sz="0" w:space="0" w:color="auto"/>
      </w:divBdr>
      <w:divsChild>
        <w:div w:id="1218660010">
          <w:marLeft w:val="0"/>
          <w:marRight w:val="0"/>
          <w:marTop w:val="0"/>
          <w:marBottom w:val="0"/>
          <w:divBdr>
            <w:top w:val="single" w:sz="6" w:space="0" w:color="5B616B"/>
            <w:left w:val="single" w:sz="6" w:space="0" w:color="5B616B"/>
            <w:bottom w:val="single" w:sz="6" w:space="0" w:color="5B616B"/>
            <w:right w:val="single" w:sz="6" w:space="0" w:color="5B616B"/>
          </w:divBdr>
        </w:div>
        <w:div w:id="5906689">
          <w:marLeft w:val="0"/>
          <w:marRight w:val="0"/>
          <w:marTop w:val="0"/>
          <w:marBottom w:val="0"/>
          <w:divBdr>
            <w:top w:val="none" w:sz="0" w:space="0" w:color="auto"/>
            <w:left w:val="none" w:sz="0" w:space="0" w:color="auto"/>
            <w:bottom w:val="none" w:sz="0" w:space="0" w:color="auto"/>
            <w:right w:val="none" w:sz="0" w:space="0" w:color="auto"/>
          </w:divBdr>
        </w:div>
      </w:divsChild>
    </w:div>
    <w:div w:id="645352388">
      <w:bodyDiv w:val="1"/>
      <w:marLeft w:val="0"/>
      <w:marRight w:val="0"/>
      <w:marTop w:val="0"/>
      <w:marBottom w:val="0"/>
      <w:divBdr>
        <w:top w:val="none" w:sz="0" w:space="0" w:color="auto"/>
        <w:left w:val="none" w:sz="0" w:space="0" w:color="auto"/>
        <w:bottom w:val="none" w:sz="0" w:space="0" w:color="auto"/>
        <w:right w:val="none" w:sz="0" w:space="0" w:color="auto"/>
      </w:divBdr>
    </w:div>
    <w:div w:id="698628492">
      <w:bodyDiv w:val="1"/>
      <w:marLeft w:val="0"/>
      <w:marRight w:val="0"/>
      <w:marTop w:val="0"/>
      <w:marBottom w:val="0"/>
      <w:divBdr>
        <w:top w:val="none" w:sz="0" w:space="0" w:color="auto"/>
        <w:left w:val="none" w:sz="0" w:space="0" w:color="auto"/>
        <w:bottom w:val="none" w:sz="0" w:space="0" w:color="auto"/>
        <w:right w:val="none" w:sz="0" w:space="0" w:color="auto"/>
      </w:divBdr>
    </w:div>
    <w:div w:id="767581921">
      <w:bodyDiv w:val="1"/>
      <w:marLeft w:val="0"/>
      <w:marRight w:val="0"/>
      <w:marTop w:val="0"/>
      <w:marBottom w:val="0"/>
      <w:divBdr>
        <w:top w:val="none" w:sz="0" w:space="0" w:color="auto"/>
        <w:left w:val="none" w:sz="0" w:space="0" w:color="auto"/>
        <w:bottom w:val="none" w:sz="0" w:space="0" w:color="auto"/>
        <w:right w:val="none" w:sz="0" w:space="0" w:color="auto"/>
      </w:divBdr>
    </w:div>
    <w:div w:id="780881659">
      <w:bodyDiv w:val="1"/>
      <w:marLeft w:val="0"/>
      <w:marRight w:val="0"/>
      <w:marTop w:val="0"/>
      <w:marBottom w:val="0"/>
      <w:divBdr>
        <w:top w:val="none" w:sz="0" w:space="0" w:color="auto"/>
        <w:left w:val="none" w:sz="0" w:space="0" w:color="auto"/>
        <w:bottom w:val="none" w:sz="0" w:space="0" w:color="auto"/>
        <w:right w:val="none" w:sz="0" w:space="0" w:color="auto"/>
      </w:divBdr>
    </w:div>
    <w:div w:id="785778965">
      <w:bodyDiv w:val="1"/>
      <w:marLeft w:val="0"/>
      <w:marRight w:val="0"/>
      <w:marTop w:val="0"/>
      <w:marBottom w:val="0"/>
      <w:divBdr>
        <w:top w:val="none" w:sz="0" w:space="0" w:color="auto"/>
        <w:left w:val="none" w:sz="0" w:space="0" w:color="auto"/>
        <w:bottom w:val="none" w:sz="0" w:space="0" w:color="auto"/>
        <w:right w:val="none" w:sz="0" w:space="0" w:color="auto"/>
      </w:divBdr>
    </w:div>
    <w:div w:id="793986085">
      <w:bodyDiv w:val="1"/>
      <w:marLeft w:val="0"/>
      <w:marRight w:val="0"/>
      <w:marTop w:val="0"/>
      <w:marBottom w:val="0"/>
      <w:divBdr>
        <w:top w:val="none" w:sz="0" w:space="0" w:color="auto"/>
        <w:left w:val="none" w:sz="0" w:space="0" w:color="auto"/>
        <w:bottom w:val="none" w:sz="0" w:space="0" w:color="auto"/>
        <w:right w:val="none" w:sz="0" w:space="0" w:color="auto"/>
      </w:divBdr>
    </w:div>
    <w:div w:id="854999151">
      <w:bodyDiv w:val="1"/>
      <w:marLeft w:val="0"/>
      <w:marRight w:val="0"/>
      <w:marTop w:val="0"/>
      <w:marBottom w:val="0"/>
      <w:divBdr>
        <w:top w:val="none" w:sz="0" w:space="0" w:color="auto"/>
        <w:left w:val="none" w:sz="0" w:space="0" w:color="auto"/>
        <w:bottom w:val="none" w:sz="0" w:space="0" w:color="auto"/>
        <w:right w:val="none" w:sz="0" w:space="0" w:color="auto"/>
      </w:divBdr>
    </w:div>
    <w:div w:id="897938222">
      <w:bodyDiv w:val="1"/>
      <w:marLeft w:val="0"/>
      <w:marRight w:val="0"/>
      <w:marTop w:val="0"/>
      <w:marBottom w:val="0"/>
      <w:divBdr>
        <w:top w:val="none" w:sz="0" w:space="0" w:color="auto"/>
        <w:left w:val="none" w:sz="0" w:space="0" w:color="auto"/>
        <w:bottom w:val="none" w:sz="0" w:space="0" w:color="auto"/>
        <w:right w:val="none" w:sz="0" w:space="0" w:color="auto"/>
      </w:divBdr>
    </w:div>
    <w:div w:id="943534594">
      <w:bodyDiv w:val="1"/>
      <w:marLeft w:val="0"/>
      <w:marRight w:val="0"/>
      <w:marTop w:val="0"/>
      <w:marBottom w:val="0"/>
      <w:divBdr>
        <w:top w:val="none" w:sz="0" w:space="0" w:color="auto"/>
        <w:left w:val="none" w:sz="0" w:space="0" w:color="auto"/>
        <w:bottom w:val="none" w:sz="0" w:space="0" w:color="auto"/>
        <w:right w:val="none" w:sz="0" w:space="0" w:color="auto"/>
      </w:divBdr>
    </w:div>
    <w:div w:id="1034619116">
      <w:bodyDiv w:val="1"/>
      <w:marLeft w:val="0"/>
      <w:marRight w:val="0"/>
      <w:marTop w:val="0"/>
      <w:marBottom w:val="0"/>
      <w:divBdr>
        <w:top w:val="none" w:sz="0" w:space="0" w:color="auto"/>
        <w:left w:val="none" w:sz="0" w:space="0" w:color="auto"/>
        <w:bottom w:val="none" w:sz="0" w:space="0" w:color="auto"/>
        <w:right w:val="none" w:sz="0" w:space="0" w:color="auto"/>
      </w:divBdr>
    </w:div>
    <w:div w:id="1175219363">
      <w:bodyDiv w:val="1"/>
      <w:marLeft w:val="0"/>
      <w:marRight w:val="0"/>
      <w:marTop w:val="0"/>
      <w:marBottom w:val="0"/>
      <w:divBdr>
        <w:top w:val="none" w:sz="0" w:space="0" w:color="auto"/>
        <w:left w:val="none" w:sz="0" w:space="0" w:color="auto"/>
        <w:bottom w:val="none" w:sz="0" w:space="0" w:color="auto"/>
        <w:right w:val="none" w:sz="0" w:space="0" w:color="auto"/>
      </w:divBdr>
    </w:div>
    <w:div w:id="1191919547">
      <w:bodyDiv w:val="1"/>
      <w:marLeft w:val="0"/>
      <w:marRight w:val="0"/>
      <w:marTop w:val="0"/>
      <w:marBottom w:val="0"/>
      <w:divBdr>
        <w:top w:val="none" w:sz="0" w:space="0" w:color="auto"/>
        <w:left w:val="none" w:sz="0" w:space="0" w:color="auto"/>
        <w:bottom w:val="none" w:sz="0" w:space="0" w:color="auto"/>
        <w:right w:val="none" w:sz="0" w:space="0" w:color="auto"/>
      </w:divBdr>
    </w:div>
    <w:div w:id="1331104965">
      <w:bodyDiv w:val="1"/>
      <w:marLeft w:val="0"/>
      <w:marRight w:val="0"/>
      <w:marTop w:val="0"/>
      <w:marBottom w:val="0"/>
      <w:divBdr>
        <w:top w:val="none" w:sz="0" w:space="0" w:color="auto"/>
        <w:left w:val="none" w:sz="0" w:space="0" w:color="auto"/>
        <w:bottom w:val="none" w:sz="0" w:space="0" w:color="auto"/>
        <w:right w:val="none" w:sz="0" w:space="0" w:color="auto"/>
      </w:divBdr>
    </w:div>
    <w:div w:id="1471552371">
      <w:bodyDiv w:val="1"/>
      <w:marLeft w:val="0"/>
      <w:marRight w:val="0"/>
      <w:marTop w:val="0"/>
      <w:marBottom w:val="0"/>
      <w:divBdr>
        <w:top w:val="none" w:sz="0" w:space="0" w:color="auto"/>
        <w:left w:val="none" w:sz="0" w:space="0" w:color="auto"/>
        <w:bottom w:val="none" w:sz="0" w:space="0" w:color="auto"/>
        <w:right w:val="none" w:sz="0" w:space="0" w:color="auto"/>
      </w:divBdr>
    </w:div>
    <w:div w:id="1648824220">
      <w:bodyDiv w:val="1"/>
      <w:marLeft w:val="0"/>
      <w:marRight w:val="0"/>
      <w:marTop w:val="0"/>
      <w:marBottom w:val="0"/>
      <w:divBdr>
        <w:top w:val="none" w:sz="0" w:space="0" w:color="auto"/>
        <w:left w:val="none" w:sz="0" w:space="0" w:color="auto"/>
        <w:bottom w:val="none" w:sz="0" w:space="0" w:color="auto"/>
        <w:right w:val="none" w:sz="0" w:space="0" w:color="auto"/>
      </w:divBdr>
    </w:div>
    <w:div w:id="1699113720">
      <w:bodyDiv w:val="1"/>
      <w:marLeft w:val="0"/>
      <w:marRight w:val="0"/>
      <w:marTop w:val="0"/>
      <w:marBottom w:val="0"/>
      <w:divBdr>
        <w:top w:val="none" w:sz="0" w:space="0" w:color="auto"/>
        <w:left w:val="none" w:sz="0" w:space="0" w:color="auto"/>
        <w:bottom w:val="none" w:sz="0" w:space="0" w:color="auto"/>
        <w:right w:val="none" w:sz="0" w:space="0" w:color="auto"/>
      </w:divBdr>
    </w:div>
    <w:div w:id="1862863670">
      <w:bodyDiv w:val="1"/>
      <w:marLeft w:val="0"/>
      <w:marRight w:val="0"/>
      <w:marTop w:val="0"/>
      <w:marBottom w:val="0"/>
      <w:divBdr>
        <w:top w:val="none" w:sz="0" w:space="0" w:color="auto"/>
        <w:left w:val="none" w:sz="0" w:space="0" w:color="auto"/>
        <w:bottom w:val="none" w:sz="0" w:space="0" w:color="auto"/>
        <w:right w:val="none" w:sz="0" w:space="0" w:color="auto"/>
      </w:divBdr>
    </w:div>
    <w:div w:id="1878004584">
      <w:bodyDiv w:val="1"/>
      <w:marLeft w:val="0"/>
      <w:marRight w:val="0"/>
      <w:marTop w:val="0"/>
      <w:marBottom w:val="0"/>
      <w:divBdr>
        <w:top w:val="none" w:sz="0" w:space="0" w:color="auto"/>
        <w:left w:val="none" w:sz="0" w:space="0" w:color="auto"/>
        <w:bottom w:val="none" w:sz="0" w:space="0" w:color="auto"/>
        <w:right w:val="none" w:sz="0" w:space="0" w:color="auto"/>
      </w:divBdr>
    </w:div>
    <w:div w:id="1883009829">
      <w:bodyDiv w:val="1"/>
      <w:marLeft w:val="0"/>
      <w:marRight w:val="0"/>
      <w:marTop w:val="0"/>
      <w:marBottom w:val="0"/>
      <w:divBdr>
        <w:top w:val="none" w:sz="0" w:space="0" w:color="auto"/>
        <w:left w:val="none" w:sz="0" w:space="0" w:color="auto"/>
        <w:bottom w:val="none" w:sz="0" w:space="0" w:color="auto"/>
        <w:right w:val="none" w:sz="0" w:space="0" w:color="auto"/>
      </w:divBdr>
    </w:div>
    <w:div w:id="1924072742">
      <w:bodyDiv w:val="1"/>
      <w:marLeft w:val="0"/>
      <w:marRight w:val="0"/>
      <w:marTop w:val="0"/>
      <w:marBottom w:val="0"/>
      <w:divBdr>
        <w:top w:val="none" w:sz="0" w:space="0" w:color="auto"/>
        <w:left w:val="none" w:sz="0" w:space="0" w:color="auto"/>
        <w:bottom w:val="none" w:sz="0" w:space="0" w:color="auto"/>
        <w:right w:val="none" w:sz="0" w:space="0" w:color="auto"/>
      </w:divBdr>
    </w:div>
    <w:div w:id="1941981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tiff"/><Relationship Id="rId2" Type="http://schemas.openxmlformats.org/officeDocument/2006/relationships/numbering" Target="numbering.xml"/><Relationship Id="rId16" Type="http://schemas.openxmlformats.org/officeDocument/2006/relationships/image" Target="media/image4.tif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186/s43058-020-00035-3" TargetMode="External"/><Relationship Id="rId5" Type="http://schemas.openxmlformats.org/officeDocument/2006/relationships/settings" Target="settings.xml"/><Relationship Id="rId15" Type="http://schemas.openxmlformats.org/officeDocument/2006/relationships/image" Target="media/image3.tiff"/><Relationship Id="rId10" Type="http://schemas.openxmlformats.org/officeDocument/2006/relationships/image" Target="media/image1.emf"/><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prisma-statement.org/" TargetMode="External"/><Relationship Id="rId14"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251A0-8863-43BC-9217-6C141815A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48</Pages>
  <Words>18174</Words>
  <Characters>103597</Characters>
  <Application>Microsoft Office Word</Application>
  <DocSecurity>0</DocSecurity>
  <Lines>863</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MLAPINIG</cp:lastModifiedBy>
  <cp:revision>26</cp:revision>
  <dcterms:created xsi:type="dcterms:W3CDTF">2022-05-13T06:58:00Z</dcterms:created>
  <dcterms:modified xsi:type="dcterms:W3CDTF">2022-09-22T08:44:00Z</dcterms:modified>
</cp:coreProperties>
</file>