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  <w:r w:rsidRPr="00851D2D">
        <w:rPr>
          <w:rFonts w:ascii="Times New Roman" w:eastAsia="Calibri" w:hAnsi="Times New Roman" w:cs="Times New Roman"/>
          <w:b/>
          <w:bCs/>
          <w:kern w:val="0"/>
          <w:lang w:eastAsia="en-US" w:bidi="ar-SA"/>
        </w:rPr>
        <w:t>Supplemental Tables/Figures</w:t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proofErr w:type="gramStart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Supplemental Table 1.</w:t>
      </w:r>
      <w:proofErr w:type="gramEnd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proofErr w:type="gramStart"/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Definition and method of calculation for the quantitative implementation outcomes of HTN Program</w:t>
      </w:r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.</w:t>
      </w:r>
      <w:proofErr w:type="gramEnd"/>
    </w:p>
    <w:tbl>
      <w:tblPr>
        <w:tblStyle w:val="TableGrid3"/>
        <w:tblW w:w="5352" w:type="pct"/>
        <w:tblInd w:w="-365" w:type="dxa"/>
        <w:tblLayout w:type="fixed"/>
        <w:tblLook w:val="04A0" w:firstRow="1" w:lastRow="0" w:firstColumn="1" w:lastColumn="0" w:noHBand="0" w:noVBand="1"/>
      </w:tblPr>
      <w:tblGrid>
        <w:gridCol w:w="1980"/>
        <w:gridCol w:w="1097"/>
        <w:gridCol w:w="3749"/>
        <w:gridCol w:w="3997"/>
        <w:gridCol w:w="2014"/>
        <w:gridCol w:w="1267"/>
      </w:tblGrid>
      <w:tr w:rsidR="00D73C87" w:rsidRPr="00851D2D" w:rsidTr="007E583D">
        <w:tc>
          <w:tcPr>
            <w:tcW w:w="702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RE-AIM Domain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Level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Outcome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Method of calculation 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Results</w:t>
            </w: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vertAlign w:val="superscript"/>
                <w:lang w:eastAsia="en-US" w:bidi="ar-SA"/>
              </w:rPr>
              <w:t>*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Data source</w:t>
            </w:r>
          </w:p>
        </w:tc>
      </w:tr>
      <w:tr w:rsidR="00D73C87" w:rsidRPr="00851D2D" w:rsidTr="007E583D">
        <w:tc>
          <w:tcPr>
            <w:tcW w:w="702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REACH: 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Absolute number, proportion, and representativeness of sites and individuals who participate in the HTN Program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Number of participating PHCs/total number of selected PHCs in the FCT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A = Number of participating PHCs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B = Total number of selected PHCs in the FCT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Calculation: A ÷ B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24.7% (60/243)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Registry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Number of participating PHCs/total number of PHCs that were reached out in the FCT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A = Number of participating PHCs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B = Total number of PHCs that were reached out in the FCT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Calculation: A ÷ B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100% (60/60)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Diversity of participating PHCs and staff in terms of size, ward, baseline staffing levels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PHCs’ size = Number of patients; Number of visits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Diversity of PHCs in terms of ward = Number of PHCs in each area council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Diversity of staff = Number of staff in each area council at the baseline supervision visit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Supplemental Table 2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data, 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1475"/>
        </w:trPr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Individual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Number of adult patients with BPs measured / total number of adult patients within participating PHCs within the given dates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Total number of adult patient visits to the health facility within the given dates documented at the first and last supportive supervision visits, N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Of these adult patients, how many had their BP checked during their visit? N (%)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Of the patients who had their BP checked, how many had high BP? Median N (%)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Supervision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&lt;EndNote&gt;&lt;Cite&gt;&lt;Author&gt;Shedul&lt;/Author&gt;&lt;Year&gt;2025&lt;/Year&gt;&lt;RecNum&gt;2153&lt;/RecNum&gt;&lt;DisplayText&gt;[27]&lt;/DisplayText&gt;&lt;record&gt;&lt;rec-number&gt;2153&lt;/rec-number&gt;&lt;foreign-keys&gt;&lt;key app="EN" db-id="0zwt25t0qxsveke2wzpvf20zev9592aest5a" timestamp="1743995491"&gt;2153&lt;/key&gt;&lt;/foreign-keys&gt;&lt;ref-type name="Journal Article"&gt;17&lt;/ref-type&gt;&lt;contributors&gt;&lt;authors&gt;&lt;author&gt;Shedul, Gabriel Lamkur&lt;/author&gt;&lt;author&gt;Ripiye, Nanna&lt;/author&gt;&lt;author&gt;Jamro, Erica L&lt;/author&gt;&lt;author&gt;Orji, Ikechukwu A&lt;/author&gt;&lt;author&gt;Shedul, Grace Julcit&lt;/author&gt;&lt;author&gt;Ugwuneji, Eugenia N&lt;/author&gt;&lt;author&gt;Okpetu, Emmanuel&lt;/author&gt;&lt;author&gt;Ale, Boni M&lt;/author&gt;&lt;author&gt;Osagie, Samuel&lt;/author&gt;&lt;author&gt;Baldridge, Abigail S&lt;/author&gt;&lt;/authors&gt;&lt;/contributors&gt;&lt;titles&gt;&lt;title&gt;Supportive supervision visits in a large community hypertension programme in Nigeria: implementation methods and outcomes&lt;/title&gt;&lt;secondary-title&gt;BMJ Open Quality&lt;/secondary-title&gt;&lt;/titles&gt;&lt;periodical&gt;&lt;full-title&gt;BMJ Open Quality&lt;/full-title&gt;&lt;/periodical&gt;&lt;volume&gt;14&lt;/volume&gt;&lt;number&gt;1&lt;/number&gt;&lt;dates&gt;&lt;year&gt;2025&lt;/year&gt;&lt;/dates&gt;&lt;isbn&gt;2399-6641&lt;/isbn&gt;&lt;urls&gt;&lt;/urls&gt;&lt;/record&gt;&lt;/Cite&gt;&lt;/EndNote&gt;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[27]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Individual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Differences in sociodemographic (e.g., age, sex, education, geography) characteristics between registered patients and individuals in the clinic catchment areas based on concurrently collected or community-based survey data 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Differences in sociodemographic (age, sex, no education, rural) characteristics of registered patients.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Table 1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Individual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Diversity of registered patients receiving care at participating PHCs for HTN diagnosis and management by age, sex, ward, and education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Patients’ </w:t>
            </w:r>
            <w:proofErr w:type="spellStart"/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sociodemographics</w:t>
            </w:r>
            <w:proofErr w:type="spellEnd"/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, clinical characteristics, and blood pressure overall and by sex.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Supplemental Table 3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EFFECTIVENESS: The impact of the HTN Program on treatment and control rates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Treatment and control rates within the overall system of participating PHCs </w:t>
            </w:r>
            <w:r w:rsidRPr="00851D2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for the entire study period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, defined by 6-month rolling average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The primary effectiveness outcome will be to compare the slope before and after the intervention period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6-month rolling average treatment rate for all the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6-month rolling average control rate for all the PHCs</w:t>
            </w:r>
          </w:p>
        </w:tc>
        <w:tc>
          <w:tcPr>
            <w:tcW w:w="714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Primary outcomes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&lt;EndNote&gt;&lt;Cite&gt;&lt;Author&gt;Ojji&lt;/Author&gt;&lt;Year&gt;2024&lt;/Year&gt;&lt;RecNum&gt;2115&lt;/RecNum&gt;&lt;DisplayText&gt;[15]&lt;/DisplayText&gt;&lt;record&gt;&lt;rec-number&gt;2115&lt;/rec-number&gt;&lt;foreign-keys&gt;&lt;key app="EN" db-id="0zwt25t0qxsveke2wzpvf20zev9592aest5a" timestamp="1737952292"&gt;2115&lt;/key&gt;&lt;/foreign-keys&gt;&lt;ref-type name="Journal Article"&gt;17&lt;/ref-type&gt;&lt;contributors&gt;&lt;authors&gt;&lt;author&gt;Ojji, Dike&lt;/author&gt;&lt;author&gt;Baldridge, Abigail&lt;/author&gt;&lt;author&gt;Jamro, Erica&lt;/author&gt;&lt;author&gt;Orji, Anthony&lt;/author&gt;&lt;author&gt;Shedul, Gabriel&lt;/author&gt;&lt;author&gt;Ripiye, Nanna&lt;/author&gt;&lt;author&gt;Ojo, Tunde&lt;/author&gt;&lt;author&gt;Okpetu, Emmanuel&lt;/author&gt;&lt;author&gt;Eze, Helen&lt;/author&gt;&lt;author&gt;Ugwuneji, Eugenia&lt;/author&gt;&lt;/authors&gt;&lt;/contributors&gt;&lt;titles&gt;&lt;title&gt;Effects of a Pragmatic Type 2 Hybrid Interrupted Time Series Trial on Hypertension Treatment and Control in Nigeria. URL: https://assets-eu.researchsquare.com/files/rs-5471696/v1/16ae546c-16e3-449b-b61e-7b940afac0fc.pdf?c=1742468671&lt;/title&gt;&lt;/titles&gt;&lt;dates&gt;&lt;year&gt;2024&lt;/year&gt;&lt;/dates&gt;&lt;urls&gt;&lt;/urls&gt;&lt;/record&gt;&lt;/Cite&gt;&lt;/EndNote&gt;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[15]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Mean SBP and DBP within the overall system of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participating PHCs </w:t>
            </w:r>
            <w:r w:rsidRPr="00851D2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for the entire study period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, defined by 6-month rolling average and based on last visit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6-month rolling average SBP for all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6-month rolling average DBP for all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Last visit’s SBP for all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Last visit’s DBP for all PHCs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Treatment and control rates across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participating PHCs</w:t>
            </w:r>
            <w:r w:rsidRPr="00851D2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for the entire study period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, defined by 6-month rolling average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6-month rolling average treatment rate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6-month rolling average control rate 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Mean SBP and DBP across participating PHCs </w:t>
            </w:r>
            <w:r w:rsidRPr="00851D2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for the entire study period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, defined by 6-month rolling average and based on last visit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6-month rolling average SBP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6-month rolling average DBP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Last visit’s SBP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Last visit’s DBP 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ADOPTION: Absolute number, proportion, and representativeness of sites who are willing to initiate the HTN Program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Use of HTN registry within individual participating PHCs by 3-months of site initiation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that used HTN registry by 3-months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PHCs in HTN Program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100% (60/60)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Percentage of patients treated with fixed dose combination therapies in the last 3-months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patients in HTN Program that were treated with fixed dose combination therapies in the last 3 months.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patients in HTN Program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Primary outcomes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&lt;EndNote&gt;&lt;Cite&gt;&lt;Author&gt;Ojji&lt;/Author&gt;&lt;Year&gt;2024&lt;/Year&gt;&lt;RecNum&gt;2115&lt;/RecNum&gt;&lt;DisplayText&gt;[15]&lt;/DisplayText&gt;&lt;record&gt;&lt;rec-number&gt;2115&lt;/rec-number&gt;&lt;foreign-keys&gt;&lt;key app="EN" db-id="0zwt25t0qxsveke2wzpvf20zev9592aest5a" timestamp="1737952292"&gt;2115&lt;/key&gt;&lt;/foreign-keys&gt;&lt;ref-type name="Journal Article"&gt;17&lt;/ref-type&gt;&lt;contributors&gt;&lt;authors&gt;&lt;author&gt;Ojji, Dike&lt;/author&gt;&lt;author&gt;Baldridge, Abigail&lt;/author&gt;&lt;author&gt;Jamro, Erica&lt;/author&gt;&lt;author&gt;Orji, Anthony&lt;/author&gt;&lt;author&gt;Shedul, Gabriel&lt;/author&gt;&lt;author&gt;Ripiye, Nanna&lt;/author&gt;&lt;author&gt;Ojo, Tunde&lt;/author&gt;&lt;author&gt;Okpetu, Emmanuel&lt;/author&gt;&lt;author&gt;Eze, Helen&lt;/author&gt;&lt;author&gt;Ugwuneji, Eugenia&lt;/author&gt;&lt;/authors&gt;&lt;/contributors&gt;&lt;titles&gt;&lt;title&gt;Effects of a Pragmatic Type 2 Hybrid Interrupted Time Series Trial on Hypertension Treatment and Control in Nigeria. URL: https://assets-eu.researchsquare.com/files/rs-5471696/v1/16ae546c-16e3-449b-b61e-7b940afac0fc.pdf?c=1742468671&lt;/title&gt;&lt;/titles&gt;&lt;dates&gt;&lt;year&gt;2024&lt;/year&gt;&lt;/dates&gt;&lt;urls&gt;&lt;/urls&gt;&lt;/record&gt;&lt;/Cite&gt;&lt;/EndNote&gt;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[15]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IMPLEMENTATION: Fidelity to the HTN Program protocol, including consistency of delivery as intended. Time and cost of the intervention, and use of the intervention strategies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selected PHCs who participated in baseline hypertension training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who participated in baseline hypertension training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  <w:vMerge w:val="restar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Supervision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&lt;EndNote&gt;&lt;Cite&gt;&lt;Author&gt;Shedul&lt;/Author&gt;&lt;Year&gt;2025&lt;/Year&gt;&lt;RecNum&gt;2153&lt;/RecNum&gt;&lt;DisplayText&gt;[27]&lt;/DisplayText&gt;&lt;record&gt;&lt;rec-number&gt;2153&lt;/rec-number&gt;&lt;foreign-keys&gt;&lt;key app="EN" db-id="0zwt25t0qxsveke2wzpvf20zev9592aest5a" timestamp="1743995491"&gt;2153&lt;/key&gt;&lt;/foreign-keys&gt;&lt;ref-type name="Journal Article"&gt;17&lt;/ref-type&gt;&lt;contributors&gt;&lt;authors&gt;&lt;author&gt;Shedul, Gabriel Lamkur&lt;/author&gt;&lt;author&gt;Ripiye, Nanna&lt;/author&gt;&lt;author&gt;Jamro, Erica L&lt;/author&gt;&lt;author&gt;Orji, Ikechukwu A&lt;/author&gt;&lt;author&gt;Shedul, Grace Julcit&lt;/author&gt;&lt;author&gt;Ugwuneji, Eugenia N&lt;/author&gt;&lt;author&gt;Okpetu, Emmanuel&lt;/author&gt;&lt;author&gt;Ale, Boni M&lt;/author&gt;&lt;author&gt;Osagie, Samuel&lt;/author&gt;&lt;author&gt;Baldridge, Abigail S&lt;/author&gt;&lt;/authors&gt;&lt;/contributors&gt;&lt;titles&gt;&lt;title&gt;Supportive supervision visits in a large community hypertension programme in Nigeria: implementation methods and outcomes&lt;/title&gt;&lt;secondary-title&gt;BMJ Open Quality&lt;/secondary-title&gt;&lt;/titles&gt;&lt;periodical&gt;&lt;full-title&gt;BMJ Open Quality&lt;/full-title&gt;&lt;/periodical&gt;&lt;volume&gt;14&lt;/volume&gt;&lt;number&gt;1&lt;/number&gt;&lt;dates&gt;&lt;year&gt;2025&lt;/year&gt;&lt;/dates&gt;&lt;isbn&gt;2399-6641&lt;/isbn&gt;&lt;urls&gt;&lt;/urls&gt;&lt;/record&gt;&lt;/Cite&gt;&lt;/EndNote&gt;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[27]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selected PHCs who participated in site initiation training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A = Number of PHCs who participated in site initiation training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selected PHCs who received at least one supportive supervision visit in the past 7-months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who received at least one supportive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supervision visit in the past 7-months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Proportion of selected PHCs who received an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audit and feedback report within the past 3-months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A = Number of PHCs who received at least an audit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and feedback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report within the past 3-months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Supervision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Percentage of PHCs with a working blood pressure monitor at the site on the day of assessment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with a working blood pressure monitor at the site on the day of assessment (time point: last supervision visit)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Percentage of PHCs with blood pressure medicines available on the day of assessment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with blood pressure medicines available on the day of assessment (time point: last supervision visit)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B = Total number of selected PHCs 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Calculation: A ÷ B </w:t>
            </w:r>
          </w:p>
        </w:tc>
        <w:tc>
          <w:tcPr>
            <w:tcW w:w="714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Percentage of patients with step up indicated who received step up treatment in the last 6-months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A = Number of visits that patients who received stepped up treatment in their first </w:t>
            </w:r>
            <w:r w:rsidRPr="00851D2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four visits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 in the last 6-months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visits that patients need to receive stepped up treatment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Calculation: A ÷ B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Visit 1=37.7% (95%CI: 36.85%-38.5%)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Visit 2=7.1% (95%CI: 6.5%-7.7%)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Visit 3=1.3% (95%CI: 1.0%-1.6%)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Visit 4=0.4% (95%CI: 0.2%-0.6%)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Number and proportion of adult patients with hypertension who are registered/total number of adult patients with elevated blood pressure within participating PHCs within the past 3 working days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Total number of adult patients who had high BP visits to the health facility within the given dates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patients visits to the health facility within the given dates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Calculation: A ÷ B, 3-monthly rolling average rate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Supervision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&lt;EndNote&gt;&lt;Cite&gt;&lt;Author&gt;Shedul&lt;/Author&gt;&lt;Year&gt;2025&lt;/Year&gt;&lt;RecNum&gt;2153&lt;/RecNum&gt;&lt;DisplayText&gt;[27]&lt;/DisplayText&gt;&lt;record&gt;&lt;rec-number&gt;2153&lt;/rec-number&gt;&lt;foreign-keys&gt;&lt;key app="EN" db-id="0zwt25t0qxsveke2wzpvf20zev9592aest5a" timestamp="1743995491"&gt;2153&lt;/key&gt;&lt;/foreign-keys&gt;&lt;ref-type name="Journal Article"&gt;17&lt;/ref-type&gt;&lt;contributors&gt;&lt;authors&gt;&lt;author&gt;Shedul, Gabriel Lamkur&lt;/author&gt;&lt;author&gt;Ripiye, Nanna&lt;/author&gt;&lt;author&gt;Jamro, Erica L&lt;/author&gt;&lt;author&gt;Orji, Ikechukwu A&lt;/author&gt;&lt;author&gt;Shedul, Grace Julcit&lt;/author&gt;&lt;author&gt;Ugwuneji, Eugenia N&lt;/author&gt;&lt;author&gt;Okpetu, Emmanuel&lt;/author&gt;&lt;author&gt;Ale, Boni M&lt;/author&gt;&lt;author&gt;Osagie, Samuel&lt;/author&gt;&lt;author&gt;Baldridge, Abigail S&lt;/author&gt;&lt;/authors&gt;&lt;/contributors&gt;&lt;titles&gt;&lt;title&gt;Supportive supervision visits in a large community hypertension programme in Nigeria: implementation methods and outcomes&lt;/title&gt;&lt;secondary-title&gt;BMJ Open Quality&lt;/secondary-title&gt;&lt;/titles&gt;&lt;periodical&gt;&lt;full-title&gt;BMJ Open Quality&lt;/full-title&gt;&lt;/periodical&gt;&lt;volume&gt;14&lt;/volume&gt;&lt;number&gt;1&lt;/number&gt;&lt;dates&gt;&lt;year&gt;2025&lt;/year&gt;&lt;/dates&gt;&lt;isbn&gt;2399-6641&lt;/isbn&gt;&lt;urls&gt;&lt;/urls&gt;&lt;/record&gt;&lt;/Cite&gt;&lt;/EndNote&gt;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[27]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Monthly proportion of registered patients with appropriate stepped care/total number of registered patients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patients who need step up treatment and received it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patients who are registered per month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B, 3-monthly rolling average rate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Primary outcomes paper 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&lt;EndNote&gt;&lt;Cite&gt;&lt;Author&gt;Ojji&lt;/Author&gt;&lt;Year&gt;2024&lt;/Year&gt;&lt;RecNum&gt;2115&lt;/RecNum&gt;&lt;DisplayText&gt;[15]&lt;/DisplayText&gt;&lt;record&gt;&lt;rec-number&gt;2115&lt;/rec-number&gt;&lt;foreign-keys&gt;&lt;key app="EN" db-id="0zwt25t0qxsveke2wzpvf20zev9592aest5a" timestamp="1737952292"&gt;2115&lt;/key&gt;&lt;/foreign-keys&gt;&lt;ref-type name="Journal Article"&gt;17&lt;/ref-type&gt;&lt;contributors&gt;&lt;authors&gt;&lt;author&gt;Ojji, Dike&lt;/author&gt;&lt;author&gt;Baldridge, Abigail&lt;/author&gt;&lt;author&gt;Jamro, Erica&lt;/author&gt;&lt;author&gt;Orji, Anthony&lt;/author&gt;&lt;author&gt;Shedul, Gabriel&lt;/author&gt;&lt;author&gt;Ripiye, Nanna&lt;/author&gt;&lt;author&gt;Ojo, Tunde&lt;/author&gt;&lt;author&gt;Okpetu, Emmanuel&lt;/author&gt;&lt;author&gt;Eze, Helen&lt;/author&gt;&lt;author&gt;Ugwuneji, Eugenia&lt;/author&gt;&lt;/authors&gt;&lt;/contributors&gt;&lt;titles&gt;&lt;title&gt;Effects of a Pragmatic Type 2 Hybrid Interrupted Time Series Trial on Hypertension Treatment and Control in Nigeria. URL: https://assets-eu.researchsquare.com/files/rs-5471696/v1/16ae546c-16e3-449b-b61e-7b940afac0fc.pdf?c=1742468671&lt;/title&gt;&lt;/titles&gt;&lt;dates&gt;&lt;year&gt;2024&lt;/year&gt;&lt;/dates&gt;&lt;urls&gt;&lt;/urls&gt;&lt;/record&gt;&lt;/Cite&gt;&lt;/EndNote&gt;</w:instrTex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851D2D">
              <w:rPr>
                <w:rFonts w:ascii="Times New Roman" w:hAnsi="Times New Roman" w:cs="Times New Roman"/>
                <w:noProof/>
                <w:sz w:val="18"/>
                <w:szCs w:val="18"/>
              </w:rPr>
              <w:t>[15]</w:t>
            </w:r>
            <w:r w:rsidRPr="00851D2D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Monthly proportion of registered patients treated with fixed dose combination therapy/total number of patients on treatment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patients who are treated with fixed dose combination therapy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patients who are treated per month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Table 2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 w:val="restar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Maintenance: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The extent to which the HTN Program becomes institutionalized or part of the routine organizational practice</w:t>
            </w: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participating PHCs who maintain treatment rates above baseline rates at 6, 12, and 24 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who maintain treatment rates above baseline rates (58.3%) at 6, 12, and 24 months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selected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Calculation: A ÷ B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6 Month: 95.0% (57/60)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12 Month: 96.7% (58/60) 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24 Month: 98.3% (59/60)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participating PHCs who maintain control rates above baseline rates at 6, 12, and 24 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A = Number of PHCs who maintain control rates above baseline rates (13.1%) at 6, 12, and 24 months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selected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Calculation: A ÷ B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6 Month: 73.3% (44/60)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12 Month: 88.3% (53/60) 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24 Month: 96.7% (58/60)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Proportion of participating PHCs without blood pressure medication </w:t>
            </w:r>
            <w:proofErr w:type="spellStart"/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stockouts</w:t>
            </w:r>
            <w:proofErr w:type="spellEnd"/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 at each quarter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A = Number of PHCs without blood pressure medication </w:t>
            </w:r>
            <w:proofErr w:type="spellStart"/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stockouts</w:t>
            </w:r>
            <w:proofErr w:type="spellEnd"/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B = Total number of selected PHCs</w:t>
            </w:r>
          </w:p>
          <w:p w:rsidR="00D73C87" w:rsidRPr="00851D2D" w:rsidRDefault="00D73C87" w:rsidP="007E58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 xml:space="preserve">Calculation: A ÷ B 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Table 3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Supervision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c>
          <w:tcPr>
            <w:tcW w:w="702" w:type="pct"/>
            <w:vMerge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</w:p>
        </w:tc>
        <w:tc>
          <w:tcPr>
            <w:tcW w:w="1329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participants retained in care at participating PHCs at 6, 12, 24 months</w:t>
            </w:r>
          </w:p>
        </w:tc>
        <w:tc>
          <w:tcPr>
            <w:tcW w:w="1417" w:type="pct"/>
          </w:tcPr>
          <w:p w:rsidR="00D73C87" w:rsidRPr="00851D2D" w:rsidRDefault="00D73C87" w:rsidP="007E583D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Proportion of participants had at least one follow-up visit within 6, 12, 24 months after registration in each PHC.</w:t>
            </w:r>
          </w:p>
        </w:tc>
        <w:tc>
          <w:tcPr>
            <w:tcW w:w="714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Supplemental Table 4, Figure 1</w:t>
            </w:r>
          </w:p>
        </w:tc>
        <w:tc>
          <w:tcPr>
            <w:tcW w:w="450" w:type="pct"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  <w:r w:rsidRPr="00851D2D">
              <w:rPr>
                <w:rFonts w:ascii="Times New Roman" w:hAnsi="Times New Roman" w:cs="Times New Roman"/>
                <w:sz w:val="18"/>
                <w:szCs w:val="18"/>
              </w:rPr>
              <w:t>Registry data</w:t>
            </w: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:rsidR="00D73C87" w:rsidRPr="00851D2D" w:rsidRDefault="00D73C87" w:rsidP="00D73C87">
      <w:pPr>
        <w:rPr>
          <w:rFonts w:ascii="Times New Roman" w:hAnsi="Times New Roman" w:cs="Times New Roman"/>
          <w:sz w:val="20"/>
          <w:szCs w:val="20"/>
        </w:rPr>
      </w:pPr>
      <w:r w:rsidRPr="00851D2D">
        <w:rPr>
          <w:rFonts w:ascii="Times New Roman" w:hAnsi="Times New Roman" w:cs="Times New Roman"/>
          <w:sz w:val="20"/>
          <w:szCs w:val="20"/>
        </w:rPr>
        <w:t>*Some results are reported separately in other papers from our team, including primary outcomes paper and supervision paper.</w:t>
      </w:r>
    </w:p>
    <w:p w:rsidR="00D73C87" w:rsidRPr="00851D2D" w:rsidRDefault="00D73C87" w:rsidP="00D73C87">
      <w:pPr>
        <w:rPr>
          <w:rFonts w:ascii="Times New Roman" w:hAnsi="Times New Roman" w:cs="Times New Roman"/>
          <w:sz w:val="20"/>
          <w:szCs w:val="20"/>
        </w:rPr>
      </w:pPr>
    </w:p>
    <w:p w:rsidR="00D73C87" w:rsidRPr="00851D2D" w:rsidRDefault="00D73C87" w:rsidP="00D73C87">
      <w:pPr>
        <w:rPr>
          <w:rFonts w:ascii="Times New Roman" w:hAnsi="Times New Roman" w:cs="Times New Roman"/>
        </w:rPr>
      </w:pPr>
      <w:r w:rsidRPr="00851D2D">
        <w:rPr>
          <w:rFonts w:ascii="Times New Roman" w:hAnsi="Times New Roman" w:cs="Times New Roman"/>
          <w:sz w:val="20"/>
          <w:szCs w:val="20"/>
        </w:rPr>
        <w:t>Abbreviation: BP, blood pressure; DBP, diastolic blood pressure; PHC, primary healthcare center; SBP, systolic blood pressure.</w:t>
      </w:r>
      <w:r w:rsidRPr="00851D2D">
        <w:rPr>
          <w:rFonts w:ascii="Times New Roman" w:hAnsi="Times New Roman" w:cs="Times New Roman"/>
        </w:rPr>
        <w:br w:type="page"/>
      </w:r>
    </w:p>
    <w:tbl>
      <w:tblPr>
        <w:tblW w:w="5000" w:type="pct"/>
        <w:jc w:val="center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3462"/>
        <w:gridCol w:w="1358"/>
        <w:gridCol w:w="1359"/>
        <w:gridCol w:w="1359"/>
        <w:gridCol w:w="1359"/>
        <w:gridCol w:w="1353"/>
        <w:gridCol w:w="1356"/>
        <w:gridCol w:w="1382"/>
      </w:tblGrid>
      <w:tr w:rsidR="00D73C87" w:rsidRPr="00851D2D" w:rsidTr="007E583D">
        <w:trPr>
          <w:trHeight w:val="288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lastRenderedPageBreak/>
              <w:t>Supplemental Table 2.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Diversity of staff by council area at baseline, N (%).</w:t>
            </w:r>
          </w:p>
        </w:tc>
      </w:tr>
      <w:tr w:rsidR="00D73C87" w:rsidRPr="00851D2D" w:rsidTr="007E583D">
        <w:trPr>
          <w:trHeight w:val="288"/>
          <w:jc w:val="center"/>
        </w:trPr>
        <w:tc>
          <w:tcPr>
            <w:tcW w:w="133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Total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Abaji</w:t>
            </w:r>
            <w:proofErr w:type="spellEnd"/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AMAC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Bwari</w:t>
            </w:r>
            <w:proofErr w:type="spellEnd"/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Gwagwalada</w:t>
            </w:r>
            <w:proofErr w:type="spellEnd"/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Kuje</w:t>
            </w:r>
            <w:proofErr w:type="spellEnd"/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Kwali</w:t>
            </w:r>
            <w:proofErr w:type="spellEnd"/>
          </w:p>
        </w:tc>
      </w:tr>
      <w:tr w:rsidR="00D73C87" w:rsidRPr="00851D2D" w:rsidTr="007E583D">
        <w:trPr>
          <w:trHeight w:val="288"/>
          <w:jc w:val="center"/>
        </w:trPr>
        <w:tc>
          <w:tcPr>
            <w:tcW w:w="13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N=15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N=11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N=10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Permanent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1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3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Medical Doctor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 (1%)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(2%)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(2%)</w:t>
            </w:r>
          </w:p>
        </w:tc>
        <w:tc>
          <w:tcPr>
            <w:tcW w:w="53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Paramedical Professional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(4%)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Nurse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70 (14%)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21 (22%)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12 (17%)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 (10%)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(7%)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 (19%)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Pharmacy Staff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 (4%)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Laboratory Staff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36 (7%)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 (7%)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(10%)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(2%)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 (11%)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 (10%)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CHEW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235 (47%)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42 (47%)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30 (31%)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27 (39%)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60 (54%)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35 (63%)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41 (51%)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JCHEW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43 (9%)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 (9%)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10 (10%)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(3%)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16 (14%)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 (5%)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(5%)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Health Officer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44 (9%)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 (15%)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(10%)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 (5%)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(7%)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 (8%)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Other Staff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 xml:space="preserve"> a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60 (12%)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18 (20%)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 (11%)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 (16%)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 (10%)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 (5%)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 (8%)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spacing w:line="259" w:lineRule="auto"/>
              <w:ind w:left="168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 xml:space="preserve">Total </w:t>
            </w:r>
            <w:r w:rsidRPr="00851D2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Permanent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503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89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97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111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56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80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Per-Diem</w:t>
            </w: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3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Medical Doctor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(1%)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ind w:left="168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Paramedical Professional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Nurse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72 (12%)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(33%)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13 (6%)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 (12%)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23 (14%)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19 (31%)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(3%)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Pharmacy Staff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 (4%)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Laboratory Staff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66 (11%)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 (25%)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24 (11%)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18 (20%)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 (6%)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 (8%)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(10%)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CHEW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181 (29%)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(17%)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68 (30%)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31 (34%)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40 (25%)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20 (33%)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20 (28%)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JCHEW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54 (9%)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20 (9%)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19 (21%)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(4%)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 (10%)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Health Officer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 (1%)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(1%)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 (0%)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Other Staff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 xml:space="preserve"> a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236 (38%)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 (8%)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94 (42%)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 (9%)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80 (49%)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17 (28%)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36 (50%)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spacing w:line="259" w:lineRule="auto"/>
              <w:ind w:firstLineChars="100" w:firstLine="181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Total Per-Diem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622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223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91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163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61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72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spacing w:line="259" w:lineRule="auto"/>
              <w:ind w:firstLineChars="100" w:firstLine="181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Total Permanent and Per-Diem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1,125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101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320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274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117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152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Community Volunteers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58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17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32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>Total with Volunteers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1,183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118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306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124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  <w:t>152</w:t>
            </w:r>
          </w:p>
        </w:tc>
      </w:tr>
      <w:tr w:rsidR="00D73C87" w:rsidRPr="00851D2D" w:rsidTr="007E583D">
        <w:trPr>
          <w:trHeight w:val="115"/>
          <w:jc w:val="center"/>
        </w:trPr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0"/>
                <w:szCs w:val="10"/>
                <w:lang w:eastAsia="en-US" w:bidi="ar-SA"/>
              </w:rPr>
            </w:pPr>
          </w:p>
        </w:tc>
      </w:tr>
      <w:tr w:rsidR="00D73C87" w:rsidRPr="00851D2D" w:rsidTr="007E583D">
        <w:trPr>
          <w:trHeight w:val="115"/>
          <w:jc w:val="center"/>
        </w:trPr>
        <w:tc>
          <w:tcPr>
            <w:tcW w:w="133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0"/>
                <w:szCs w:val="10"/>
                <w:lang w:eastAsia="en-US" w:bidi="ar-SA"/>
              </w:rPr>
            </w:pPr>
          </w:p>
        </w:tc>
      </w:tr>
      <w:tr w:rsidR="00D73C87" w:rsidRPr="00851D2D" w:rsidTr="007E583D">
        <w:trPr>
          <w:trHeight w:val="80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 xml:space="preserve">Permanent Healthcare Staff 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443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86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59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53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74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 xml:space="preserve">Per-Diem Healthcare Staff 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386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129</w:t>
            </w:r>
          </w:p>
        </w:tc>
        <w:tc>
          <w:tcPr>
            <w:tcW w:w="52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83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83</w:t>
            </w:r>
          </w:p>
        </w:tc>
        <w:tc>
          <w:tcPr>
            <w:tcW w:w="522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44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</w:tr>
      <w:tr w:rsidR="00D73C87" w:rsidRPr="00851D2D" w:rsidTr="007E583D">
        <w:trPr>
          <w:trHeight w:val="259"/>
          <w:jc w:val="center"/>
        </w:trPr>
        <w:tc>
          <w:tcPr>
            <w:tcW w:w="1333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eastAsia="en-US" w:bidi="ar-SA"/>
              </w:rPr>
              <w:t xml:space="preserve">Total Healthcare Staff 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</w:p>
        </w:tc>
        <w:tc>
          <w:tcPr>
            <w:tcW w:w="523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829</w:t>
            </w:r>
          </w:p>
        </w:tc>
        <w:tc>
          <w:tcPr>
            <w:tcW w:w="523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523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215</w:t>
            </w:r>
          </w:p>
        </w:tc>
        <w:tc>
          <w:tcPr>
            <w:tcW w:w="523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142</w:t>
            </w:r>
          </w:p>
        </w:tc>
        <w:tc>
          <w:tcPr>
            <w:tcW w:w="521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183</w:t>
            </w:r>
          </w:p>
        </w:tc>
        <w:tc>
          <w:tcPr>
            <w:tcW w:w="522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97</w:t>
            </w:r>
          </w:p>
        </w:tc>
        <w:tc>
          <w:tcPr>
            <w:tcW w:w="532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110</w:t>
            </w:r>
          </w:p>
        </w:tc>
      </w:tr>
      <w:tr w:rsidR="00D73C87" w:rsidRPr="00851D2D" w:rsidTr="007E583D">
        <w:trPr>
          <w:trHeight w:val="288"/>
          <w:jc w:val="center"/>
        </w:trPr>
        <w:tc>
          <w:tcPr>
            <w:tcW w:w="5000" w:type="pct"/>
            <w:gridSpan w:val="8"/>
            <w:tcBorders>
              <w:top w:val="single" w:sz="8" w:space="0" w:color="auto"/>
              <w:left w:val="nil"/>
              <w:right w:val="nil"/>
            </w:tcBorders>
            <w:noWrap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>a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 xml:space="preserve"> Includes: cleaner, driver, environmental, health assistant, health attendant, health information officer, medical records, record officer, security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 xml:space="preserve"> Includes: Medical Doctors, Paramedical Professionals, Nurses, Pharmacy Technicians, Laboratory Technologists, CHEWs, JCHEWs, Health Officers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Abbreviations: (J)CHEW=</w:t>
            </w: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(Junior) C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ommunity Health Extension Worker</w:t>
            </w:r>
          </w:p>
        </w:tc>
      </w:tr>
    </w:tbl>
    <w:p w:rsidR="00D73C87" w:rsidRPr="00851D2D" w:rsidRDefault="00D73C87" w:rsidP="00D73C87">
      <w:pPr>
        <w:overflowPunct/>
        <w:spacing w:line="259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sectPr w:rsidR="00D73C87" w:rsidRPr="00851D2D" w:rsidSect="00093B6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3292"/>
        <w:gridCol w:w="1433"/>
        <w:gridCol w:w="2164"/>
        <w:gridCol w:w="1747"/>
        <w:gridCol w:w="752"/>
      </w:tblGrid>
      <w:tr w:rsidR="00D73C87" w:rsidRPr="00851D2D" w:rsidTr="007E583D">
        <w:trPr>
          <w:trHeight w:val="272"/>
          <w:tblHeader/>
        </w:trPr>
        <w:tc>
          <w:tcPr>
            <w:tcW w:w="0" w:type="auto"/>
            <w:gridSpan w:val="5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Supplemental Table 3.</w:t>
            </w:r>
            <w:r w:rsidRPr="00851D2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Sociodemographic and clinical characteristics of registered patients at baseline, by implementation period.</w:t>
            </w:r>
          </w:p>
        </w:tc>
      </w:tr>
      <w:tr w:rsidR="00D73C87" w:rsidRPr="00851D2D" w:rsidTr="007E583D">
        <w:trPr>
          <w:trHeight w:val="72"/>
          <w:tblHeader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Characteristic, N (%)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Total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bookmarkStart w:id="0" w:name="OLE_LINK50"/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N=21,922</w:t>
            </w:r>
            <w:bookmarkEnd w:id="0"/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9" w:type="dxa"/>
              <w:left w:w="180" w:type="dxa"/>
              <w:bottom w:w="29" w:type="dxa"/>
              <w:right w:w="14" w:type="dxa"/>
            </w:tcMar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Pre-Implementation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bookmarkStart w:id="1" w:name="OLE_LINK51"/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N=5,506 (25.1%)</w:t>
            </w:r>
            <w:bookmarkEnd w:id="1"/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Implementation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bookmarkStart w:id="2" w:name="OLE_LINK52"/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N=16,416 (74.9%)</w:t>
            </w:r>
            <w:bookmarkEnd w:id="2"/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P Value</w:t>
            </w:r>
          </w:p>
        </w:tc>
      </w:tr>
      <w:tr w:rsidR="00D73C87" w:rsidRPr="00851D2D" w:rsidTr="007E583D">
        <w:trPr>
          <w:trHeight w:val="216"/>
        </w:trPr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Area Council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Abaji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3,257 (14.9%)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883 (16.0%)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2,374 (14.5%)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AMAC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7,006 (32.0%)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1,655 (30.1%)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5,351 (32.6%)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Bwari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3,249 (14.8%)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846 (15.4%)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2,403 (14.6%)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Gwagwalada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4,218 (19.2%)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1,123 (20.4%)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3,095 (18.9%)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Kuje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1,999 (9.1%)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369 (6.7%)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1,630 (9.9%)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Kwali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2,193 (10.0%)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630 (11.4%)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1,563 (9.5%)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Age, years, Median (IQR)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49 (40, 58)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48 (38, 57)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50 (41, 58)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14,942 (68.2%)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3,664 (66.6%)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11,278 (68.7%)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0.003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BMI, kg/m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vertAlign w:val="superscript"/>
                <w:lang w:eastAsia="en-US" w:bidi="ar-SA"/>
              </w:rPr>
              <w:t>2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, Median (IQR)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26.6 (23.1, 30.9)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26.6 (23.3, 30.8)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26.6 (23.1, 30.9)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0.74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Education</w:t>
            </w:r>
          </w:p>
        </w:tc>
        <w:tc>
          <w:tcPr>
            <w:tcW w:w="0" w:type="auto"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Never attended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5,899 (27.0%)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1,478 (26.9%)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4,421 (27.1%)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Primary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4,105 (18.8%)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1,059 (19.3%)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3,046 (18.7%)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Secondary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6,123 (28.1%)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1,596 (29.1%)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4,527 (27.7%)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College/Post-Secondary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4,828 (22.1%)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1,150 (21.0%)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3,678 (22.5%)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Professional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751 (3.4%)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159 (2.9%)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592 (3.6%)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Theological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115 (0.5%)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46 (0.8%)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69 (0.4%)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History of Diabetes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974 (4.4%)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311 (5.7%)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663 (4.1%)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Current Smoker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201 (0.9%)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56 (1.0%)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145 (0.9%)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0.37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Current Alcohol User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774 (3.5%)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227 (4.1%)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547 (3.3%)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0.006</w:t>
            </w:r>
          </w:p>
        </w:tc>
      </w:tr>
      <w:tr w:rsidR="00D73C87" w:rsidRPr="00851D2D" w:rsidTr="007E583D">
        <w:trPr>
          <w:trHeight w:val="96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Previous </w:t>
            </w:r>
            <w:proofErr w:type="spellStart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Diagnosis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vertAlign w:val="superscript"/>
                <w:lang w:eastAsia="en-US" w:bidi="ar-SA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10,683 (48.7%)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2,896 (52.6%)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7,787 (47.4%)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Among Patients with Previous Diagnosis</w:t>
            </w:r>
          </w:p>
        </w:tc>
        <w:tc>
          <w:tcPr>
            <w:tcW w:w="0" w:type="auto"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bookmarkStart w:id="3" w:name="OLE_LINK56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Walk-in </w:t>
            </w:r>
            <w:bookmarkEnd w:id="3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Treated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6,966 (65.2%)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2,112 (72.9%)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4,854 (62.3%)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Walk-in Controlled*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2,059 (19.3%)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575 (19.9%)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1,484 (19.1%)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0.35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Among All Patients</w:t>
            </w:r>
          </w:p>
        </w:tc>
        <w:tc>
          <w:tcPr>
            <w:tcW w:w="0" w:type="auto"/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Walk-in Treated*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9,457 (43.1%)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3,049 (55.4%)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6,408 (39.0%)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Walk-in Controlled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2,792 (12.7%)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749 (13.6%)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2,043 (12.5%)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0.03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Systolic </w:t>
            </w:r>
            <w:proofErr w:type="spellStart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BP</w:t>
            </w:r>
            <w:bookmarkStart w:id="4" w:name="OLE_LINK61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,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  <w:proofErr w:type="spellEnd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 mmHg</w:t>
            </w:r>
            <w:bookmarkEnd w:id="4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, </w:t>
            </w:r>
            <w:bookmarkStart w:id="5" w:name="OLE_LINK24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Median (IQR)</w:t>
            </w:r>
            <w:bookmarkEnd w:id="5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154 (143, 168)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152 (142, 164)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154 (143, 169)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bookmarkStart w:id="6" w:name="OLE_LINK36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Diastolic </w:t>
            </w:r>
            <w:proofErr w:type="spellStart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BP,</w:t>
            </w: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  <w:proofErr w:type="spellEnd"/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 xml:space="preserve"> mmHg, Median (IQR)</w:t>
            </w:r>
            <w:bookmarkEnd w:id="6"/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96 (88, 105)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95 (88, 104)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96 (88, 105)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Heart Rate, bpm, Median (IQR)</w:t>
            </w:r>
          </w:p>
        </w:tc>
        <w:tc>
          <w:tcPr>
            <w:tcW w:w="0" w:type="auto"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82 (74, 92)</w:t>
            </w:r>
          </w:p>
        </w:tc>
        <w:tc>
          <w:tcPr>
            <w:tcW w:w="0" w:type="auto"/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83 (75, 92)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82 (74, 91)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0.01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left="259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Walk-Out Treated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20,941 (95.5%)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9" w:type="dxa"/>
              <w:left w:w="180" w:type="dxa"/>
              <w:bottom w:w="29" w:type="dxa"/>
              <w:right w:w="14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5,032 (91.4%)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15,909 (96.9%)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&lt;.0001</w:t>
            </w:r>
          </w:p>
        </w:tc>
      </w:tr>
      <w:tr w:rsidR="00D73C87" w:rsidRPr="00851D2D" w:rsidTr="007E583D">
        <w:trPr>
          <w:trHeight w:val="72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gram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vertAlign w:val="superscript"/>
                <w:lang w:eastAsia="en-US" w:bidi="ar-SA"/>
              </w:rPr>
              <w:t>a</w:t>
            </w:r>
            <w:proofErr w:type="gramEnd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Self-report or clinic knowledge of a prior diagnosis. 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gramStart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vertAlign w:val="superscript"/>
                <w:lang w:eastAsia="en-US" w:bidi="ar-SA"/>
              </w:rPr>
              <w:t>b</w:t>
            </w:r>
            <w:proofErr w:type="gramEnd"/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vertAlign w:val="superscript"/>
                <w:lang w:eastAsia="en-US" w:bidi="ar-SA"/>
              </w:rPr>
              <w:t xml:space="preserve"> </w:t>
            </w: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Average of two measurements following a prescribed measurement protocol. 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>*The walk-in treatment rate can be considered the rate at the start of a patient’s baseline visit.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** &lt; 140/90 mmHg Following the Nigeria Hypertension Treatment Protocol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eastAsia="en-US" w:bidi="ar-SA"/>
              </w:rPr>
              <w:t>Abbreviations: AMAC, Abuja Municipal Area Council; BMI, body mass index; BP, blood pressure; HTN, hypertension; IQR, interquartile range</w:t>
            </w:r>
            <w:r w:rsidRPr="00851D2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</w:tr>
    </w:tbl>
    <w:p w:rsidR="00D73C87" w:rsidRPr="00851D2D" w:rsidRDefault="00D73C87" w:rsidP="00D73C87">
      <w:pPr>
        <w:overflowPunct/>
        <w:spacing w:after="16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sectPr w:rsidR="00D73C87" w:rsidRPr="00851D2D" w:rsidSect="00FE376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73C87" w:rsidRPr="00851D2D" w:rsidRDefault="00D73C87" w:rsidP="00D73C87">
      <w:pPr>
        <w:overflowPunct/>
        <w:ind w:left="-63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proofErr w:type="gramStart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lastRenderedPageBreak/>
        <w:t>Supplemental Table 4.</w:t>
      </w:r>
      <w:proofErr w:type="gramEnd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Characteristics of 3-, 6-</w:t>
      </w:r>
      <w:proofErr w:type="gramStart"/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,12</w:t>
      </w:r>
      <w:proofErr w:type="gramEnd"/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-, 24-month retention rate by areas.</w:t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1225"/>
        <w:gridCol w:w="1020"/>
        <w:gridCol w:w="597"/>
        <w:gridCol w:w="1226"/>
        <w:gridCol w:w="1020"/>
        <w:gridCol w:w="597"/>
        <w:gridCol w:w="1226"/>
        <w:gridCol w:w="1020"/>
        <w:gridCol w:w="597"/>
        <w:gridCol w:w="1226"/>
        <w:gridCol w:w="1020"/>
        <w:gridCol w:w="597"/>
      </w:tblGrid>
      <w:tr w:rsidR="00D73C87" w:rsidRPr="00851D2D" w:rsidTr="00AF4D65">
        <w:trPr>
          <w:trHeight w:val="300"/>
        </w:trPr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Area</w:t>
            </w:r>
          </w:p>
        </w:tc>
        <w:tc>
          <w:tcPr>
            <w:tcW w:w="1067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3-month retention rate, N (%)</w:t>
            </w:r>
          </w:p>
        </w:tc>
        <w:tc>
          <w:tcPr>
            <w:tcW w:w="1107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6-month retention rate, N (%)</w:t>
            </w:r>
          </w:p>
        </w:tc>
        <w:tc>
          <w:tcPr>
            <w:tcW w:w="1198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12-month retention rate, N (%)</w:t>
            </w:r>
          </w:p>
        </w:tc>
        <w:tc>
          <w:tcPr>
            <w:tcW w:w="1198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>24-month retention rate, N (%)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pre-implementation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implementation</w:t>
            </w:r>
          </w:p>
        </w:tc>
        <w:tc>
          <w:tcPr>
            <w:tcW w:w="20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 value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pre-implementation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implementation</w:t>
            </w:r>
          </w:p>
        </w:tc>
        <w:tc>
          <w:tcPr>
            <w:tcW w:w="2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 value</w:t>
            </w: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pre-implementation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implementation</w:t>
            </w:r>
          </w:p>
        </w:tc>
        <w:tc>
          <w:tcPr>
            <w:tcW w:w="2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 value</w:t>
            </w: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pre-implementation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implementation</w:t>
            </w:r>
          </w:p>
        </w:tc>
        <w:tc>
          <w:tcPr>
            <w:tcW w:w="24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P value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Abaji</w:t>
            </w:r>
            <w:proofErr w:type="spellEnd"/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519 (58.9%)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1469 (64.1%)</w:t>
            </w:r>
          </w:p>
        </w:tc>
        <w:tc>
          <w:tcPr>
            <w:tcW w:w="205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0.914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628 (71.3%)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1519 (69.4%)</w:t>
            </w:r>
          </w:p>
        </w:tc>
        <w:tc>
          <w:tcPr>
            <w:tcW w:w="245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0.094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719 (81.6%)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1472 (72.1%)</w:t>
            </w:r>
          </w:p>
        </w:tc>
        <w:tc>
          <w:tcPr>
            <w:tcW w:w="245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&lt;0.001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755 (85.7%)</w:t>
            </w: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1131 (78.0%)</w:t>
            </w:r>
          </w:p>
        </w:tc>
        <w:tc>
          <w:tcPr>
            <w:tcW w:w="245" w:type="pct"/>
            <w:tcBorders>
              <w:top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0.031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Abuja Municipal Area Council 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639 (38.4%)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2668 (50.7%)</w:t>
            </w:r>
          </w:p>
        </w:tc>
        <w:tc>
          <w:tcPr>
            <w:tcW w:w="20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0.009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749 (45.0%)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2914 (57.5%)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858 (51.6%)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2869 (61.6%)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965 (58.0%)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2128 (65.9%)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0.029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Bwari</w:t>
            </w:r>
            <w:proofErr w:type="spellEnd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358 (41.9%)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1348 (57.5%)</w:t>
            </w:r>
          </w:p>
        </w:tc>
        <w:tc>
          <w:tcPr>
            <w:tcW w:w="20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0.002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433 (50.6%)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1383 (62.5%)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0.028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500 (58.5%)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1356 (66.9%)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0.649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535 (62.6%)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964 (71.7%)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0.256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Gwagwalada</w:t>
            </w:r>
            <w:proofErr w:type="spellEnd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729 (65.5%)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1775 (59.0%)</w:t>
            </w:r>
          </w:p>
        </w:tc>
        <w:tc>
          <w:tcPr>
            <w:tcW w:w="20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0.017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809 (72.7%)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1903 (65.4%)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853 (76.6%)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1876 (68.2%)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888 (79.8%)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1476 (73.1%)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0.096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Kuje</w:t>
            </w:r>
            <w:proofErr w:type="spellEnd"/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239 (64.8%)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1045 (67.4%)</w:t>
            </w:r>
          </w:p>
        </w:tc>
        <w:tc>
          <w:tcPr>
            <w:tcW w:w="20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0.29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285 (77.2%)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1072 (72.4%)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0.021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294 (79.7%)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1006 (76.2%)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0.113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302 (81.8%)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636 (82.5%)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0.734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Kwali</w:t>
            </w:r>
            <w:proofErr w:type="spellEnd"/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360 (56.8%)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843 (54.4%)</w:t>
            </w:r>
          </w:p>
        </w:tc>
        <w:tc>
          <w:tcPr>
            <w:tcW w:w="20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0.123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401 (63.2%)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896 (59.9%)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0.044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429 (67.7%)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897 (64.3%)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0.158</w:t>
            </w:r>
          </w:p>
        </w:tc>
        <w:tc>
          <w:tcPr>
            <w:tcW w:w="522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448 (70.7%)</w:t>
            </w:r>
          </w:p>
        </w:tc>
        <w:tc>
          <w:tcPr>
            <w:tcW w:w="431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699 (71.0%)</w:t>
            </w:r>
          </w:p>
        </w:tc>
        <w:tc>
          <w:tcPr>
            <w:tcW w:w="245" w:type="pct"/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0.829</w:t>
            </w:r>
          </w:p>
        </w:tc>
      </w:tr>
      <w:tr w:rsidR="00D73C87" w:rsidRPr="00851D2D" w:rsidTr="00AF4D65">
        <w:trPr>
          <w:trHeight w:val="300"/>
        </w:trPr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Overall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2844 (51.6%)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9148 (57.2%)</w:t>
            </w:r>
          </w:p>
        </w:tc>
        <w:tc>
          <w:tcPr>
            <w:tcW w:w="205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0.717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3305 (59.9%)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9687 (63.1%)</w:t>
            </w:r>
          </w:p>
        </w:tc>
        <w:tc>
          <w:tcPr>
            <w:tcW w:w="245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0.647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3653 (66.2%)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9476 (66.8%)</w:t>
            </w:r>
          </w:p>
        </w:tc>
        <w:tc>
          <w:tcPr>
            <w:tcW w:w="245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0.338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3893 (70.6%)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7034 (71.8%)</w:t>
            </w:r>
          </w:p>
        </w:tc>
        <w:tc>
          <w:tcPr>
            <w:tcW w:w="245" w:type="pct"/>
            <w:tcBorders>
              <w:bottom w:val="single" w:sz="12" w:space="0" w:color="auto"/>
            </w:tcBorders>
            <w:noWrap/>
            <w:hideMark/>
          </w:tcPr>
          <w:p w:rsidR="00D73C87" w:rsidRPr="00851D2D" w:rsidRDefault="00D73C87" w:rsidP="007E583D">
            <w:pPr>
              <w:overflowPunct/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hAnsi="Times New Roman" w:cs="Times New Roman"/>
                <w:kern w:val="0"/>
                <w:sz w:val="18"/>
                <w:szCs w:val="18"/>
                <w:lang w:eastAsia="en-US" w:bidi="ar-SA"/>
              </w:rPr>
              <w:t>0.591</w:t>
            </w:r>
          </w:p>
        </w:tc>
      </w:tr>
    </w:tbl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br w:type="page"/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</w:p>
    <w:p w:rsidR="00D73C87" w:rsidRPr="00851D2D" w:rsidRDefault="00D73C87" w:rsidP="00D73C87">
      <w:pPr>
        <w:overflowPunct/>
        <w:spacing w:after="16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851D2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en-US" w:bidi="ar-SA"/>
        </w:rPr>
        <w:drawing>
          <wp:inline distT="0" distB="0" distL="0" distR="0" wp14:anchorId="2A706A1D" wp14:editId="35A3AFE1">
            <wp:extent cx="8229600" cy="22860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6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23"/>
        <w:gridCol w:w="669"/>
        <w:gridCol w:w="692"/>
        <w:gridCol w:w="692"/>
        <w:gridCol w:w="692"/>
        <w:gridCol w:w="692"/>
        <w:gridCol w:w="695"/>
        <w:gridCol w:w="791"/>
      </w:tblGrid>
      <w:tr w:rsidR="00D73C87" w:rsidRPr="00851D2D" w:rsidTr="00AF4D65">
        <w:trPr>
          <w:trHeight w:val="288"/>
        </w:trPr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Baseline</w:t>
            </w:r>
          </w:p>
        </w:tc>
        <w:tc>
          <w:tcPr>
            <w:tcW w:w="16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Availability of free BP lowering medications (Protocol 1)</w:t>
            </w:r>
          </w:p>
        </w:tc>
        <w:tc>
          <w:tcPr>
            <w:tcW w:w="15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Drug revolving fund implemented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Total*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3C87" w:rsidRPr="00851D2D" w:rsidRDefault="00D73C87" w:rsidP="007E583D">
            <w:pPr>
              <w:overflowPunct/>
              <w:spacing w:after="160" w:line="259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  <w:tc>
          <w:tcPr>
            <w:tcW w:w="106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  <w:tc>
          <w:tcPr>
            <w:tcW w:w="106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Region (n PHCs)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2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Abaji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1,051ᵃ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3,737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4,311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2,655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1,186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2,335ᵃ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1,458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1,325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709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843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1,086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1,094ᵃ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21,799ᶜ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AMAC (n=15)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163ᵃ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656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103ʰ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1,444ᵈ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1,725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1,885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1,927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1,704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2,004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2,900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3,294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1,600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954ᶜ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1,223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1,395ᵃ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22,977ʲ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Bwari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59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187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132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996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726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790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1,005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2,303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1,252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675ᵃ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903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948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837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640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566ᵃ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12,019ᵇ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Gwagwalada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(n=11)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2,135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6,327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1,119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714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1,735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192ᶠ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2,633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2,828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1,355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920ᵃ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924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883ᵃ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21,788ʰ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Kuje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80</w:t>
            </w:r>
            <w:bookmarkStart w:id="7" w:name="_GoBack"/>
            <w:bookmarkEnd w:id="7"/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8,781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1,728ᵃ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2,596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5,021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1,250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15,345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13,407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1,295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338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49,847ᵃ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Kwali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(n=10)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0ᵈ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1,121ᵇ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6,737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1,062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2,161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1,820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1,793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1,305ᵃ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982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994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1,176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1,082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869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21,102ᵍ</w:t>
            </w:r>
          </w:p>
        </w:tc>
      </w:tr>
      <w:tr w:rsidR="00D73C87" w:rsidRPr="00851D2D" w:rsidTr="00AF4D65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Total (n=60)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236ᵉ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247ᶦ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6,753ᵍ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19,332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9,167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17,243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10,476ᵃ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10,172ᵍ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13,992ᵇ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10,582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20,951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18,137ᵈ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6,250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5,145ᵈ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149,532ᵏ</w:t>
            </w:r>
          </w:p>
        </w:tc>
      </w:tr>
      <w:tr w:rsidR="00D73C87" w:rsidRPr="00851D2D" w:rsidTr="00AF4D65">
        <w:trPr>
          <w:trHeight w:val="737"/>
        </w:trPr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tabs>
                <w:tab w:val="left" w:pos="90"/>
              </w:tabs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Primary healthcare center inventories missing: ᵃ n=1; ᵇ n=2; ᶜ n=3; ᵈ n=4; ᵉ n=5; ᶠ n=6; ᵍ n=7; ʰ n=9; ᶦ n=10; ʲ n=18; ᵏ n=40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US" w:bidi="ar-SA"/>
              </w:rPr>
              <w:t xml:space="preserve">† 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Blood pressure lowering medications including: amlodipine, losartan, hydrochlorothiazide, amlodipine + losartan, amlodipine + losartan + 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hydrochlorothiazide</w:t>
            </w:r>
          </w:p>
        </w:tc>
      </w:tr>
    </w:tbl>
    <w:p w:rsidR="00D73C87" w:rsidRPr="00851D2D" w:rsidRDefault="00D73C87" w:rsidP="00D73C87">
      <w:pPr>
        <w:tabs>
          <w:tab w:val="left" w:pos="90"/>
        </w:tabs>
        <w:overflowPunct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</w:pPr>
      <w:r w:rsidRPr="00851D2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  <w:t>*P value for the trend &lt;.0001</w:t>
      </w:r>
    </w:p>
    <w:p w:rsidR="00D73C87" w:rsidRPr="00851D2D" w:rsidRDefault="00D73C87" w:rsidP="00D73C87">
      <w:pPr>
        <w:tabs>
          <w:tab w:val="left" w:pos="90"/>
        </w:tabs>
        <w:overflowPunct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</w:pP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proofErr w:type="gramStart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Supplemental Figure 1a.</w:t>
      </w:r>
      <w:proofErr w:type="gramEnd"/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Number of 30-day doses of any BP-lowering drugs in stock by area council (Protocol 1).</w:t>
      </w:r>
    </w:p>
    <w:p w:rsidR="00D73C87" w:rsidRPr="00851D2D" w:rsidRDefault="00D73C87" w:rsidP="00D73C87">
      <w:pPr>
        <w:overflowPunct/>
        <w:rPr>
          <w:rFonts w:ascii="Times New Roman" w:hAnsi="Times New Roman" w:cs="Times New Roman"/>
          <w:noProof/>
          <w:lang w:eastAsia="en-US" w:bidi="ar-SA"/>
        </w:rPr>
      </w:pPr>
      <w:r w:rsidRPr="00851D2D">
        <w:rPr>
          <w:rFonts w:ascii="Times New Roman" w:hAnsi="Times New Roman" w:cs="Times New Roman"/>
          <w:noProof/>
          <w:lang w:eastAsia="en-US" w:bidi="ar-SA"/>
        </w:rPr>
        <w:br w:type="page"/>
      </w:r>
    </w:p>
    <w:p w:rsidR="00D73C87" w:rsidRPr="00851D2D" w:rsidRDefault="00D73C87" w:rsidP="00D73C87">
      <w:pPr>
        <w:overflowPunct/>
        <w:rPr>
          <w:rFonts w:ascii="Times New Roman" w:hAnsi="Times New Roman" w:cs="Times New Roman"/>
          <w:noProof/>
          <w:lang w:eastAsia="en-US" w:bidi="ar-SA"/>
        </w:rPr>
      </w:pPr>
    </w:p>
    <w:p w:rsidR="00D73C87" w:rsidRPr="00851D2D" w:rsidRDefault="00D73C87" w:rsidP="00D73C87">
      <w:pPr>
        <w:overflowPunct/>
        <w:spacing w:after="16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851D2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en-US" w:bidi="ar-SA"/>
        </w:rPr>
        <w:drawing>
          <wp:inline distT="0" distB="0" distL="0" distR="0" wp14:anchorId="70EBF171" wp14:editId="269A743D">
            <wp:extent cx="8229600" cy="22860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W w:w="50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698"/>
        <w:gridCol w:w="697"/>
        <w:gridCol w:w="697"/>
        <w:gridCol w:w="697"/>
        <w:gridCol w:w="697"/>
        <w:gridCol w:w="697"/>
        <w:gridCol w:w="697"/>
        <w:gridCol w:w="697"/>
        <w:gridCol w:w="697"/>
        <w:gridCol w:w="24"/>
        <w:gridCol w:w="674"/>
        <w:gridCol w:w="697"/>
        <w:gridCol w:w="697"/>
        <w:gridCol w:w="697"/>
        <w:gridCol w:w="697"/>
        <w:gridCol w:w="700"/>
        <w:gridCol w:w="796"/>
      </w:tblGrid>
      <w:tr w:rsidR="00D73C87" w:rsidRPr="00851D2D" w:rsidTr="007E583D">
        <w:trPr>
          <w:trHeight w:val="288"/>
        </w:trPr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Baseline</w:t>
            </w:r>
          </w:p>
        </w:tc>
        <w:tc>
          <w:tcPr>
            <w:tcW w:w="16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Availability of free BP lowering medications (Protocol 2)</w:t>
            </w:r>
          </w:p>
        </w:tc>
        <w:tc>
          <w:tcPr>
            <w:tcW w:w="15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  <w:t>Drug revolving fund implemented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Total*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spacing w:after="160" w:line="259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  <w:tc>
          <w:tcPr>
            <w:tcW w:w="106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  <w:tc>
          <w:tcPr>
            <w:tcW w:w="106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  <w:tc>
          <w:tcPr>
            <w:tcW w:w="3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Region (n PHCs)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Q4</w:t>
            </w:r>
          </w:p>
        </w:tc>
        <w:tc>
          <w:tcPr>
            <w:tcW w:w="3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73C87" w:rsidRPr="00851D2D" w:rsidRDefault="00D73C87" w:rsidP="007E583D">
            <w:pPr>
              <w:overflowPunct/>
              <w:spacing w:line="254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Abaji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1,051ᵃ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3,737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4,311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2,655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1,186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2,447ᵃ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3,514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2,083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1,686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1,841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2,211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1,741ᵃ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28,492ᶜ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AMAC (n=15)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203ᵃ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656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103ʰ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1,444ᵈ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1,740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1,900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1,963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1,704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2,004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3,765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4,406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2,205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1,624ᶜ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2,203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1,768ᵃ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27,688ʲ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Bwari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209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146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996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729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790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1,005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2,303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1,252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989ᵃ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1,148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1,365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1,339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887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805ᵃ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14,060ᵇ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Gwagwalada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(n=11)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2,135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6,327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1,119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714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1,735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192ᶠ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3,492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2,973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13,134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1,182ᵃ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1,174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954ᵃ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35,155ʰ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Kuje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(n=8)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8,781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1,728ᵃ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2,596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5,696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1,864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18,292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15,691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2,102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488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57,324ᵃ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Kwali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(n=10)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0ᵈ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1,121ᵇ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6,737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1,062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2,161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1,820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1,793</w:t>
            </w:r>
          </w:p>
        </w:tc>
        <w:tc>
          <w:tcPr>
            <w:tcW w:w="267" w:type="pct"/>
            <w:gridSpan w:val="2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1,741ᵃ</w:t>
            </w:r>
          </w:p>
        </w:tc>
        <w:tc>
          <w:tcPr>
            <w:tcW w:w="267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1,240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1,502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1,712</w:t>
            </w:r>
          </w:p>
        </w:tc>
        <w:tc>
          <w:tcPr>
            <w:tcW w:w="267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1,575</w:t>
            </w:r>
          </w:p>
        </w:tc>
        <w:tc>
          <w:tcPr>
            <w:tcW w:w="268" w:type="pct"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1,401</w:t>
            </w:r>
          </w:p>
        </w:tc>
        <w:tc>
          <w:tcPr>
            <w:tcW w:w="305" w:type="pct"/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23,865ᵍ</w:t>
            </w:r>
          </w:p>
        </w:tc>
      </w:tr>
      <w:tr w:rsidR="00D73C87" w:rsidRPr="00851D2D" w:rsidTr="007E583D">
        <w:trPr>
          <w:trHeight w:val="288"/>
        </w:trPr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Total (n=60)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335ᵉ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871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261ᶦ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6,753ᵍ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19,350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9,182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17,279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10,476ᵃ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10,284ᵍ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19,197ᵇ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13,714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38,184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23,389ᵈ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10,152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7,157ᵈ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73C87" w:rsidRPr="00851D2D" w:rsidRDefault="00D73C87" w:rsidP="007E583D">
            <w:pPr>
              <w:overflowPunct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  <w:t>186,584ᵏ</w:t>
            </w:r>
          </w:p>
        </w:tc>
      </w:tr>
      <w:tr w:rsidR="00D73C87" w:rsidRPr="00851D2D" w:rsidTr="007E583D">
        <w:trPr>
          <w:trHeight w:val="737"/>
        </w:trPr>
        <w:tc>
          <w:tcPr>
            <w:tcW w:w="5000" w:type="pct"/>
            <w:gridSpan w:val="18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C87" w:rsidRPr="00851D2D" w:rsidRDefault="00D73C87" w:rsidP="007E583D">
            <w:pPr>
              <w:tabs>
                <w:tab w:val="left" w:pos="90"/>
              </w:tabs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Primary healthcare center inventories missing: ᵃ n=1; ᵇ n=2; ᶜ n=3; ᵈ n=4; ᵉ n=5; ᶠ n=6; ᵍ n=7; ʰ n=9; ᶦ n=10; ʲ n=18; ᵏ n=40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en-US" w:bidi="ar-SA"/>
              </w:rPr>
              <w:t xml:space="preserve">† </w:t>
            </w: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Blood pressure lowering medications including: amlodipine, losartan, hydrochlorothiazide, amlodipine + losartan, amlodipine + losartan + </w:t>
            </w:r>
          </w:p>
          <w:p w:rsidR="00D73C87" w:rsidRPr="00851D2D" w:rsidRDefault="00D73C87" w:rsidP="007E583D">
            <w:pPr>
              <w:overflowPunct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hydrochlorothiazide, </w:t>
            </w:r>
            <w:proofErr w:type="spellStart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amiloride</w:t>
            </w:r>
            <w:proofErr w:type="spellEnd"/>
            <w:r w:rsidRPr="00851D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+ hydrochlorothiazide</w:t>
            </w:r>
          </w:p>
        </w:tc>
      </w:tr>
    </w:tbl>
    <w:p w:rsidR="00D73C87" w:rsidRPr="00851D2D" w:rsidRDefault="00D73C87" w:rsidP="00D73C87">
      <w:pPr>
        <w:overflowPunct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</w:pPr>
      <w:r w:rsidRPr="00851D2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  <w:t>*P value for the trend &lt;.0001</w:t>
      </w:r>
    </w:p>
    <w:p w:rsidR="00D73C87" w:rsidRPr="00851D2D" w:rsidRDefault="00D73C87" w:rsidP="00D73C87">
      <w:pPr>
        <w:overflowPunct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US" w:bidi="ar-SA"/>
        </w:rPr>
      </w:pPr>
    </w:p>
    <w:p w:rsidR="00D73C87" w:rsidRPr="00851D2D" w:rsidRDefault="00D73C87" w:rsidP="00D73C87">
      <w:pPr>
        <w:overflowPunct/>
        <w:spacing w:after="16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proofErr w:type="gramStart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Supplemental Figure 1b.</w:t>
      </w:r>
      <w:proofErr w:type="gramEnd"/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Number of 30-day doses of any BP-lowering drugs in stock by area council (Protocol 2)</w:t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br w:type="page"/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r w:rsidRPr="00851D2D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en-US" w:bidi="ar-SA"/>
        </w:rPr>
        <w:lastRenderedPageBreak/>
        <w:drawing>
          <wp:inline distT="0" distB="0" distL="0" distR="0" wp14:anchorId="3B86E398" wp14:editId="40D617AF">
            <wp:extent cx="7396099" cy="41187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2309" cy="4122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3C87" w:rsidRPr="00851D2D" w:rsidRDefault="00D73C87" w:rsidP="00D73C87">
      <w:pPr>
        <w:overflowPunct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  <w:proofErr w:type="gramStart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Supplemental Figure 2.</w:t>
      </w:r>
      <w:proofErr w:type="gramEnd"/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r w:rsidRPr="00851D2D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Participant flowchart: enrollment and inclusion.</w:t>
      </w:r>
      <w:r w:rsidRPr="00851D2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 xml:space="preserve">  </w:t>
      </w:r>
    </w:p>
    <w:p w:rsidR="0049600C" w:rsidRDefault="0049600C">
      <w:pPr>
        <w:rPr>
          <w:rFonts w:hint="eastAsia"/>
        </w:rPr>
      </w:pPr>
    </w:p>
    <w:sectPr w:rsidR="0049600C" w:rsidSect="001E08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ongti SC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NNFPLJ+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701"/>
    <w:multiLevelType w:val="hybridMultilevel"/>
    <w:tmpl w:val="DF56A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95324"/>
    <w:multiLevelType w:val="hybridMultilevel"/>
    <w:tmpl w:val="9D507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F050E"/>
    <w:multiLevelType w:val="hybridMultilevel"/>
    <w:tmpl w:val="51882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944E7D"/>
    <w:multiLevelType w:val="hybridMultilevel"/>
    <w:tmpl w:val="C854C9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C0B4656"/>
    <w:multiLevelType w:val="hybridMultilevel"/>
    <w:tmpl w:val="96BE9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79420D"/>
    <w:multiLevelType w:val="hybridMultilevel"/>
    <w:tmpl w:val="3B6AE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8064A0"/>
    <w:multiLevelType w:val="hybridMultilevel"/>
    <w:tmpl w:val="51A0EE4C"/>
    <w:lvl w:ilvl="0" w:tplc="640CB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8A19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E20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06FD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D8B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65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44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76C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084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EC55B05"/>
    <w:multiLevelType w:val="hybridMultilevel"/>
    <w:tmpl w:val="17C09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FBC507A"/>
    <w:multiLevelType w:val="hybridMultilevel"/>
    <w:tmpl w:val="57C6E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FD240E"/>
    <w:multiLevelType w:val="hybridMultilevel"/>
    <w:tmpl w:val="DEB69E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B25E31"/>
    <w:multiLevelType w:val="hybridMultilevel"/>
    <w:tmpl w:val="7966A1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27354C"/>
    <w:multiLevelType w:val="hybridMultilevel"/>
    <w:tmpl w:val="DDE8BD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FE61C91"/>
    <w:multiLevelType w:val="hybridMultilevel"/>
    <w:tmpl w:val="EA8EF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0EE36B8"/>
    <w:multiLevelType w:val="hybridMultilevel"/>
    <w:tmpl w:val="D196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AF1B39"/>
    <w:multiLevelType w:val="multilevel"/>
    <w:tmpl w:val="0E02D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5606EC"/>
    <w:multiLevelType w:val="hybridMultilevel"/>
    <w:tmpl w:val="643A6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915876"/>
    <w:multiLevelType w:val="hybridMultilevel"/>
    <w:tmpl w:val="D8CCC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244077"/>
    <w:multiLevelType w:val="hybridMultilevel"/>
    <w:tmpl w:val="BC908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8244BC"/>
    <w:multiLevelType w:val="hybridMultilevel"/>
    <w:tmpl w:val="4D9E2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F0B20EA"/>
    <w:multiLevelType w:val="hybridMultilevel"/>
    <w:tmpl w:val="47A297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F7F90"/>
    <w:multiLevelType w:val="hybridMultilevel"/>
    <w:tmpl w:val="E4ECF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AA0BEE"/>
    <w:multiLevelType w:val="hybridMultilevel"/>
    <w:tmpl w:val="A09C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463278"/>
    <w:multiLevelType w:val="hybridMultilevel"/>
    <w:tmpl w:val="788633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AD63D6"/>
    <w:multiLevelType w:val="multilevel"/>
    <w:tmpl w:val="9362A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8E7D0E"/>
    <w:multiLevelType w:val="hybridMultilevel"/>
    <w:tmpl w:val="A98E1C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0C01E8"/>
    <w:multiLevelType w:val="hybridMultilevel"/>
    <w:tmpl w:val="F31C43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9587924"/>
    <w:multiLevelType w:val="hybridMultilevel"/>
    <w:tmpl w:val="3A0AEB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B73630"/>
    <w:multiLevelType w:val="hybridMultilevel"/>
    <w:tmpl w:val="3490CC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14"/>
  </w:num>
  <w:num w:numId="3">
    <w:abstractNumId w:val="21"/>
  </w:num>
  <w:num w:numId="4">
    <w:abstractNumId w:val="16"/>
  </w:num>
  <w:num w:numId="5">
    <w:abstractNumId w:val="1"/>
  </w:num>
  <w:num w:numId="6">
    <w:abstractNumId w:val="15"/>
  </w:num>
  <w:num w:numId="7">
    <w:abstractNumId w:val="12"/>
  </w:num>
  <w:num w:numId="8">
    <w:abstractNumId w:val="27"/>
  </w:num>
  <w:num w:numId="9">
    <w:abstractNumId w:val="22"/>
  </w:num>
  <w:num w:numId="10">
    <w:abstractNumId w:val="10"/>
  </w:num>
  <w:num w:numId="11">
    <w:abstractNumId w:val="4"/>
  </w:num>
  <w:num w:numId="12">
    <w:abstractNumId w:val="17"/>
  </w:num>
  <w:num w:numId="13">
    <w:abstractNumId w:val="7"/>
  </w:num>
  <w:num w:numId="14">
    <w:abstractNumId w:val="26"/>
  </w:num>
  <w:num w:numId="15">
    <w:abstractNumId w:val="19"/>
  </w:num>
  <w:num w:numId="16">
    <w:abstractNumId w:val="2"/>
  </w:num>
  <w:num w:numId="17">
    <w:abstractNumId w:val="24"/>
  </w:num>
  <w:num w:numId="18">
    <w:abstractNumId w:val="9"/>
  </w:num>
  <w:num w:numId="19">
    <w:abstractNumId w:val="25"/>
  </w:num>
  <w:num w:numId="20">
    <w:abstractNumId w:val="11"/>
  </w:num>
  <w:num w:numId="21">
    <w:abstractNumId w:val="8"/>
  </w:num>
  <w:num w:numId="22">
    <w:abstractNumId w:val="6"/>
  </w:num>
  <w:num w:numId="23">
    <w:abstractNumId w:val="0"/>
  </w:num>
  <w:num w:numId="24">
    <w:abstractNumId w:val="13"/>
  </w:num>
  <w:num w:numId="25">
    <w:abstractNumId w:val="20"/>
  </w:num>
  <w:num w:numId="26">
    <w:abstractNumId w:val="3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87"/>
    <w:rsid w:val="00051F79"/>
    <w:rsid w:val="00053019"/>
    <w:rsid w:val="0005612A"/>
    <w:rsid w:val="000E1A56"/>
    <w:rsid w:val="0012501B"/>
    <w:rsid w:val="00165B6C"/>
    <w:rsid w:val="001871C6"/>
    <w:rsid w:val="001D337D"/>
    <w:rsid w:val="001D75E8"/>
    <w:rsid w:val="00206DF6"/>
    <w:rsid w:val="00221895"/>
    <w:rsid w:val="002D6904"/>
    <w:rsid w:val="00385E13"/>
    <w:rsid w:val="003E5E2D"/>
    <w:rsid w:val="003E5F4F"/>
    <w:rsid w:val="003F19A2"/>
    <w:rsid w:val="00415A5A"/>
    <w:rsid w:val="00416947"/>
    <w:rsid w:val="00427224"/>
    <w:rsid w:val="00490F16"/>
    <w:rsid w:val="0049600C"/>
    <w:rsid w:val="004A5E6D"/>
    <w:rsid w:val="004E27AB"/>
    <w:rsid w:val="0050486B"/>
    <w:rsid w:val="00565A51"/>
    <w:rsid w:val="00580C50"/>
    <w:rsid w:val="005B0539"/>
    <w:rsid w:val="006118E4"/>
    <w:rsid w:val="00633FF0"/>
    <w:rsid w:val="00643DF4"/>
    <w:rsid w:val="006710B3"/>
    <w:rsid w:val="00695C81"/>
    <w:rsid w:val="006A2708"/>
    <w:rsid w:val="006A77BD"/>
    <w:rsid w:val="006B3EB7"/>
    <w:rsid w:val="006D042F"/>
    <w:rsid w:val="007301CD"/>
    <w:rsid w:val="00741D7C"/>
    <w:rsid w:val="00796F67"/>
    <w:rsid w:val="0083311C"/>
    <w:rsid w:val="00834987"/>
    <w:rsid w:val="00842116"/>
    <w:rsid w:val="008B11BC"/>
    <w:rsid w:val="00907210"/>
    <w:rsid w:val="00914C47"/>
    <w:rsid w:val="009211E9"/>
    <w:rsid w:val="00994F9E"/>
    <w:rsid w:val="009D7583"/>
    <w:rsid w:val="009F2282"/>
    <w:rsid w:val="00A06B2E"/>
    <w:rsid w:val="00A62A24"/>
    <w:rsid w:val="00AC2B33"/>
    <w:rsid w:val="00AF4D65"/>
    <w:rsid w:val="00B0594C"/>
    <w:rsid w:val="00B14C02"/>
    <w:rsid w:val="00B17FE2"/>
    <w:rsid w:val="00B24AF9"/>
    <w:rsid w:val="00BC38CF"/>
    <w:rsid w:val="00BC39C4"/>
    <w:rsid w:val="00C32AEF"/>
    <w:rsid w:val="00C758B3"/>
    <w:rsid w:val="00C85132"/>
    <w:rsid w:val="00C938A9"/>
    <w:rsid w:val="00D21009"/>
    <w:rsid w:val="00D44D08"/>
    <w:rsid w:val="00D73C87"/>
    <w:rsid w:val="00D94A1A"/>
    <w:rsid w:val="00DC3990"/>
    <w:rsid w:val="00E13405"/>
    <w:rsid w:val="00E1494A"/>
    <w:rsid w:val="00E20A76"/>
    <w:rsid w:val="00E40714"/>
    <w:rsid w:val="00E41E4E"/>
    <w:rsid w:val="00E559C6"/>
    <w:rsid w:val="00E93A1A"/>
    <w:rsid w:val="00F0350D"/>
    <w:rsid w:val="00FA62A5"/>
    <w:rsid w:val="00FF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C87"/>
    <w:pPr>
      <w:overflowPunct w:val="0"/>
      <w:spacing w:after="0" w:line="240" w:lineRule="auto"/>
    </w:pPr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C87"/>
    <w:pPr>
      <w:keepNext/>
      <w:keepLines/>
      <w:outlineLvl w:val="0"/>
    </w:pPr>
    <w:rPr>
      <w:rFonts w:ascii="Arial" w:hAnsi="Arial" w:cs="Arial"/>
      <w:b/>
      <w:i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3C87"/>
    <w:pPr>
      <w:keepNext/>
      <w:keepLines/>
      <w:spacing w:before="40"/>
      <w:outlineLvl w:val="1"/>
    </w:pPr>
    <w:rPr>
      <w:rFonts w:ascii="Calibri Light" w:eastAsia="Calibri Light" w:hAnsi="Calibri Light" w:cs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C87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C87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C87"/>
    <w:rPr>
      <w:rFonts w:ascii="Arial" w:eastAsia="Songti SC" w:hAnsi="Arial" w:cs="Arial"/>
      <w:b/>
      <w:iCs/>
      <w:kern w:val="2"/>
      <w:sz w:val="24"/>
      <w:szCs w:val="24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D73C87"/>
    <w:rPr>
      <w:rFonts w:ascii="Calibri Light" w:eastAsia="Calibri Light" w:hAnsi="Calibri Light" w:cs="Calibri Light"/>
      <w:color w:val="2F5496"/>
      <w:kern w:val="2"/>
      <w:sz w:val="26"/>
      <w:szCs w:val="26"/>
      <w:lang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C87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C87"/>
    <w:rPr>
      <w:rFonts w:asciiTheme="majorHAnsi" w:eastAsiaTheme="majorEastAsia" w:hAnsiTheme="majorHAnsi" w:cs="Mangal"/>
      <w:color w:val="365F91" w:themeColor="accent1" w:themeShade="BF"/>
      <w:kern w:val="2"/>
      <w:sz w:val="24"/>
      <w:szCs w:val="21"/>
      <w:lang w:eastAsia="zh-CN" w:bidi="hi-IN"/>
    </w:rPr>
  </w:style>
  <w:style w:type="character" w:styleId="BookTitle">
    <w:name w:val="Book Title"/>
    <w:qFormat/>
    <w:rsid w:val="00D73C87"/>
    <w:rPr>
      <w:b/>
      <w:bCs/>
      <w:i/>
      <w:iCs/>
      <w:spacing w:val="5"/>
    </w:rPr>
  </w:style>
  <w:style w:type="paragraph" w:customStyle="1" w:styleId="Heading">
    <w:name w:val="Heading"/>
    <w:basedOn w:val="Normal"/>
    <w:next w:val="BodyText"/>
    <w:qFormat/>
    <w:rsid w:val="00D73C87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D73C87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D73C87"/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paragraph" w:styleId="List">
    <w:name w:val="List"/>
    <w:basedOn w:val="BodyText"/>
    <w:rsid w:val="00D73C87"/>
  </w:style>
  <w:style w:type="paragraph" w:styleId="Caption">
    <w:name w:val="caption"/>
    <w:basedOn w:val="Normal"/>
    <w:qFormat/>
    <w:rsid w:val="00D73C8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D73C87"/>
    <w:pPr>
      <w:suppressLineNumbers/>
    </w:pPr>
  </w:style>
  <w:style w:type="paragraph" w:customStyle="1" w:styleId="Default">
    <w:name w:val="Default"/>
    <w:qFormat/>
    <w:rsid w:val="00D73C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C87"/>
    <w:pPr>
      <w:ind w:left="720"/>
      <w:contextualSpacing/>
    </w:pPr>
    <w:rPr>
      <w:rFonts w:ascii="NNFPLJ+TimesNewRoman" w:hAnsi="NNFPLJ+TimesNewRoman"/>
    </w:rPr>
  </w:style>
  <w:style w:type="paragraph" w:styleId="Footer">
    <w:name w:val="footer"/>
    <w:basedOn w:val="Normal"/>
    <w:link w:val="FooterChar"/>
    <w:uiPriority w:val="99"/>
    <w:unhideWhenUsed/>
    <w:rsid w:val="00D73C8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73C87"/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character" w:styleId="PageNumber">
    <w:name w:val="page number"/>
    <w:basedOn w:val="DefaultParagraphFont"/>
    <w:uiPriority w:val="99"/>
    <w:semiHidden/>
    <w:unhideWhenUsed/>
    <w:rsid w:val="00D73C87"/>
  </w:style>
  <w:style w:type="paragraph" w:styleId="Header">
    <w:name w:val="header"/>
    <w:basedOn w:val="Normal"/>
    <w:link w:val="HeaderChar"/>
    <w:uiPriority w:val="99"/>
    <w:unhideWhenUsed/>
    <w:rsid w:val="00D73C8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73C87"/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table" w:styleId="TableGrid">
    <w:name w:val="Table Grid"/>
    <w:basedOn w:val="TableNormal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D73C87"/>
    <w:pPr>
      <w:overflowPunct/>
      <w:spacing w:after="160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C87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C87"/>
    <w:pPr>
      <w:overflowPunct/>
    </w:pPr>
    <w:rPr>
      <w:rFonts w:ascii="Segoe UI" w:eastAsia="Calibri" w:hAnsi="Segoe UI" w:cs="Segoe UI"/>
      <w:kern w:val="0"/>
      <w:sz w:val="18"/>
      <w:szCs w:val="18"/>
      <w:lang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C87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C87"/>
    <w:rPr>
      <w:rFonts w:ascii="Calibri" w:eastAsia="Calibri" w:hAnsi="Calibri" w:cs="Times New Roman"/>
      <w:b/>
      <w:bC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D73C87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3C87"/>
    <w:rPr>
      <w:color w:val="808080"/>
    </w:rPr>
  </w:style>
  <w:style w:type="paragraph" w:customStyle="1" w:styleId="csl-entry">
    <w:name w:val="csl-entry"/>
    <w:basedOn w:val="Normal"/>
    <w:rsid w:val="00D73C87"/>
    <w:pPr>
      <w:overflowPunct/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D73C8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3C87"/>
    <w:pPr>
      <w:spacing w:after="0" w:line="240" w:lineRule="auto"/>
    </w:pPr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paragraph" w:customStyle="1" w:styleId="EndNoteBibliographyTitle">
    <w:name w:val="EndNote Bibliography Title"/>
    <w:basedOn w:val="Normal"/>
    <w:link w:val="EndNoteBibliographyTitleChar"/>
    <w:rsid w:val="00D73C87"/>
    <w:pPr>
      <w:jc w:val="center"/>
    </w:pPr>
    <w:rPr>
      <w:rFonts w:ascii="Arial" w:eastAsia="@Arial Unicode MS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3C87"/>
    <w:rPr>
      <w:rFonts w:ascii="Arial" w:eastAsia="@Arial Unicode MS" w:hAnsi="Arial" w:cs="Arial"/>
      <w:noProof/>
      <w:kern w:val="2"/>
      <w:sz w:val="24"/>
      <w:szCs w:val="24"/>
      <w:lang w:eastAsia="zh-CN" w:bidi="hi-IN"/>
    </w:rPr>
  </w:style>
  <w:style w:type="paragraph" w:customStyle="1" w:styleId="EndNoteBibliography">
    <w:name w:val="EndNote Bibliography"/>
    <w:basedOn w:val="Normal"/>
    <w:link w:val="EndNoteBibliographyChar"/>
    <w:rsid w:val="00D73C87"/>
    <w:rPr>
      <w:rFonts w:ascii="Arial" w:eastAsia="@Arial Unicode MS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73C87"/>
    <w:rPr>
      <w:rFonts w:ascii="Arial" w:eastAsia="@Arial Unicode MS" w:hAnsi="Arial" w:cs="Arial"/>
      <w:noProof/>
      <w:kern w:val="2"/>
      <w:sz w:val="24"/>
      <w:szCs w:val="24"/>
      <w:lang w:eastAsia="zh-CN" w:bidi="hi-IN"/>
    </w:rPr>
  </w:style>
  <w:style w:type="numbering" w:customStyle="1" w:styleId="NoList1">
    <w:name w:val="No List1"/>
    <w:next w:val="NoList"/>
    <w:uiPriority w:val="99"/>
    <w:semiHidden/>
    <w:unhideWhenUsed/>
    <w:rsid w:val="00D73C87"/>
  </w:style>
  <w:style w:type="table" w:customStyle="1" w:styleId="TableGrid1">
    <w:name w:val="Table Grid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C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C87"/>
    <w:rPr>
      <w:color w:val="800080" w:themeColor="followedHyperlink"/>
      <w:u w:val="single"/>
    </w:rPr>
  </w:style>
  <w:style w:type="table" w:customStyle="1" w:styleId="ListTable2">
    <w:name w:val="List Table 2"/>
    <w:basedOn w:val="TableNormal"/>
    <w:uiPriority w:val="47"/>
    <w:rsid w:val="00D73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NoList2">
    <w:name w:val="No List2"/>
    <w:next w:val="NoList"/>
    <w:uiPriority w:val="99"/>
    <w:semiHidden/>
    <w:unhideWhenUsed/>
    <w:rsid w:val="00D73C87"/>
  </w:style>
  <w:style w:type="table" w:customStyle="1" w:styleId="TableGrid2">
    <w:name w:val="Table Grid2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DengXian" w:hAnsi="Calibri" w:cs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DengXian" w:hAnsi="Calibri" w:cs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C87"/>
    <w:pPr>
      <w:overflowPunct w:val="0"/>
      <w:spacing w:after="0" w:line="240" w:lineRule="auto"/>
    </w:pPr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C87"/>
    <w:pPr>
      <w:keepNext/>
      <w:keepLines/>
      <w:outlineLvl w:val="0"/>
    </w:pPr>
    <w:rPr>
      <w:rFonts w:ascii="Arial" w:hAnsi="Arial" w:cs="Arial"/>
      <w:b/>
      <w:i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3C87"/>
    <w:pPr>
      <w:keepNext/>
      <w:keepLines/>
      <w:spacing w:before="40"/>
      <w:outlineLvl w:val="1"/>
    </w:pPr>
    <w:rPr>
      <w:rFonts w:ascii="Calibri Light" w:eastAsia="Calibri Light" w:hAnsi="Calibri Light" w:cs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C87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C87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C87"/>
    <w:rPr>
      <w:rFonts w:ascii="Arial" w:eastAsia="Songti SC" w:hAnsi="Arial" w:cs="Arial"/>
      <w:b/>
      <w:iCs/>
      <w:kern w:val="2"/>
      <w:sz w:val="24"/>
      <w:szCs w:val="24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D73C87"/>
    <w:rPr>
      <w:rFonts w:ascii="Calibri Light" w:eastAsia="Calibri Light" w:hAnsi="Calibri Light" w:cs="Calibri Light"/>
      <w:color w:val="2F5496"/>
      <w:kern w:val="2"/>
      <w:sz w:val="26"/>
      <w:szCs w:val="26"/>
      <w:lang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C87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C87"/>
    <w:rPr>
      <w:rFonts w:asciiTheme="majorHAnsi" w:eastAsiaTheme="majorEastAsia" w:hAnsiTheme="majorHAnsi" w:cs="Mangal"/>
      <w:color w:val="365F91" w:themeColor="accent1" w:themeShade="BF"/>
      <w:kern w:val="2"/>
      <w:sz w:val="24"/>
      <w:szCs w:val="21"/>
      <w:lang w:eastAsia="zh-CN" w:bidi="hi-IN"/>
    </w:rPr>
  </w:style>
  <w:style w:type="character" w:styleId="BookTitle">
    <w:name w:val="Book Title"/>
    <w:qFormat/>
    <w:rsid w:val="00D73C87"/>
    <w:rPr>
      <w:b/>
      <w:bCs/>
      <w:i/>
      <w:iCs/>
      <w:spacing w:val="5"/>
    </w:rPr>
  </w:style>
  <w:style w:type="paragraph" w:customStyle="1" w:styleId="Heading">
    <w:name w:val="Heading"/>
    <w:basedOn w:val="Normal"/>
    <w:next w:val="BodyText"/>
    <w:qFormat/>
    <w:rsid w:val="00D73C87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D73C87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D73C87"/>
    <w:rPr>
      <w:rFonts w:ascii="Liberation Serif" w:eastAsia="Songti SC" w:hAnsi="Liberation Serif" w:cs="Arial Unicode MS"/>
      <w:kern w:val="2"/>
      <w:sz w:val="24"/>
      <w:szCs w:val="24"/>
      <w:lang w:eastAsia="zh-CN" w:bidi="hi-IN"/>
    </w:rPr>
  </w:style>
  <w:style w:type="paragraph" w:styleId="List">
    <w:name w:val="List"/>
    <w:basedOn w:val="BodyText"/>
    <w:rsid w:val="00D73C87"/>
  </w:style>
  <w:style w:type="paragraph" w:styleId="Caption">
    <w:name w:val="caption"/>
    <w:basedOn w:val="Normal"/>
    <w:qFormat/>
    <w:rsid w:val="00D73C8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D73C87"/>
    <w:pPr>
      <w:suppressLineNumbers/>
    </w:pPr>
  </w:style>
  <w:style w:type="paragraph" w:customStyle="1" w:styleId="Default">
    <w:name w:val="Default"/>
    <w:qFormat/>
    <w:rsid w:val="00D73C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C87"/>
    <w:pPr>
      <w:ind w:left="720"/>
      <w:contextualSpacing/>
    </w:pPr>
    <w:rPr>
      <w:rFonts w:ascii="NNFPLJ+TimesNewRoman" w:hAnsi="NNFPLJ+TimesNewRoman"/>
    </w:rPr>
  </w:style>
  <w:style w:type="paragraph" w:styleId="Footer">
    <w:name w:val="footer"/>
    <w:basedOn w:val="Normal"/>
    <w:link w:val="FooterChar"/>
    <w:uiPriority w:val="99"/>
    <w:unhideWhenUsed/>
    <w:rsid w:val="00D73C8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73C87"/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character" w:styleId="PageNumber">
    <w:name w:val="page number"/>
    <w:basedOn w:val="DefaultParagraphFont"/>
    <w:uiPriority w:val="99"/>
    <w:semiHidden/>
    <w:unhideWhenUsed/>
    <w:rsid w:val="00D73C87"/>
  </w:style>
  <w:style w:type="paragraph" w:styleId="Header">
    <w:name w:val="header"/>
    <w:basedOn w:val="Normal"/>
    <w:link w:val="HeaderChar"/>
    <w:uiPriority w:val="99"/>
    <w:unhideWhenUsed/>
    <w:rsid w:val="00D73C8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73C87"/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table" w:styleId="TableGrid">
    <w:name w:val="Table Grid"/>
    <w:basedOn w:val="TableNormal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D73C87"/>
    <w:pPr>
      <w:overflowPunct/>
      <w:spacing w:after="160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C87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C87"/>
    <w:pPr>
      <w:overflowPunct/>
    </w:pPr>
    <w:rPr>
      <w:rFonts w:ascii="Segoe UI" w:eastAsia="Calibri" w:hAnsi="Segoe UI" w:cs="Segoe UI"/>
      <w:kern w:val="0"/>
      <w:sz w:val="18"/>
      <w:szCs w:val="18"/>
      <w:lang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C87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C87"/>
    <w:rPr>
      <w:rFonts w:ascii="Calibri" w:eastAsia="Calibri" w:hAnsi="Calibri" w:cs="Times New Roman"/>
      <w:b/>
      <w:bC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D73C87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3C87"/>
    <w:rPr>
      <w:color w:val="808080"/>
    </w:rPr>
  </w:style>
  <w:style w:type="paragraph" w:customStyle="1" w:styleId="csl-entry">
    <w:name w:val="csl-entry"/>
    <w:basedOn w:val="Normal"/>
    <w:rsid w:val="00D73C87"/>
    <w:pPr>
      <w:overflowPunct/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D73C8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3C87"/>
    <w:pPr>
      <w:spacing w:after="0" w:line="240" w:lineRule="auto"/>
    </w:pPr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paragraph" w:customStyle="1" w:styleId="EndNoteBibliographyTitle">
    <w:name w:val="EndNote Bibliography Title"/>
    <w:basedOn w:val="Normal"/>
    <w:link w:val="EndNoteBibliographyTitleChar"/>
    <w:rsid w:val="00D73C87"/>
    <w:pPr>
      <w:jc w:val="center"/>
    </w:pPr>
    <w:rPr>
      <w:rFonts w:ascii="Arial" w:eastAsia="@Arial Unicode MS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3C87"/>
    <w:rPr>
      <w:rFonts w:ascii="Arial" w:eastAsia="@Arial Unicode MS" w:hAnsi="Arial" w:cs="Arial"/>
      <w:noProof/>
      <w:kern w:val="2"/>
      <w:sz w:val="24"/>
      <w:szCs w:val="24"/>
      <w:lang w:eastAsia="zh-CN" w:bidi="hi-IN"/>
    </w:rPr>
  </w:style>
  <w:style w:type="paragraph" w:customStyle="1" w:styleId="EndNoteBibliography">
    <w:name w:val="EndNote Bibliography"/>
    <w:basedOn w:val="Normal"/>
    <w:link w:val="EndNoteBibliographyChar"/>
    <w:rsid w:val="00D73C87"/>
    <w:rPr>
      <w:rFonts w:ascii="Arial" w:eastAsia="@Arial Unicode MS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73C87"/>
    <w:rPr>
      <w:rFonts w:ascii="Arial" w:eastAsia="@Arial Unicode MS" w:hAnsi="Arial" w:cs="Arial"/>
      <w:noProof/>
      <w:kern w:val="2"/>
      <w:sz w:val="24"/>
      <w:szCs w:val="24"/>
      <w:lang w:eastAsia="zh-CN" w:bidi="hi-IN"/>
    </w:rPr>
  </w:style>
  <w:style w:type="numbering" w:customStyle="1" w:styleId="NoList1">
    <w:name w:val="No List1"/>
    <w:next w:val="NoList"/>
    <w:uiPriority w:val="99"/>
    <w:semiHidden/>
    <w:unhideWhenUsed/>
    <w:rsid w:val="00D73C87"/>
  </w:style>
  <w:style w:type="table" w:customStyle="1" w:styleId="TableGrid1">
    <w:name w:val="Table Grid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C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C87"/>
    <w:rPr>
      <w:color w:val="800080" w:themeColor="followedHyperlink"/>
      <w:u w:val="single"/>
    </w:rPr>
  </w:style>
  <w:style w:type="table" w:customStyle="1" w:styleId="ListTable2">
    <w:name w:val="List Table 2"/>
    <w:basedOn w:val="TableNormal"/>
    <w:uiPriority w:val="47"/>
    <w:rsid w:val="00D73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NoList2">
    <w:name w:val="No List2"/>
    <w:next w:val="NoList"/>
    <w:uiPriority w:val="99"/>
    <w:semiHidden/>
    <w:unhideWhenUsed/>
    <w:rsid w:val="00D73C87"/>
  </w:style>
  <w:style w:type="table" w:customStyle="1" w:styleId="TableGrid2">
    <w:name w:val="Table Grid2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DengXian" w:hAnsi="Calibri" w:cs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DengXian" w:hAnsi="Calibri" w:cs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39"/>
    <w:rsid w:val="00D73C8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https://gowustl-my.sharepoint.com/personal/erica_j_wustl_edu/Documents/Documents/Analyses/Cardiology/HTN%20Study/3.%20Analyses/Site-level/Supervision/HTN%20Supervision%202024.04.26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https://gowustl-my.sharepoint.com/personal/erica_j_wustl_edu/Documents/Documents/Analyses/Cardiology/HTN%20Study/3.%20Analyses/Site-level/Supervision/HTN%20Supervision%202024.04.26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>
                <a:solidFill>
                  <a:sysClr val="windowText" lastClr="000000"/>
                </a:solidFill>
              </a:rPr>
              <a:t>Number of 30-day Doses of Any BP-Lowering Drug </a:t>
            </a:r>
            <a:r>
              <a:rPr lang="en-US" sz="1000" b="0" i="0" u="none" strike="noStrike" baseline="0">
                <a:solidFill>
                  <a:sysClr val="windowText" lastClr="000000"/>
                </a:solidFill>
                <a:effectLst/>
              </a:rPr>
              <a:t>(Protocol 1) </a:t>
            </a:r>
            <a:r>
              <a:rPr lang="en-US" sz="1000" baseline="30000">
                <a:solidFill>
                  <a:sysClr val="windowText" lastClr="000000"/>
                </a:solidFill>
              </a:rPr>
              <a:t>†</a:t>
            </a:r>
            <a:r>
              <a:rPr lang="en-US" sz="1000">
                <a:solidFill>
                  <a:sysClr val="windowText" lastClr="000000"/>
                </a:solidFill>
              </a:rPr>
              <a:t> in Stock by Area Council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DrugStockP1!$L$4:$N$98</c:f>
              <c:multiLvlStrCache>
                <c:ptCount val="95"/>
                <c:lvl>
                  <c:pt idx="0">
                    <c:v>2</c:v>
                  </c:pt>
                  <c:pt idx="1">
                    <c:v>3</c:v>
                  </c:pt>
                  <c:pt idx="2">
                    <c:v>4</c:v>
                  </c:pt>
                  <c:pt idx="3">
                    <c:v>1</c:v>
                  </c:pt>
                  <c:pt idx="4">
                    <c:v>2</c:v>
                  </c:pt>
                  <c:pt idx="5">
                    <c:v>3</c:v>
                  </c:pt>
                  <c:pt idx="6">
                    <c:v>4</c:v>
                  </c:pt>
                  <c:pt idx="7">
                    <c:v>1</c:v>
                  </c:pt>
                  <c:pt idx="8">
                    <c:v>2</c:v>
                  </c:pt>
                  <c:pt idx="9">
                    <c:v>3</c:v>
                  </c:pt>
                  <c:pt idx="10">
                    <c:v>4</c:v>
                  </c:pt>
                  <c:pt idx="11">
                    <c:v>1</c:v>
                  </c:pt>
                  <c:pt idx="12">
                    <c:v>2</c:v>
                  </c:pt>
                  <c:pt idx="13">
                    <c:v>3</c:v>
                  </c:pt>
                  <c:pt idx="14">
                    <c:v>4</c:v>
                  </c:pt>
                  <c:pt idx="16">
                    <c:v>2</c:v>
                  </c:pt>
                  <c:pt idx="17">
                    <c:v>3</c:v>
                  </c:pt>
                  <c:pt idx="18">
                    <c:v>4</c:v>
                  </c:pt>
                  <c:pt idx="19">
                    <c:v>1</c:v>
                  </c:pt>
                  <c:pt idx="20">
                    <c:v>2</c:v>
                  </c:pt>
                  <c:pt idx="21">
                    <c:v>3</c:v>
                  </c:pt>
                  <c:pt idx="22">
                    <c:v>4</c:v>
                  </c:pt>
                  <c:pt idx="23">
                    <c:v>1</c:v>
                  </c:pt>
                  <c:pt idx="24">
                    <c:v>2</c:v>
                  </c:pt>
                  <c:pt idx="25">
                    <c:v>3</c:v>
                  </c:pt>
                  <c:pt idx="26">
                    <c:v>4</c:v>
                  </c:pt>
                  <c:pt idx="27">
                    <c:v>1</c:v>
                  </c:pt>
                  <c:pt idx="28">
                    <c:v>2</c:v>
                  </c:pt>
                  <c:pt idx="29">
                    <c:v>3</c:v>
                  </c:pt>
                  <c:pt idx="30">
                    <c:v>4</c:v>
                  </c:pt>
                  <c:pt idx="32">
                    <c:v>2</c:v>
                  </c:pt>
                  <c:pt idx="33">
                    <c:v>3</c:v>
                  </c:pt>
                  <c:pt idx="34">
                    <c:v>4</c:v>
                  </c:pt>
                  <c:pt idx="35">
                    <c:v>1</c:v>
                  </c:pt>
                  <c:pt idx="36">
                    <c:v>2</c:v>
                  </c:pt>
                  <c:pt idx="37">
                    <c:v>3</c:v>
                  </c:pt>
                  <c:pt idx="38">
                    <c:v>4</c:v>
                  </c:pt>
                  <c:pt idx="39">
                    <c:v>1</c:v>
                  </c:pt>
                  <c:pt idx="40">
                    <c:v>2</c:v>
                  </c:pt>
                  <c:pt idx="41">
                    <c:v>3</c:v>
                  </c:pt>
                  <c:pt idx="42">
                    <c:v>4</c:v>
                  </c:pt>
                  <c:pt idx="43">
                    <c:v>1</c:v>
                  </c:pt>
                  <c:pt idx="44">
                    <c:v>2</c:v>
                  </c:pt>
                  <c:pt idx="45">
                    <c:v>3</c:v>
                  </c:pt>
                  <c:pt idx="46">
                    <c:v>4</c:v>
                  </c:pt>
                  <c:pt idx="48">
                    <c:v>2</c:v>
                  </c:pt>
                  <c:pt idx="49">
                    <c:v>3</c:v>
                  </c:pt>
                  <c:pt idx="50">
                    <c:v>4</c:v>
                  </c:pt>
                  <c:pt idx="51">
                    <c:v>1</c:v>
                  </c:pt>
                  <c:pt idx="52">
                    <c:v>2</c:v>
                  </c:pt>
                  <c:pt idx="53">
                    <c:v>3</c:v>
                  </c:pt>
                  <c:pt idx="54">
                    <c:v>4</c:v>
                  </c:pt>
                  <c:pt idx="55">
                    <c:v>1</c:v>
                  </c:pt>
                  <c:pt idx="56">
                    <c:v>2</c:v>
                  </c:pt>
                  <c:pt idx="57">
                    <c:v>3</c:v>
                  </c:pt>
                  <c:pt idx="58">
                    <c:v>4</c:v>
                  </c:pt>
                  <c:pt idx="59">
                    <c:v>1</c:v>
                  </c:pt>
                  <c:pt idx="60">
                    <c:v>2</c:v>
                  </c:pt>
                  <c:pt idx="61">
                    <c:v>3</c:v>
                  </c:pt>
                  <c:pt idx="62">
                    <c:v>4</c:v>
                  </c:pt>
                  <c:pt idx="64">
                    <c:v>2</c:v>
                  </c:pt>
                  <c:pt idx="65">
                    <c:v>3</c:v>
                  </c:pt>
                  <c:pt idx="66">
                    <c:v>4</c:v>
                  </c:pt>
                  <c:pt idx="67">
                    <c:v>1</c:v>
                  </c:pt>
                  <c:pt idx="68">
                    <c:v>2</c:v>
                  </c:pt>
                  <c:pt idx="69">
                    <c:v>3</c:v>
                  </c:pt>
                  <c:pt idx="70">
                    <c:v>4</c:v>
                  </c:pt>
                  <c:pt idx="71">
                    <c:v>1</c:v>
                  </c:pt>
                  <c:pt idx="72">
                    <c:v>2</c:v>
                  </c:pt>
                  <c:pt idx="73">
                    <c:v>3</c:v>
                  </c:pt>
                  <c:pt idx="74">
                    <c:v>4</c:v>
                  </c:pt>
                  <c:pt idx="75">
                    <c:v>1</c:v>
                  </c:pt>
                  <c:pt idx="76">
                    <c:v>2</c:v>
                  </c:pt>
                  <c:pt idx="77">
                    <c:v>3</c:v>
                  </c:pt>
                  <c:pt idx="78">
                    <c:v>4</c:v>
                  </c:pt>
                  <c:pt idx="80">
                    <c:v>2</c:v>
                  </c:pt>
                  <c:pt idx="81">
                    <c:v>3</c:v>
                  </c:pt>
                  <c:pt idx="82">
                    <c:v>4</c:v>
                  </c:pt>
                  <c:pt idx="83">
                    <c:v>1</c:v>
                  </c:pt>
                  <c:pt idx="84">
                    <c:v>2</c:v>
                  </c:pt>
                  <c:pt idx="85">
                    <c:v>3</c:v>
                  </c:pt>
                  <c:pt idx="86">
                    <c:v>4</c:v>
                  </c:pt>
                  <c:pt idx="87">
                    <c:v>1</c:v>
                  </c:pt>
                  <c:pt idx="88">
                    <c:v>2</c:v>
                  </c:pt>
                  <c:pt idx="89">
                    <c:v>3</c:v>
                  </c:pt>
                  <c:pt idx="90">
                    <c:v>4</c:v>
                  </c:pt>
                  <c:pt idx="91">
                    <c:v>1</c:v>
                  </c:pt>
                  <c:pt idx="92">
                    <c:v>2</c:v>
                  </c:pt>
                  <c:pt idx="93">
                    <c:v>3</c:v>
                  </c:pt>
                  <c:pt idx="94">
                    <c:v>4</c:v>
                  </c:pt>
                </c:lvl>
                <c:lvl>
                  <c:pt idx="0">
                    <c:v>2020</c:v>
                  </c:pt>
                  <c:pt idx="3">
                    <c:v>2021</c:v>
                  </c:pt>
                  <c:pt idx="7">
                    <c:v>2022</c:v>
                  </c:pt>
                  <c:pt idx="11">
                    <c:v>2023</c:v>
                  </c:pt>
                  <c:pt idx="16">
                    <c:v>2020</c:v>
                  </c:pt>
                  <c:pt idx="19">
                    <c:v>2021</c:v>
                  </c:pt>
                  <c:pt idx="23">
                    <c:v>2022</c:v>
                  </c:pt>
                  <c:pt idx="27">
                    <c:v>2023</c:v>
                  </c:pt>
                  <c:pt idx="32">
                    <c:v>2020</c:v>
                  </c:pt>
                  <c:pt idx="35">
                    <c:v>2021</c:v>
                  </c:pt>
                  <c:pt idx="39">
                    <c:v>2022</c:v>
                  </c:pt>
                  <c:pt idx="43">
                    <c:v>2023</c:v>
                  </c:pt>
                  <c:pt idx="48">
                    <c:v>2020</c:v>
                  </c:pt>
                  <c:pt idx="51">
                    <c:v>2021</c:v>
                  </c:pt>
                  <c:pt idx="55">
                    <c:v>2022</c:v>
                  </c:pt>
                  <c:pt idx="59">
                    <c:v>2023</c:v>
                  </c:pt>
                  <c:pt idx="64">
                    <c:v>2020</c:v>
                  </c:pt>
                  <c:pt idx="67">
                    <c:v>2021</c:v>
                  </c:pt>
                  <c:pt idx="71">
                    <c:v>2022</c:v>
                  </c:pt>
                  <c:pt idx="75">
                    <c:v>2023</c:v>
                  </c:pt>
                  <c:pt idx="80">
                    <c:v>2020</c:v>
                  </c:pt>
                  <c:pt idx="83">
                    <c:v>2021</c:v>
                  </c:pt>
                  <c:pt idx="87">
                    <c:v>2022</c:v>
                  </c:pt>
                  <c:pt idx="91">
                    <c:v>2023</c:v>
                  </c:pt>
                </c:lvl>
                <c:lvl>
                  <c:pt idx="0">
                    <c:v>Abaji</c:v>
                  </c:pt>
                  <c:pt idx="15">
                    <c:v> </c:v>
                  </c:pt>
                  <c:pt idx="16">
                    <c:v>AMAC</c:v>
                  </c:pt>
                  <c:pt idx="31">
                    <c:v> </c:v>
                  </c:pt>
                  <c:pt idx="32">
                    <c:v>Bwari</c:v>
                  </c:pt>
                  <c:pt idx="47">
                    <c:v> </c:v>
                  </c:pt>
                  <c:pt idx="48">
                    <c:v>Gwagwalada</c:v>
                  </c:pt>
                  <c:pt idx="63">
                    <c:v> </c:v>
                  </c:pt>
                  <c:pt idx="64">
                    <c:v>Kuje</c:v>
                  </c:pt>
                  <c:pt idx="79">
                    <c:v> </c:v>
                  </c:pt>
                  <c:pt idx="80">
                    <c:v>Kwali</c:v>
                  </c:pt>
                </c:lvl>
              </c:multiLvlStrCache>
            </c:multiLvlStrRef>
          </c:cat>
          <c:val>
            <c:numRef>
              <c:f>DrugStockP1!$O$4:$O$98</c:f>
              <c:numCache>
                <c:formatCode>General</c:formatCode>
                <c:ptCount val="95"/>
                <c:pt idx="0">
                  <c:v>0</c:v>
                </c:pt>
                <c:pt idx="1">
                  <c:v>2</c:v>
                </c:pt>
                <c:pt idx="2">
                  <c:v>7</c:v>
                </c:pt>
                <c:pt idx="3">
                  <c:v>1051</c:v>
                </c:pt>
                <c:pt idx="4">
                  <c:v>3737</c:v>
                </c:pt>
                <c:pt idx="5">
                  <c:v>4311</c:v>
                </c:pt>
                <c:pt idx="6">
                  <c:v>2655</c:v>
                </c:pt>
                <c:pt idx="7">
                  <c:v>1186</c:v>
                </c:pt>
                <c:pt idx="8">
                  <c:v>2335</c:v>
                </c:pt>
                <c:pt idx="9">
                  <c:v>1458</c:v>
                </c:pt>
                <c:pt idx="10">
                  <c:v>1325</c:v>
                </c:pt>
                <c:pt idx="11">
                  <c:v>709</c:v>
                </c:pt>
                <c:pt idx="12">
                  <c:v>843</c:v>
                </c:pt>
                <c:pt idx="13">
                  <c:v>1086</c:v>
                </c:pt>
                <c:pt idx="14">
                  <c:v>1094</c:v>
                </c:pt>
                <c:pt idx="16">
                  <c:v>163</c:v>
                </c:pt>
                <c:pt idx="17">
                  <c:v>655.5</c:v>
                </c:pt>
                <c:pt idx="18">
                  <c:v>103</c:v>
                </c:pt>
                <c:pt idx="19">
                  <c:v>1444</c:v>
                </c:pt>
                <c:pt idx="20">
                  <c:v>1725</c:v>
                </c:pt>
                <c:pt idx="21">
                  <c:v>1885</c:v>
                </c:pt>
                <c:pt idx="22">
                  <c:v>1927</c:v>
                </c:pt>
                <c:pt idx="23">
                  <c:v>1704</c:v>
                </c:pt>
                <c:pt idx="24">
                  <c:v>2004</c:v>
                </c:pt>
                <c:pt idx="25">
                  <c:v>2900</c:v>
                </c:pt>
                <c:pt idx="26">
                  <c:v>3294</c:v>
                </c:pt>
                <c:pt idx="27">
                  <c:v>1600</c:v>
                </c:pt>
                <c:pt idx="28">
                  <c:v>954</c:v>
                </c:pt>
                <c:pt idx="29">
                  <c:v>1223</c:v>
                </c:pt>
                <c:pt idx="30">
                  <c:v>1395</c:v>
                </c:pt>
                <c:pt idx="32">
                  <c:v>59</c:v>
                </c:pt>
                <c:pt idx="33">
                  <c:v>187</c:v>
                </c:pt>
                <c:pt idx="34">
                  <c:v>132</c:v>
                </c:pt>
                <c:pt idx="35">
                  <c:v>996</c:v>
                </c:pt>
                <c:pt idx="36">
                  <c:v>726</c:v>
                </c:pt>
                <c:pt idx="37">
                  <c:v>790</c:v>
                </c:pt>
                <c:pt idx="38">
                  <c:v>1005</c:v>
                </c:pt>
                <c:pt idx="39">
                  <c:v>2303</c:v>
                </c:pt>
                <c:pt idx="40">
                  <c:v>1252</c:v>
                </c:pt>
                <c:pt idx="41">
                  <c:v>675</c:v>
                </c:pt>
                <c:pt idx="42">
                  <c:v>903</c:v>
                </c:pt>
                <c:pt idx="43">
                  <c:v>948</c:v>
                </c:pt>
                <c:pt idx="44">
                  <c:v>837</c:v>
                </c:pt>
                <c:pt idx="45">
                  <c:v>640</c:v>
                </c:pt>
                <c:pt idx="46">
                  <c:v>566</c:v>
                </c:pt>
                <c:pt idx="48">
                  <c:v>14</c:v>
                </c:pt>
                <c:pt idx="49">
                  <c:v>4</c:v>
                </c:pt>
                <c:pt idx="50">
                  <c:v>5</c:v>
                </c:pt>
                <c:pt idx="51">
                  <c:v>2135</c:v>
                </c:pt>
                <c:pt idx="52">
                  <c:v>6327</c:v>
                </c:pt>
                <c:pt idx="53">
                  <c:v>1119</c:v>
                </c:pt>
                <c:pt idx="54">
                  <c:v>714</c:v>
                </c:pt>
                <c:pt idx="55">
                  <c:v>1735</c:v>
                </c:pt>
                <c:pt idx="56">
                  <c:v>192</c:v>
                </c:pt>
                <c:pt idx="57">
                  <c:v>2633</c:v>
                </c:pt>
                <c:pt idx="58">
                  <c:v>2828</c:v>
                </c:pt>
                <c:pt idx="59">
                  <c:v>1355</c:v>
                </c:pt>
                <c:pt idx="60">
                  <c:v>920</c:v>
                </c:pt>
                <c:pt idx="61">
                  <c:v>924</c:v>
                </c:pt>
                <c:pt idx="62">
                  <c:v>883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6</c:v>
                </c:pt>
                <c:pt idx="68">
                  <c:v>80</c:v>
                </c:pt>
                <c:pt idx="69">
                  <c:v>0</c:v>
                </c:pt>
                <c:pt idx="70">
                  <c:v>8781</c:v>
                </c:pt>
                <c:pt idx="71">
                  <c:v>1728</c:v>
                </c:pt>
                <c:pt idx="72">
                  <c:v>2596</c:v>
                </c:pt>
                <c:pt idx="73">
                  <c:v>5021</c:v>
                </c:pt>
                <c:pt idx="74">
                  <c:v>1250</c:v>
                </c:pt>
                <c:pt idx="75">
                  <c:v>15345</c:v>
                </c:pt>
                <c:pt idx="76">
                  <c:v>13407</c:v>
                </c:pt>
                <c:pt idx="77">
                  <c:v>1295</c:v>
                </c:pt>
                <c:pt idx="78">
                  <c:v>338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1121</c:v>
                </c:pt>
                <c:pt idx="84">
                  <c:v>6737</c:v>
                </c:pt>
                <c:pt idx="85">
                  <c:v>1062</c:v>
                </c:pt>
                <c:pt idx="86">
                  <c:v>2161</c:v>
                </c:pt>
                <c:pt idx="87">
                  <c:v>1820</c:v>
                </c:pt>
                <c:pt idx="88">
                  <c:v>1793</c:v>
                </c:pt>
                <c:pt idx="89">
                  <c:v>1305</c:v>
                </c:pt>
                <c:pt idx="90">
                  <c:v>982</c:v>
                </c:pt>
                <c:pt idx="91">
                  <c:v>994</c:v>
                </c:pt>
                <c:pt idx="92">
                  <c:v>1176</c:v>
                </c:pt>
                <c:pt idx="93">
                  <c:v>1082</c:v>
                </c:pt>
                <c:pt idx="94">
                  <c:v>869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A67-4745-8335-BC6C3BB9D3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"/>
        <c:overlap val="-27"/>
        <c:axId val="221328512"/>
        <c:axId val="221330048"/>
      </c:barChart>
      <c:catAx>
        <c:axId val="221328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21330048"/>
        <c:crosses val="autoZero"/>
        <c:auto val="1"/>
        <c:lblAlgn val="ctr"/>
        <c:lblOffset val="100"/>
        <c:noMultiLvlLbl val="0"/>
      </c:catAx>
      <c:valAx>
        <c:axId val="221330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 Narrow" panose="020B0606020202030204" pitchFamily="34" charset="0"/>
                  </a:rPr>
                  <a:t>Number of 30-day Doses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21328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>
                <a:solidFill>
                  <a:sysClr val="windowText" lastClr="000000"/>
                </a:solidFill>
              </a:rPr>
              <a:t>Number of 30-day Doses of Any BP-Lowering Drug </a:t>
            </a:r>
            <a:r>
              <a:rPr lang="en-US" sz="1000" b="0" i="0" u="none" strike="noStrike" baseline="0">
                <a:effectLst/>
              </a:rPr>
              <a:t>(Protocol 2)</a:t>
            </a:r>
            <a:r>
              <a:rPr lang="en-US" sz="1000" baseline="30000">
                <a:solidFill>
                  <a:sysClr val="windowText" lastClr="000000"/>
                </a:solidFill>
              </a:rPr>
              <a:t>†</a:t>
            </a:r>
            <a:r>
              <a:rPr lang="en-US" sz="1000">
                <a:solidFill>
                  <a:sysClr val="windowText" lastClr="000000"/>
                </a:solidFill>
              </a:rPr>
              <a:t> in Stock by Area Council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DrugStockP2!$L$4:$N$98</c:f>
              <c:multiLvlStrCache>
                <c:ptCount val="95"/>
                <c:lvl>
                  <c:pt idx="0">
                    <c:v>2</c:v>
                  </c:pt>
                  <c:pt idx="1">
                    <c:v>3</c:v>
                  </c:pt>
                  <c:pt idx="2">
                    <c:v>4</c:v>
                  </c:pt>
                  <c:pt idx="3">
                    <c:v>1</c:v>
                  </c:pt>
                  <c:pt idx="4">
                    <c:v>2</c:v>
                  </c:pt>
                  <c:pt idx="5">
                    <c:v>3</c:v>
                  </c:pt>
                  <c:pt idx="6">
                    <c:v>4</c:v>
                  </c:pt>
                  <c:pt idx="7">
                    <c:v>1</c:v>
                  </c:pt>
                  <c:pt idx="8">
                    <c:v>2</c:v>
                  </c:pt>
                  <c:pt idx="9">
                    <c:v>3</c:v>
                  </c:pt>
                  <c:pt idx="10">
                    <c:v>4</c:v>
                  </c:pt>
                  <c:pt idx="11">
                    <c:v>1</c:v>
                  </c:pt>
                  <c:pt idx="12">
                    <c:v>2</c:v>
                  </c:pt>
                  <c:pt idx="13">
                    <c:v>3</c:v>
                  </c:pt>
                  <c:pt idx="14">
                    <c:v>4</c:v>
                  </c:pt>
                  <c:pt idx="16">
                    <c:v>2</c:v>
                  </c:pt>
                  <c:pt idx="17">
                    <c:v>3</c:v>
                  </c:pt>
                  <c:pt idx="18">
                    <c:v>4</c:v>
                  </c:pt>
                  <c:pt idx="19">
                    <c:v>1</c:v>
                  </c:pt>
                  <c:pt idx="20">
                    <c:v>2</c:v>
                  </c:pt>
                  <c:pt idx="21">
                    <c:v>3</c:v>
                  </c:pt>
                  <c:pt idx="22">
                    <c:v>4</c:v>
                  </c:pt>
                  <c:pt idx="23">
                    <c:v>1</c:v>
                  </c:pt>
                  <c:pt idx="24">
                    <c:v>2</c:v>
                  </c:pt>
                  <c:pt idx="25">
                    <c:v>3</c:v>
                  </c:pt>
                  <c:pt idx="26">
                    <c:v>4</c:v>
                  </c:pt>
                  <c:pt idx="27">
                    <c:v>1</c:v>
                  </c:pt>
                  <c:pt idx="28">
                    <c:v>2</c:v>
                  </c:pt>
                  <c:pt idx="29">
                    <c:v>3</c:v>
                  </c:pt>
                  <c:pt idx="30">
                    <c:v>4</c:v>
                  </c:pt>
                  <c:pt idx="32">
                    <c:v>2</c:v>
                  </c:pt>
                  <c:pt idx="33">
                    <c:v>3</c:v>
                  </c:pt>
                  <c:pt idx="34">
                    <c:v>4</c:v>
                  </c:pt>
                  <c:pt idx="35">
                    <c:v>1</c:v>
                  </c:pt>
                  <c:pt idx="36">
                    <c:v>2</c:v>
                  </c:pt>
                  <c:pt idx="37">
                    <c:v>3</c:v>
                  </c:pt>
                  <c:pt idx="38">
                    <c:v>4</c:v>
                  </c:pt>
                  <c:pt idx="39">
                    <c:v>1</c:v>
                  </c:pt>
                  <c:pt idx="40">
                    <c:v>2</c:v>
                  </c:pt>
                  <c:pt idx="41">
                    <c:v>3</c:v>
                  </c:pt>
                  <c:pt idx="42">
                    <c:v>4</c:v>
                  </c:pt>
                  <c:pt idx="43">
                    <c:v>1</c:v>
                  </c:pt>
                  <c:pt idx="44">
                    <c:v>2</c:v>
                  </c:pt>
                  <c:pt idx="45">
                    <c:v>3</c:v>
                  </c:pt>
                  <c:pt idx="46">
                    <c:v>4</c:v>
                  </c:pt>
                  <c:pt idx="48">
                    <c:v>2</c:v>
                  </c:pt>
                  <c:pt idx="49">
                    <c:v>3</c:v>
                  </c:pt>
                  <c:pt idx="50">
                    <c:v>4</c:v>
                  </c:pt>
                  <c:pt idx="51">
                    <c:v>1</c:v>
                  </c:pt>
                  <c:pt idx="52">
                    <c:v>2</c:v>
                  </c:pt>
                  <c:pt idx="53">
                    <c:v>3</c:v>
                  </c:pt>
                  <c:pt idx="54">
                    <c:v>4</c:v>
                  </c:pt>
                  <c:pt idx="55">
                    <c:v>1</c:v>
                  </c:pt>
                  <c:pt idx="56">
                    <c:v>2</c:v>
                  </c:pt>
                  <c:pt idx="57">
                    <c:v>3</c:v>
                  </c:pt>
                  <c:pt idx="58">
                    <c:v>4</c:v>
                  </c:pt>
                  <c:pt idx="59">
                    <c:v>1</c:v>
                  </c:pt>
                  <c:pt idx="60">
                    <c:v>2</c:v>
                  </c:pt>
                  <c:pt idx="61">
                    <c:v>3</c:v>
                  </c:pt>
                  <c:pt idx="62">
                    <c:v>4</c:v>
                  </c:pt>
                  <c:pt idx="64">
                    <c:v>2</c:v>
                  </c:pt>
                  <c:pt idx="65">
                    <c:v>3</c:v>
                  </c:pt>
                  <c:pt idx="66">
                    <c:v>4</c:v>
                  </c:pt>
                  <c:pt idx="67">
                    <c:v>1</c:v>
                  </c:pt>
                  <c:pt idx="68">
                    <c:v>2</c:v>
                  </c:pt>
                  <c:pt idx="69">
                    <c:v>3</c:v>
                  </c:pt>
                  <c:pt idx="70">
                    <c:v>4</c:v>
                  </c:pt>
                  <c:pt idx="71">
                    <c:v>1</c:v>
                  </c:pt>
                  <c:pt idx="72">
                    <c:v>2</c:v>
                  </c:pt>
                  <c:pt idx="73">
                    <c:v>3</c:v>
                  </c:pt>
                  <c:pt idx="74">
                    <c:v>4</c:v>
                  </c:pt>
                  <c:pt idx="75">
                    <c:v>1</c:v>
                  </c:pt>
                  <c:pt idx="76">
                    <c:v>2</c:v>
                  </c:pt>
                  <c:pt idx="77">
                    <c:v>3</c:v>
                  </c:pt>
                  <c:pt idx="78">
                    <c:v>4</c:v>
                  </c:pt>
                  <c:pt idx="80">
                    <c:v>2</c:v>
                  </c:pt>
                  <c:pt idx="81">
                    <c:v>3</c:v>
                  </c:pt>
                  <c:pt idx="82">
                    <c:v>4</c:v>
                  </c:pt>
                  <c:pt idx="83">
                    <c:v>1</c:v>
                  </c:pt>
                  <c:pt idx="84">
                    <c:v>2</c:v>
                  </c:pt>
                  <c:pt idx="85">
                    <c:v>3</c:v>
                  </c:pt>
                  <c:pt idx="86">
                    <c:v>4</c:v>
                  </c:pt>
                  <c:pt idx="87">
                    <c:v>1</c:v>
                  </c:pt>
                  <c:pt idx="88">
                    <c:v>2</c:v>
                  </c:pt>
                  <c:pt idx="89">
                    <c:v>3</c:v>
                  </c:pt>
                  <c:pt idx="90">
                    <c:v>4</c:v>
                  </c:pt>
                  <c:pt idx="91">
                    <c:v>1</c:v>
                  </c:pt>
                  <c:pt idx="92">
                    <c:v>2</c:v>
                  </c:pt>
                  <c:pt idx="93">
                    <c:v>3</c:v>
                  </c:pt>
                  <c:pt idx="94">
                    <c:v>4</c:v>
                  </c:pt>
                </c:lvl>
                <c:lvl>
                  <c:pt idx="0">
                    <c:v>2020</c:v>
                  </c:pt>
                  <c:pt idx="3">
                    <c:v>2021</c:v>
                  </c:pt>
                  <c:pt idx="7">
                    <c:v>2022</c:v>
                  </c:pt>
                  <c:pt idx="11">
                    <c:v>2023</c:v>
                  </c:pt>
                  <c:pt idx="16">
                    <c:v>2020</c:v>
                  </c:pt>
                  <c:pt idx="19">
                    <c:v>2021</c:v>
                  </c:pt>
                  <c:pt idx="23">
                    <c:v>2022</c:v>
                  </c:pt>
                  <c:pt idx="27">
                    <c:v>2023</c:v>
                  </c:pt>
                  <c:pt idx="32">
                    <c:v>2020</c:v>
                  </c:pt>
                  <c:pt idx="35">
                    <c:v>2021</c:v>
                  </c:pt>
                  <c:pt idx="39">
                    <c:v>2022</c:v>
                  </c:pt>
                  <c:pt idx="43">
                    <c:v>2023</c:v>
                  </c:pt>
                  <c:pt idx="48">
                    <c:v>2020</c:v>
                  </c:pt>
                  <c:pt idx="51">
                    <c:v>2021</c:v>
                  </c:pt>
                  <c:pt idx="55">
                    <c:v>2022</c:v>
                  </c:pt>
                  <c:pt idx="59">
                    <c:v>2023</c:v>
                  </c:pt>
                  <c:pt idx="64">
                    <c:v>2020</c:v>
                  </c:pt>
                  <c:pt idx="67">
                    <c:v>2021</c:v>
                  </c:pt>
                  <c:pt idx="71">
                    <c:v>2022</c:v>
                  </c:pt>
                  <c:pt idx="75">
                    <c:v>2023</c:v>
                  </c:pt>
                  <c:pt idx="80">
                    <c:v>2020</c:v>
                  </c:pt>
                  <c:pt idx="83">
                    <c:v>2021</c:v>
                  </c:pt>
                  <c:pt idx="87">
                    <c:v>2022</c:v>
                  </c:pt>
                  <c:pt idx="91">
                    <c:v>2023</c:v>
                  </c:pt>
                </c:lvl>
                <c:lvl>
                  <c:pt idx="0">
                    <c:v>Abaji</c:v>
                  </c:pt>
                  <c:pt idx="15">
                    <c:v> </c:v>
                  </c:pt>
                  <c:pt idx="16">
                    <c:v>AMAC</c:v>
                  </c:pt>
                  <c:pt idx="31">
                    <c:v> </c:v>
                  </c:pt>
                  <c:pt idx="32">
                    <c:v>Bwari</c:v>
                  </c:pt>
                  <c:pt idx="47">
                    <c:v> </c:v>
                  </c:pt>
                  <c:pt idx="48">
                    <c:v>Gwagwalada</c:v>
                  </c:pt>
                  <c:pt idx="63">
                    <c:v> </c:v>
                  </c:pt>
                  <c:pt idx="64">
                    <c:v>Kuje</c:v>
                  </c:pt>
                  <c:pt idx="79">
                    <c:v> </c:v>
                  </c:pt>
                  <c:pt idx="80">
                    <c:v>Kwali</c:v>
                  </c:pt>
                </c:lvl>
              </c:multiLvlStrCache>
            </c:multiLvlStrRef>
          </c:cat>
          <c:val>
            <c:numRef>
              <c:f>DrugStockP2!$O$4:$O$98</c:f>
              <c:numCache>
                <c:formatCode>General</c:formatCode>
                <c:ptCount val="95"/>
                <c:pt idx="0">
                  <c:v>20</c:v>
                </c:pt>
                <c:pt idx="1">
                  <c:v>2</c:v>
                </c:pt>
                <c:pt idx="2">
                  <c:v>7</c:v>
                </c:pt>
                <c:pt idx="3">
                  <c:v>1051</c:v>
                </c:pt>
                <c:pt idx="4">
                  <c:v>3737</c:v>
                </c:pt>
                <c:pt idx="5">
                  <c:v>4311</c:v>
                </c:pt>
                <c:pt idx="6">
                  <c:v>2655</c:v>
                </c:pt>
                <c:pt idx="7">
                  <c:v>1186</c:v>
                </c:pt>
                <c:pt idx="8">
                  <c:v>2447</c:v>
                </c:pt>
                <c:pt idx="9">
                  <c:v>3514</c:v>
                </c:pt>
                <c:pt idx="10">
                  <c:v>2083</c:v>
                </c:pt>
                <c:pt idx="11">
                  <c:v>1686</c:v>
                </c:pt>
                <c:pt idx="12">
                  <c:v>1841</c:v>
                </c:pt>
                <c:pt idx="13">
                  <c:v>2211</c:v>
                </c:pt>
                <c:pt idx="14">
                  <c:v>1741</c:v>
                </c:pt>
                <c:pt idx="16">
                  <c:v>203</c:v>
                </c:pt>
                <c:pt idx="17">
                  <c:v>655.5</c:v>
                </c:pt>
                <c:pt idx="18">
                  <c:v>103</c:v>
                </c:pt>
                <c:pt idx="19">
                  <c:v>1444</c:v>
                </c:pt>
                <c:pt idx="20">
                  <c:v>1740</c:v>
                </c:pt>
                <c:pt idx="21">
                  <c:v>1900</c:v>
                </c:pt>
                <c:pt idx="22">
                  <c:v>1963</c:v>
                </c:pt>
                <c:pt idx="23">
                  <c:v>1704</c:v>
                </c:pt>
                <c:pt idx="24">
                  <c:v>2004</c:v>
                </c:pt>
                <c:pt idx="25">
                  <c:v>3765</c:v>
                </c:pt>
                <c:pt idx="26">
                  <c:v>4406</c:v>
                </c:pt>
                <c:pt idx="27">
                  <c:v>2205</c:v>
                </c:pt>
                <c:pt idx="28">
                  <c:v>1624</c:v>
                </c:pt>
                <c:pt idx="29">
                  <c:v>2203</c:v>
                </c:pt>
                <c:pt idx="30">
                  <c:v>1768</c:v>
                </c:pt>
                <c:pt idx="32">
                  <c:v>97</c:v>
                </c:pt>
                <c:pt idx="33">
                  <c:v>209</c:v>
                </c:pt>
                <c:pt idx="34">
                  <c:v>146</c:v>
                </c:pt>
                <c:pt idx="35">
                  <c:v>996</c:v>
                </c:pt>
                <c:pt idx="36">
                  <c:v>729</c:v>
                </c:pt>
                <c:pt idx="37">
                  <c:v>790</c:v>
                </c:pt>
                <c:pt idx="38">
                  <c:v>1005</c:v>
                </c:pt>
                <c:pt idx="39">
                  <c:v>2303</c:v>
                </c:pt>
                <c:pt idx="40">
                  <c:v>1252</c:v>
                </c:pt>
                <c:pt idx="41">
                  <c:v>989</c:v>
                </c:pt>
                <c:pt idx="42">
                  <c:v>1148</c:v>
                </c:pt>
                <c:pt idx="43">
                  <c:v>1365</c:v>
                </c:pt>
                <c:pt idx="44">
                  <c:v>1339</c:v>
                </c:pt>
                <c:pt idx="45">
                  <c:v>887</c:v>
                </c:pt>
                <c:pt idx="46">
                  <c:v>805</c:v>
                </c:pt>
                <c:pt idx="48">
                  <c:v>15</c:v>
                </c:pt>
                <c:pt idx="49">
                  <c:v>4</c:v>
                </c:pt>
                <c:pt idx="50">
                  <c:v>5</c:v>
                </c:pt>
                <c:pt idx="51">
                  <c:v>2135</c:v>
                </c:pt>
                <c:pt idx="52">
                  <c:v>6327</c:v>
                </c:pt>
                <c:pt idx="53">
                  <c:v>1119</c:v>
                </c:pt>
                <c:pt idx="54">
                  <c:v>714</c:v>
                </c:pt>
                <c:pt idx="55">
                  <c:v>1735</c:v>
                </c:pt>
                <c:pt idx="56">
                  <c:v>192</c:v>
                </c:pt>
                <c:pt idx="57">
                  <c:v>3492</c:v>
                </c:pt>
                <c:pt idx="58">
                  <c:v>2973</c:v>
                </c:pt>
                <c:pt idx="59">
                  <c:v>13134</c:v>
                </c:pt>
                <c:pt idx="60">
                  <c:v>1182</c:v>
                </c:pt>
                <c:pt idx="61">
                  <c:v>1174</c:v>
                </c:pt>
                <c:pt idx="62">
                  <c:v>954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6</c:v>
                </c:pt>
                <c:pt idx="68">
                  <c:v>80</c:v>
                </c:pt>
                <c:pt idx="69">
                  <c:v>0</c:v>
                </c:pt>
                <c:pt idx="70">
                  <c:v>8781</c:v>
                </c:pt>
                <c:pt idx="71">
                  <c:v>1728</c:v>
                </c:pt>
                <c:pt idx="72">
                  <c:v>2596</c:v>
                </c:pt>
                <c:pt idx="73">
                  <c:v>5696</c:v>
                </c:pt>
                <c:pt idx="74">
                  <c:v>1864</c:v>
                </c:pt>
                <c:pt idx="75">
                  <c:v>18292</c:v>
                </c:pt>
                <c:pt idx="76">
                  <c:v>15691</c:v>
                </c:pt>
                <c:pt idx="77">
                  <c:v>2102</c:v>
                </c:pt>
                <c:pt idx="78">
                  <c:v>488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1121</c:v>
                </c:pt>
                <c:pt idx="84">
                  <c:v>6737</c:v>
                </c:pt>
                <c:pt idx="85">
                  <c:v>1062</c:v>
                </c:pt>
                <c:pt idx="86">
                  <c:v>2161</c:v>
                </c:pt>
                <c:pt idx="87">
                  <c:v>1820</c:v>
                </c:pt>
                <c:pt idx="88">
                  <c:v>1793</c:v>
                </c:pt>
                <c:pt idx="89">
                  <c:v>1741</c:v>
                </c:pt>
                <c:pt idx="90">
                  <c:v>1240</c:v>
                </c:pt>
                <c:pt idx="91">
                  <c:v>1502</c:v>
                </c:pt>
                <c:pt idx="92">
                  <c:v>1712</c:v>
                </c:pt>
                <c:pt idx="93">
                  <c:v>1575</c:v>
                </c:pt>
                <c:pt idx="94">
                  <c:v>1401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E8D-422F-990B-83A56D4688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"/>
        <c:overlap val="-27"/>
        <c:axId val="221373568"/>
        <c:axId val="221375104"/>
      </c:barChart>
      <c:catAx>
        <c:axId val="221373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21375104"/>
        <c:crosses val="autoZero"/>
        <c:auto val="1"/>
        <c:lblAlgn val="ctr"/>
        <c:lblOffset val="100"/>
        <c:noMultiLvlLbl val="0"/>
      </c:catAx>
      <c:valAx>
        <c:axId val="221375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 Narrow" panose="020B0606020202030204" pitchFamily="34" charset="0"/>
                  </a:rPr>
                  <a:t>Number of 30-day Doses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21373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0.03843</cdr:x>
      <cdr:y>0.77177</cdr:y>
    </cdr:from>
    <cdr:to>
      <cdr:x>0.08843</cdr:x>
      <cdr:y>0.84037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16230" y="2228850"/>
          <a:ext cx="411480" cy="1981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r>
            <a:rPr lang="en-US" sz="100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Quarter: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0.03843</cdr:x>
      <cdr:y>0.77177</cdr:y>
    </cdr:from>
    <cdr:to>
      <cdr:x>0.08843</cdr:x>
      <cdr:y>0.84037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16230" y="2228850"/>
          <a:ext cx="411480" cy="1981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r>
            <a:rPr lang="en-US" sz="100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Quarter: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3646</Words>
  <Characters>20785</Characters>
  <Application>Microsoft Office Word</Application>
  <DocSecurity>0</DocSecurity>
  <Lines>173</Lines>
  <Paragraphs>48</Paragraphs>
  <ScaleCrop>false</ScaleCrop>
  <Company/>
  <LinksUpToDate>false</LinksUpToDate>
  <CharactersWithSpaces>24383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Riza Jane Tanara</dc:creator>
  <cp:lastModifiedBy>Riza Jane Tanara</cp:lastModifiedBy>
  <cp:revision>2</cp:revision>
  <dcterms:created xsi:type="dcterms:W3CDTF">2025-11-05T10:50:00Z</dcterms:created>
  <dcterms:modified xsi:type="dcterms:W3CDTF">2025-11-05T13:42:00Z</dcterms:modified>
</cp:coreProperties>
</file>