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F0568" w14:textId="006CFCA0" w:rsidR="006C6892" w:rsidRDefault="003524A4">
      <w:pPr>
        <w:rPr>
          <w:rFonts w:ascii="Times New Roman" w:hAnsi="Times New Roman" w:cs="Times New Roman"/>
          <w:b/>
          <w:bCs/>
          <w:sz w:val="22"/>
          <w:szCs w:val="22"/>
        </w:rPr>
      </w:pPr>
      <w:r>
        <w:rPr>
          <w:rFonts w:ascii="Times New Roman" w:hAnsi="Times New Roman" w:cs="Times New Roman"/>
          <w:b/>
          <w:bCs/>
          <w:sz w:val="22"/>
          <w:szCs w:val="22"/>
        </w:rPr>
        <w:t>Appendix</w:t>
      </w:r>
    </w:p>
    <w:p w14:paraId="40B52833" w14:textId="429FD65C" w:rsidR="003524A4" w:rsidRPr="00DC521C" w:rsidRDefault="003524A4">
      <w:pPr>
        <w:rPr>
          <w:rFonts w:ascii="Times New Roman" w:hAnsi="Times New Roman" w:cs="Times New Roman"/>
          <w:i/>
          <w:iCs/>
          <w:sz w:val="22"/>
          <w:szCs w:val="22"/>
          <w:u w:val="single"/>
        </w:rPr>
      </w:pPr>
      <w:r w:rsidRPr="00DC521C">
        <w:rPr>
          <w:rFonts w:ascii="Times New Roman" w:hAnsi="Times New Roman" w:cs="Times New Roman"/>
          <w:i/>
          <w:iCs/>
          <w:sz w:val="22"/>
          <w:szCs w:val="22"/>
          <w:u w:val="single"/>
        </w:rPr>
        <w:t>Combining count measures with and without known denominators</w:t>
      </w:r>
      <w:r w:rsidRPr="00DC521C">
        <w:rPr>
          <w:rFonts w:ascii="Times New Roman" w:hAnsi="Times New Roman" w:cs="Times New Roman"/>
          <w:i/>
          <w:iCs/>
          <w:sz w:val="22"/>
          <w:szCs w:val="22"/>
          <w:u w:val="single"/>
        </w:rPr>
        <w:t>.</w:t>
      </w:r>
      <w:r w:rsidR="00DC521C" w:rsidRPr="00DC521C">
        <w:rPr>
          <w:rFonts w:ascii="Times New Roman" w:hAnsi="Times New Roman" w:cs="Times New Roman"/>
          <w:i/>
          <w:iCs/>
          <w:sz w:val="22"/>
          <w:szCs w:val="22"/>
          <w:u w:val="single"/>
        </w:rPr>
        <w:br/>
      </w:r>
    </w:p>
    <w:p w14:paraId="291F2AD0" w14:textId="77777777" w:rsidR="003524A4" w:rsidRPr="00A07462" w:rsidRDefault="003524A4" w:rsidP="003524A4">
      <w:pPr>
        <w:pStyle w:val="font-claude-response-body"/>
        <w:spacing w:before="0" w:beforeAutospacing="0" w:after="0" w:afterAutospacing="0" w:line="480" w:lineRule="auto"/>
        <w:ind w:firstLine="720"/>
        <w:rPr>
          <w:sz w:val="22"/>
          <w:szCs w:val="22"/>
        </w:rPr>
      </w:pPr>
      <w:r w:rsidRPr="00A07462">
        <w:rPr>
          <w:sz w:val="22"/>
          <w:szCs w:val="22"/>
        </w:rPr>
        <w:t xml:space="preserve">Common measures for reach and adoption both involve a ratio of counts (e.g., patients receiving an EBI) to a denominator (e.g., eligible patients) per time interval. These proportional measures when repeated across sites, (indexed by </w:t>
      </w:r>
      <w:proofErr w:type="spellStart"/>
      <w:r w:rsidRPr="00A07462">
        <w:rPr>
          <w:sz w:val="22"/>
          <w:szCs w:val="22"/>
        </w:rPr>
        <w:t>i</w:t>
      </w:r>
      <w:proofErr w:type="spellEnd"/>
      <w:r w:rsidRPr="00A07462">
        <w:rPr>
          <w:sz w:val="22"/>
          <w:szCs w:val="22"/>
        </w:rPr>
        <w:t xml:space="preserve">) and over time (indexed by t) as well as across implementation strategies, can sometimes be used in mixed effects binomial modeling to evaluate changes.  We start with a simplified linear model of linear changes over time that allows these linear trends to vary by time.  </w:t>
      </w:r>
    </w:p>
    <w:p w14:paraId="2BBA2B4E" w14:textId="77777777" w:rsidR="003524A4" w:rsidRPr="00A07462" w:rsidRDefault="003524A4" w:rsidP="003524A4">
      <w:pPr>
        <w:pStyle w:val="font-claude-response-body"/>
        <w:spacing w:before="0" w:beforeAutospacing="0" w:after="0" w:afterAutospacing="0" w:line="480" w:lineRule="auto"/>
        <w:ind w:firstLine="720"/>
        <w:rPr>
          <w:sz w:val="22"/>
          <w:szCs w:val="22"/>
        </w:rPr>
      </w:pPr>
    </w:p>
    <w:p w14:paraId="201C1C97" w14:textId="77777777" w:rsidR="003524A4" w:rsidRPr="00A07462" w:rsidRDefault="003524A4" w:rsidP="003524A4">
      <w:pPr>
        <w:numPr>
          <w:ilvl w:val="0"/>
          <w:numId w:val="1"/>
        </w:numPr>
        <w:spacing w:after="0" w:line="480" w:lineRule="auto"/>
        <w:rPr>
          <w:rFonts w:ascii="Times New Roman" w:hAnsi="Times New Roman" w:cs="Times New Roman"/>
          <w:sz w:val="22"/>
          <w:szCs w:val="22"/>
        </w:rPr>
      </w:pPr>
      <w:r w:rsidRPr="00A07462">
        <w:rPr>
          <w:rFonts w:ascii="Times New Roman" w:hAnsi="Times New Roman" w:cs="Times New Roman"/>
          <w:sz w:val="22"/>
          <w:szCs w:val="22"/>
        </w:rPr>
        <w:t xml:space="preserve">logit </w:t>
      </w:r>
      <w:proofErr w:type="gramStart"/>
      <w:r w:rsidRPr="00A07462">
        <w:rPr>
          <w:rFonts w:ascii="Times New Roman" w:hAnsi="Times New Roman" w:cs="Times New Roman"/>
          <w:sz w:val="22"/>
          <w:szCs w:val="22"/>
        </w:rPr>
        <w:t>( E</w:t>
      </w:r>
      <w:proofErr w:type="gramEnd"/>
      <w:r w:rsidRPr="00A07462">
        <w:rPr>
          <w:rFonts w:ascii="Times New Roman" w:hAnsi="Times New Roman" w:cs="Times New Roman"/>
          <w:sz w:val="22"/>
          <w:szCs w:val="22"/>
        </w:rPr>
        <w:t xml:space="preserve"> </w:t>
      </w:r>
      <w:proofErr w:type="gramStart"/>
      <w:r w:rsidRPr="00A07462">
        <w:rPr>
          <w:rFonts w:ascii="Times New Roman" w:hAnsi="Times New Roman" w:cs="Times New Roman"/>
          <w:sz w:val="22"/>
          <w:szCs w:val="22"/>
        </w:rPr>
        <w:t xml:space="preserve">( </w:t>
      </w:r>
      <w:proofErr w:type="spellStart"/>
      <w:r w:rsidRPr="00A07462">
        <w:rPr>
          <w:rFonts w:ascii="Times New Roman" w:hAnsi="Times New Roman" w:cs="Times New Roman"/>
          <w:sz w:val="22"/>
          <w:szCs w:val="22"/>
        </w:rPr>
        <w:t>Count</w:t>
      </w:r>
      <w:r w:rsidRPr="00A07462">
        <w:rPr>
          <w:rFonts w:ascii="Times New Roman" w:hAnsi="Times New Roman" w:cs="Times New Roman"/>
          <w:sz w:val="22"/>
          <w:szCs w:val="22"/>
          <w:vertAlign w:val="subscript"/>
        </w:rPr>
        <w:t>it</w:t>
      </w:r>
      <w:proofErr w:type="spellEnd"/>
      <w:proofErr w:type="gramEnd"/>
      <w:r w:rsidRPr="00A07462">
        <w:rPr>
          <w:rFonts w:ascii="Times New Roman" w:hAnsi="Times New Roman" w:cs="Times New Roman"/>
          <w:sz w:val="22"/>
          <w:szCs w:val="22"/>
          <w:vertAlign w:val="subscript"/>
        </w:rPr>
        <w:t xml:space="preserve"> </w:t>
      </w:r>
      <w:r w:rsidRPr="00A07462">
        <w:rPr>
          <w:rFonts w:ascii="Times New Roman" w:hAnsi="Times New Roman" w:cs="Times New Roman"/>
          <w:sz w:val="22"/>
          <w:szCs w:val="22"/>
        </w:rPr>
        <w:t xml:space="preserve">/ </w:t>
      </w:r>
      <w:proofErr w:type="spellStart"/>
      <w:r w:rsidRPr="00A07462">
        <w:rPr>
          <w:rFonts w:ascii="Times New Roman" w:hAnsi="Times New Roman" w:cs="Times New Roman"/>
          <w:sz w:val="22"/>
          <w:szCs w:val="22"/>
        </w:rPr>
        <w:t>Denominator</w:t>
      </w:r>
      <w:r w:rsidRPr="00A07462">
        <w:rPr>
          <w:rFonts w:ascii="Times New Roman" w:hAnsi="Times New Roman" w:cs="Times New Roman"/>
          <w:sz w:val="22"/>
          <w:szCs w:val="22"/>
          <w:vertAlign w:val="subscript"/>
        </w:rPr>
        <w:t>it</w:t>
      </w:r>
      <w:proofErr w:type="spellEnd"/>
      <w:proofErr w:type="gramStart"/>
      <w:r w:rsidRPr="00A07462">
        <w:rPr>
          <w:rFonts w:ascii="Times New Roman" w:hAnsi="Times New Roman" w:cs="Times New Roman"/>
          <w:sz w:val="22"/>
          <w:szCs w:val="22"/>
        </w:rPr>
        <w:t>) )</w:t>
      </w:r>
      <w:proofErr w:type="gramEnd"/>
      <w:r w:rsidRPr="00A07462">
        <w:rPr>
          <w:rFonts w:ascii="Times New Roman" w:hAnsi="Times New Roman" w:cs="Times New Roman"/>
          <w:sz w:val="22"/>
          <w:szCs w:val="22"/>
        </w:rPr>
        <w:t xml:space="preserve"> = α + β t + a</w:t>
      </w:r>
      <w:r w:rsidRPr="00A07462">
        <w:rPr>
          <w:rFonts w:ascii="Times New Roman" w:hAnsi="Times New Roman" w:cs="Times New Roman"/>
          <w:sz w:val="22"/>
          <w:szCs w:val="22"/>
          <w:vertAlign w:val="subscript"/>
        </w:rPr>
        <w:t>i</w:t>
      </w:r>
      <w:r w:rsidRPr="00A07462">
        <w:rPr>
          <w:rFonts w:ascii="Times New Roman" w:hAnsi="Times New Roman" w:cs="Times New Roman"/>
          <w:sz w:val="22"/>
          <w:szCs w:val="22"/>
        </w:rPr>
        <w:t xml:space="preserve"> + </w:t>
      </w:r>
      <w:proofErr w:type="spellStart"/>
      <w:r w:rsidRPr="00A07462">
        <w:rPr>
          <w:rFonts w:ascii="Times New Roman" w:hAnsi="Times New Roman" w:cs="Times New Roman"/>
          <w:sz w:val="22"/>
          <w:szCs w:val="22"/>
        </w:rPr>
        <w:t>b</w:t>
      </w:r>
      <w:r w:rsidRPr="00A07462">
        <w:rPr>
          <w:rFonts w:ascii="Times New Roman" w:hAnsi="Times New Roman" w:cs="Times New Roman"/>
          <w:sz w:val="22"/>
          <w:szCs w:val="22"/>
          <w:vertAlign w:val="subscript"/>
        </w:rPr>
        <w:t>i</w:t>
      </w:r>
      <w:proofErr w:type="spellEnd"/>
      <w:r w:rsidRPr="00A07462">
        <w:rPr>
          <w:rFonts w:ascii="Times New Roman" w:hAnsi="Times New Roman" w:cs="Times New Roman"/>
          <w:sz w:val="22"/>
          <w:szCs w:val="22"/>
        </w:rPr>
        <w:t xml:space="preserve"> </w:t>
      </w:r>
      <w:proofErr w:type="gramStart"/>
      <w:r w:rsidRPr="00A07462">
        <w:rPr>
          <w:rFonts w:ascii="Times New Roman" w:hAnsi="Times New Roman" w:cs="Times New Roman"/>
          <w:sz w:val="22"/>
          <w:szCs w:val="22"/>
        </w:rPr>
        <w:t>t .</w:t>
      </w:r>
      <w:proofErr w:type="gramEnd"/>
    </w:p>
    <w:p w14:paraId="71818ABE" w14:textId="77777777" w:rsidR="003524A4" w:rsidRPr="00A07462" w:rsidRDefault="003524A4" w:rsidP="003524A4">
      <w:pPr>
        <w:spacing w:after="0" w:line="480" w:lineRule="auto"/>
        <w:ind w:left="720"/>
        <w:rPr>
          <w:rFonts w:ascii="Times New Roman" w:hAnsi="Times New Roman" w:cs="Times New Roman"/>
          <w:sz w:val="22"/>
          <w:szCs w:val="22"/>
        </w:rPr>
      </w:pPr>
    </w:p>
    <w:p w14:paraId="11B49C94" w14:textId="77777777" w:rsidR="003524A4" w:rsidRPr="00A07462" w:rsidRDefault="003524A4" w:rsidP="003524A4">
      <w:pPr>
        <w:spacing w:after="0" w:line="480" w:lineRule="auto"/>
        <w:rPr>
          <w:rFonts w:ascii="Times New Roman" w:hAnsi="Times New Roman" w:cs="Times New Roman"/>
          <w:sz w:val="22"/>
          <w:szCs w:val="22"/>
        </w:rPr>
      </w:pPr>
      <w:r w:rsidRPr="00A07462">
        <w:rPr>
          <w:rFonts w:ascii="Times New Roman" w:hAnsi="Times New Roman" w:cs="Times New Roman"/>
          <w:sz w:val="22"/>
          <w:szCs w:val="22"/>
        </w:rPr>
        <w:t>Here Greek letters α and β represent overall intercept and trends in time, while Roman subscripted parameters a</w:t>
      </w:r>
      <w:r w:rsidRPr="00A07462">
        <w:rPr>
          <w:rFonts w:ascii="Times New Roman" w:hAnsi="Times New Roman" w:cs="Times New Roman"/>
          <w:sz w:val="22"/>
          <w:szCs w:val="22"/>
          <w:vertAlign w:val="subscript"/>
        </w:rPr>
        <w:t>i</w:t>
      </w:r>
      <w:r w:rsidRPr="00A07462">
        <w:rPr>
          <w:rFonts w:ascii="Times New Roman" w:hAnsi="Times New Roman" w:cs="Times New Roman"/>
          <w:sz w:val="22"/>
          <w:szCs w:val="22"/>
        </w:rPr>
        <w:t xml:space="preserve"> and b</w:t>
      </w:r>
      <w:r w:rsidRPr="00A07462">
        <w:rPr>
          <w:rFonts w:ascii="Times New Roman" w:hAnsi="Times New Roman" w:cs="Times New Roman"/>
          <w:sz w:val="22"/>
          <w:szCs w:val="22"/>
          <w:vertAlign w:val="subscript"/>
        </w:rPr>
        <w:t>i</w:t>
      </w:r>
      <w:r w:rsidRPr="00A07462">
        <w:rPr>
          <w:rFonts w:ascii="Times New Roman" w:hAnsi="Times New Roman" w:cs="Times New Roman"/>
          <w:sz w:val="22"/>
          <w:szCs w:val="22"/>
        </w:rPr>
        <w:t xml:space="preserve"> correspond</w:t>
      </w:r>
      <w:r w:rsidRPr="00A07462">
        <w:rPr>
          <w:rFonts w:ascii="Times New Roman" w:hAnsi="Times New Roman" w:cs="Times New Roman"/>
          <w:sz w:val="22"/>
          <w:szCs w:val="22"/>
          <w:vertAlign w:val="subscript"/>
        </w:rPr>
        <w:t xml:space="preserve"> </w:t>
      </w:r>
      <w:r w:rsidRPr="00A07462">
        <w:rPr>
          <w:rFonts w:ascii="Times New Roman" w:hAnsi="Times New Roman" w:cs="Times New Roman"/>
          <w:sz w:val="22"/>
          <w:szCs w:val="22"/>
        </w:rPr>
        <w:t xml:space="preserve">to site-level intercept and trend.  The model above would be suitable in sites where denominators are measured.  The parameter of most interest in implementation is β, the average improvement in reach over time.  </w:t>
      </w:r>
    </w:p>
    <w:p w14:paraId="58E78F7D" w14:textId="77777777" w:rsidR="003524A4" w:rsidRPr="00A07462" w:rsidRDefault="003524A4" w:rsidP="003524A4">
      <w:pPr>
        <w:spacing w:after="0" w:line="480" w:lineRule="auto"/>
        <w:ind w:firstLine="360"/>
        <w:rPr>
          <w:rFonts w:ascii="Times New Roman" w:hAnsi="Times New Roman" w:cs="Times New Roman"/>
          <w:sz w:val="22"/>
          <w:szCs w:val="22"/>
        </w:rPr>
      </w:pPr>
      <w:r w:rsidRPr="00A07462">
        <w:rPr>
          <w:rFonts w:ascii="Times New Roman" w:hAnsi="Times New Roman" w:cs="Times New Roman"/>
          <w:sz w:val="22"/>
          <w:szCs w:val="22"/>
        </w:rPr>
        <w:t>We consider how we could harmonize data from sites where the denominator is known with those where the denominator is not known.  For example, in all sites we may measure the number of patients with a current or active prescription for medication for opioid use disorder, MOUD (Table 3). This would be used in the numerator of reach.  However, in our example, an appropriate denominator, such as the number of patients diagnosed with OUD, is available in only some sites.   A typical way of analyzing these numerator data from a single study is to analyze the counts themselves over time via mixed effects Poisson modeling or alternatives.</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{"citationID":"5j4LVcYK","properties":{"formattedCitation":"(51)","plainCitation":"(51)","noteIndex":0},"citationItems":[{"id":249,"uris":["http://zotero.org/users/17151532/items/VF2U73IS"],"itemData":{"id":249,"type":"article-journal","abstract":"A new statistical methodology is developed for the analysis of spontaneous adverse event (AE) reports from post-marketing drug surveillance data. The method involves both empirical Bayes (EB) and fully Bayes estimation of rate multipliers for each drug within a class of drugs, for a particular AE, based on a mixed-effects Poisson regression model. Both parametric and semiparametric models for the random-effect distribution are examined. The method is applied to data from Food and Drug Administration (FDA)'s Adverse Event Reporting System (AERS) on the relationship between antidepressants and suicide. We obtain point estimates and 95 per cent confidence (posterior) intervals for the rate multiplier for each drug (e.g. antidepressants), which can be used to determine whether a particular drug has an increased risk of association with a particular AE (e.g. suicide). Confidence (posterior) intervals that do not include 1.0 provide evidence for either significant protective or harmful associations of the drug and the adverse effect. We also examine EB, parametric Bayes, and semiparametric Bayes estimators of the rate multipliers and associated confidence (posterior) intervals. Results of our analysis of the FDA AERS data revealed that newer antidepressants are associated with lower rates of suicide adverse event reports compared with older antidepressants. We recommend improvements to the existing AERS system, which are likely to improve its public health value as an early warning system.","container-title":"Statistics in Medicine","DOI":"10.1002/sim.3241","ISSN":"0277-6715","issue":"11","journalAbbreviation":"Stat Med","language":"eng","page":"1814-1833","PMID":"18404622","PMCID":"PMC2423233","source":"PubMed","title":"Mixed-effects Poisson regression analysis of adverse event reports: the relationship between antidepressants and suicide","title-short":"Mixed-effects Poisson regression analysis of adverse event reports","volume":"27","author":[{"family":"Gibbons","given":"Robert D."},{"family":"Segawa","given":"Eisuke"},{"family":"Karabatsos","given":"George"},{"family":"Amatya","given":"Anup K."},{"family":"Bhaumik","given":"Dulal K."},{"family":"Brown","given":"C. Hendricks"},{"family":"Kapur","given":"Kush"},{"family":"Marcus","given":"Sue M."},{"family":"Hur","given":"Kwan"},{"family":"Mann","given":"J. John"}],"issued":{"date-parts":[["2008",5,20]]}}}],"schema":"https://github.com/citation-style-language/schema/raw/master/csl-citation.json"} </w:instrText>
      </w:r>
      <w:r>
        <w:rPr>
          <w:rFonts w:ascii="Times New Roman" w:hAnsi="Times New Roman" w:cs="Times New Roman"/>
          <w:sz w:val="22"/>
          <w:szCs w:val="22"/>
        </w:rPr>
        <w:fldChar w:fldCharType="separate"/>
      </w:r>
      <w:r>
        <w:rPr>
          <w:rFonts w:ascii="Times New Roman" w:hAnsi="Times New Roman" w:cs="Times New Roman"/>
          <w:noProof/>
          <w:sz w:val="22"/>
          <w:szCs w:val="22"/>
        </w:rPr>
        <w:t>(51)</w:t>
      </w:r>
      <w:r>
        <w:rPr>
          <w:rFonts w:ascii="Times New Roman" w:hAnsi="Times New Roman" w:cs="Times New Roman"/>
          <w:sz w:val="22"/>
          <w:szCs w:val="22"/>
        </w:rPr>
        <w:fldChar w:fldCharType="end"/>
      </w:r>
      <w:r w:rsidRPr="00A07462">
        <w:rPr>
          <w:rFonts w:ascii="Times New Roman" w:hAnsi="Times New Roman" w:cs="Times New Roman"/>
          <w:sz w:val="22"/>
          <w:szCs w:val="22"/>
        </w:rPr>
        <w:t xml:space="preserve"> In particular, the usual model examines the change over time in the logarithm of the expected number of counts for site </w:t>
      </w:r>
      <w:proofErr w:type="spellStart"/>
      <w:r w:rsidRPr="00A07462">
        <w:rPr>
          <w:rFonts w:ascii="Times New Roman" w:hAnsi="Times New Roman" w:cs="Times New Roman"/>
          <w:sz w:val="22"/>
          <w:szCs w:val="22"/>
        </w:rPr>
        <w:t>i</w:t>
      </w:r>
      <w:proofErr w:type="spellEnd"/>
      <w:r w:rsidRPr="00A07462">
        <w:rPr>
          <w:rFonts w:ascii="Times New Roman" w:hAnsi="Times New Roman" w:cs="Times New Roman"/>
          <w:sz w:val="22"/>
          <w:szCs w:val="22"/>
        </w:rPr>
        <w:t xml:space="preserve"> and time t as a Poisson model,</w:t>
      </w:r>
    </w:p>
    <w:p w14:paraId="46789151" w14:textId="77777777" w:rsidR="003524A4" w:rsidRPr="00A07462" w:rsidRDefault="003524A4" w:rsidP="003524A4">
      <w:pPr>
        <w:spacing w:after="0" w:line="480" w:lineRule="auto"/>
        <w:rPr>
          <w:rFonts w:ascii="Times New Roman" w:hAnsi="Times New Roman" w:cs="Times New Roman"/>
          <w:sz w:val="22"/>
          <w:szCs w:val="22"/>
        </w:rPr>
      </w:pPr>
    </w:p>
    <w:p w14:paraId="1A6BA147" w14:textId="77777777" w:rsidR="003524A4" w:rsidRPr="00A07462" w:rsidRDefault="003524A4" w:rsidP="003524A4">
      <w:pPr>
        <w:numPr>
          <w:ilvl w:val="0"/>
          <w:numId w:val="1"/>
        </w:numPr>
        <w:spacing w:after="0" w:line="480" w:lineRule="auto"/>
        <w:rPr>
          <w:rFonts w:ascii="Times New Roman" w:hAnsi="Times New Roman" w:cs="Times New Roman"/>
          <w:sz w:val="22"/>
          <w:szCs w:val="22"/>
        </w:rPr>
      </w:pPr>
      <w:r w:rsidRPr="00A07462">
        <w:rPr>
          <w:rFonts w:ascii="Times New Roman" w:hAnsi="Times New Roman" w:cs="Times New Roman"/>
          <w:sz w:val="22"/>
          <w:szCs w:val="22"/>
        </w:rPr>
        <w:t xml:space="preserve">log </w:t>
      </w:r>
      <w:proofErr w:type="gramStart"/>
      <w:r w:rsidRPr="00A07462">
        <w:rPr>
          <w:rFonts w:ascii="Times New Roman" w:hAnsi="Times New Roman" w:cs="Times New Roman"/>
          <w:sz w:val="22"/>
          <w:szCs w:val="22"/>
        </w:rPr>
        <w:t>( E</w:t>
      </w:r>
      <w:proofErr w:type="gramEnd"/>
      <w:r w:rsidRPr="00A07462">
        <w:rPr>
          <w:rFonts w:ascii="Times New Roman" w:hAnsi="Times New Roman" w:cs="Times New Roman"/>
          <w:sz w:val="22"/>
          <w:szCs w:val="22"/>
        </w:rPr>
        <w:t xml:space="preserve"> </w:t>
      </w:r>
      <w:proofErr w:type="gramStart"/>
      <w:r w:rsidRPr="00A07462">
        <w:rPr>
          <w:rFonts w:ascii="Times New Roman" w:hAnsi="Times New Roman" w:cs="Times New Roman"/>
          <w:sz w:val="22"/>
          <w:szCs w:val="22"/>
        </w:rPr>
        <w:t xml:space="preserve">( </w:t>
      </w:r>
      <w:proofErr w:type="spellStart"/>
      <w:r w:rsidRPr="00A07462">
        <w:rPr>
          <w:rFonts w:ascii="Times New Roman" w:hAnsi="Times New Roman" w:cs="Times New Roman"/>
          <w:sz w:val="22"/>
          <w:szCs w:val="22"/>
        </w:rPr>
        <w:t>Count</w:t>
      </w:r>
      <w:r w:rsidRPr="00A07462">
        <w:rPr>
          <w:rFonts w:ascii="Times New Roman" w:hAnsi="Times New Roman" w:cs="Times New Roman"/>
          <w:sz w:val="22"/>
          <w:szCs w:val="22"/>
          <w:vertAlign w:val="subscript"/>
        </w:rPr>
        <w:t>it</w:t>
      </w:r>
      <w:proofErr w:type="spellEnd"/>
      <w:proofErr w:type="gramEnd"/>
      <w:r w:rsidRPr="00A07462">
        <w:rPr>
          <w:rFonts w:ascii="Times New Roman" w:hAnsi="Times New Roman" w:cs="Times New Roman"/>
          <w:sz w:val="22"/>
          <w:szCs w:val="22"/>
          <w:vertAlign w:val="subscript"/>
        </w:rPr>
        <w:t xml:space="preserve"> </w:t>
      </w:r>
      <w:proofErr w:type="gramStart"/>
      <w:r w:rsidRPr="00A07462">
        <w:rPr>
          <w:rFonts w:ascii="Times New Roman" w:hAnsi="Times New Roman" w:cs="Times New Roman"/>
          <w:sz w:val="22"/>
          <w:szCs w:val="22"/>
        </w:rPr>
        <w:t>) )</w:t>
      </w:r>
      <w:proofErr w:type="gramEnd"/>
      <w:r w:rsidRPr="00A07462">
        <w:rPr>
          <w:rFonts w:ascii="Times New Roman" w:hAnsi="Times New Roman" w:cs="Times New Roman"/>
          <w:sz w:val="22"/>
          <w:szCs w:val="22"/>
        </w:rPr>
        <w:t xml:space="preserve"> = γ + δ t + c</w:t>
      </w:r>
      <w:r w:rsidRPr="00A07462">
        <w:rPr>
          <w:rFonts w:ascii="Times New Roman" w:hAnsi="Times New Roman" w:cs="Times New Roman"/>
          <w:sz w:val="22"/>
          <w:szCs w:val="22"/>
          <w:vertAlign w:val="subscript"/>
        </w:rPr>
        <w:t>i</w:t>
      </w:r>
      <w:r w:rsidRPr="00A07462">
        <w:rPr>
          <w:rFonts w:ascii="Times New Roman" w:hAnsi="Times New Roman" w:cs="Times New Roman"/>
          <w:sz w:val="22"/>
          <w:szCs w:val="22"/>
        </w:rPr>
        <w:t xml:space="preserve"> + d</w:t>
      </w:r>
      <w:r w:rsidRPr="00A07462">
        <w:rPr>
          <w:rFonts w:ascii="Times New Roman" w:hAnsi="Times New Roman" w:cs="Times New Roman"/>
          <w:sz w:val="22"/>
          <w:szCs w:val="22"/>
          <w:vertAlign w:val="subscript"/>
        </w:rPr>
        <w:t>i</w:t>
      </w:r>
      <w:r w:rsidRPr="00A07462">
        <w:rPr>
          <w:rFonts w:ascii="Times New Roman" w:hAnsi="Times New Roman" w:cs="Times New Roman"/>
          <w:sz w:val="22"/>
          <w:szCs w:val="22"/>
        </w:rPr>
        <w:t xml:space="preserve"> </w:t>
      </w:r>
      <w:proofErr w:type="gramStart"/>
      <w:r w:rsidRPr="00A07462">
        <w:rPr>
          <w:rFonts w:ascii="Times New Roman" w:hAnsi="Times New Roman" w:cs="Times New Roman"/>
          <w:sz w:val="22"/>
          <w:szCs w:val="22"/>
        </w:rPr>
        <w:t>t .</w:t>
      </w:r>
      <w:proofErr w:type="gramEnd"/>
    </w:p>
    <w:p w14:paraId="2E16D3E5" w14:textId="77777777" w:rsidR="003524A4" w:rsidRPr="00A07462" w:rsidRDefault="003524A4" w:rsidP="003524A4">
      <w:pPr>
        <w:spacing w:after="0" w:line="480" w:lineRule="auto"/>
        <w:ind w:left="720"/>
        <w:rPr>
          <w:rFonts w:ascii="Times New Roman" w:hAnsi="Times New Roman" w:cs="Times New Roman"/>
          <w:sz w:val="22"/>
          <w:szCs w:val="22"/>
        </w:rPr>
      </w:pPr>
    </w:p>
    <w:p w14:paraId="3CCBCD63" w14:textId="77777777" w:rsidR="003524A4" w:rsidRPr="00A07462" w:rsidRDefault="003524A4" w:rsidP="003524A4">
      <w:pPr>
        <w:spacing w:after="0" w:line="480" w:lineRule="auto"/>
        <w:rPr>
          <w:rFonts w:ascii="Times New Roman" w:hAnsi="Times New Roman" w:cs="Times New Roman"/>
          <w:sz w:val="22"/>
          <w:szCs w:val="22"/>
        </w:rPr>
      </w:pPr>
      <w:r w:rsidRPr="00A07462">
        <w:rPr>
          <w:rFonts w:ascii="Times New Roman" w:hAnsi="Times New Roman" w:cs="Times New Roman"/>
          <w:sz w:val="22"/>
          <w:szCs w:val="22"/>
        </w:rPr>
        <w:lastRenderedPageBreak/>
        <w:t xml:space="preserve">In Equation 2, γ and δ represent overall logarithmic counts’ intercept and slope over time, while </w:t>
      </w:r>
      <w:r w:rsidRPr="00A07462">
        <w:rPr>
          <w:rFonts w:ascii="Times New Roman" w:eastAsia="Calibri" w:hAnsi="Times New Roman" w:cs="Times New Roman"/>
          <w:sz w:val="22"/>
          <w:szCs w:val="22"/>
        </w:rPr>
        <w:t xml:space="preserve">the subscripted </w:t>
      </w:r>
      <w:r w:rsidRPr="00A07462">
        <w:rPr>
          <w:rFonts w:ascii="Times New Roman" w:hAnsi="Times New Roman" w:cs="Times New Roman"/>
          <w:sz w:val="22"/>
          <w:szCs w:val="22"/>
        </w:rPr>
        <w:t>c</w:t>
      </w:r>
      <w:r w:rsidRPr="00A07462">
        <w:rPr>
          <w:rFonts w:ascii="Times New Roman" w:hAnsi="Times New Roman" w:cs="Times New Roman"/>
          <w:sz w:val="22"/>
          <w:szCs w:val="22"/>
          <w:vertAlign w:val="subscript"/>
        </w:rPr>
        <w:t>i</w:t>
      </w:r>
      <w:r w:rsidRPr="00A07462">
        <w:rPr>
          <w:rFonts w:ascii="Times New Roman" w:hAnsi="Times New Roman" w:cs="Times New Roman"/>
          <w:sz w:val="22"/>
          <w:szCs w:val="22"/>
        </w:rPr>
        <w:t xml:space="preserve"> and d</w:t>
      </w:r>
      <w:r w:rsidRPr="00A07462">
        <w:rPr>
          <w:rFonts w:ascii="Times New Roman" w:hAnsi="Times New Roman" w:cs="Times New Roman"/>
          <w:sz w:val="22"/>
          <w:szCs w:val="22"/>
          <w:vertAlign w:val="subscript"/>
        </w:rPr>
        <w:t>i</w:t>
      </w:r>
      <w:r w:rsidRPr="00A07462">
        <w:rPr>
          <w:rFonts w:ascii="Times New Roman" w:hAnsi="Times New Roman" w:cs="Times New Roman"/>
          <w:sz w:val="22"/>
          <w:szCs w:val="22"/>
        </w:rPr>
        <w:t xml:space="preserve"> represent variations about zero of site level intercepts and slopes.  </w:t>
      </w:r>
    </w:p>
    <w:p w14:paraId="71931698" w14:textId="77777777" w:rsidR="003524A4" w:rsidRPr="00A07462" w:rsidRDefault="003524A4" w:rsidP="003524A4">
      <w:pPr>
        <w:spacing w:after="0" w:line="480" w:lineRule="auto"/>
        <w:rPr>
          <w:rFonts w:ascii="Times New Roman" w:hAnsi="Times New Roman" w:cs="Times New Roman"/>
          <w:sz w:val="22"/>
          <w:szCs w:val="22"/>
        </w:rPr>
      </w:pPr>
    </w:p>
    <w:p w14:paraId="32D6B7EF" w14:textId="77777777" w:rsidR="003524A4" w:rsidRPr="00A07462" w:rsidRDefault="003524A4" w:rsidP="003524A4">
      <w:pPr>
        <w:spacing w:after="0" w:line="480" w:lineRule="auto"/>
        <w:ind w:firstLine="720"/>
        <w:rPr>
          <w:rFonts w:ascii="Times New Roman" w:hAnsi="Times New Roman" w:cs="Times New Roman"/>
          <w:sz w:val="22"/>
          <w:szCs w:val="22"/>
        </w:rPr>
      </w:pPr>
      <w:r w:rsidRPr="00A07462">
        <w:rPr>
          <w:rFonts w:ascii="Times New Roman" w:hAnsi="Times New Roman" w:cs="Times New Roman"/>
          <w:sz w:val="22"/>
          <w:szCs w:val="22"/>
        </w:rPr>
        <w:t xml:space="preserve">We would like to harmonize data from sites with and without denominators, which requires that we relate the average trends for sites that measure the denominator (given by β in Equation 1) with the average trend for sites without a denominator (given </w:t>
      </w:r>
      <w:proofErr w:type="gramStart"/>
      <w:r w:rsidRPr="00A07462">
        <w:rPr>
          <w:rFonts w:ascii="Times New Roman" w:hAnsi="Times New Roman" w:cs="Times New Roman"/>
          <w:sz w:val="22"/>
          <w:szCs w:val="22"/>
        </w:rPr>
        <w:t>by  δ</w:t>
      </w:r>
      <w:proofErr w:type="gramEnd"/>
      <w:r w:rsidRPr="00A07462">
        <w:rPr>
          <w:rFonts w:ascii="Times New Roman" w:hAnsi="Times New Roman" w:cs="Times New Roman"/>
          <w:sz w:val="22"/>
          <w:szCs w:val="22"/>
        </w:rPr>
        <w:t xml:space="preserve"> in Equation 2). In general, if we have no information regarding denominators over time, this would not be possible. We remark, however, that if a)  the number of individuals with OUD is nearly constant over time within each site, that is </w:t>
      </w:r>
      <w:proofErr w:type="spellStart"/>
      <w:r w:rsidRPr="00A07462">
        <w:rPr>
          <w:rFonts w:ascii="Times New Roman" w:hAnsi="Times New Roman" w:cs="Times New Roman"/>
          <w:sz w:val="22"/>
          <w:szCs w:val="22"/>
        </w:rPr>
        <w:t>Denominator</w:t>
      </w:r>
      <w:r w:rsidRPr="00A07462">
        <w:rPr>
          <w:rFonts w:ascii="Times New Roman" w:hAnsi="Times New Roman" w:cs="Times New Roman"/>
          <w:sz w:val="22"/>
          <w:szCs w:val="22"/>
          <w:vertAlign w:val="subscript"/>
        </w:rPr>
        <w:t>it</w:t>
      </w:r>
      <w:proofErr w:type="spellEnd"/>
      <w:r w:rsidRPr="00A07462">
        <w:rPr>
          <w:rFonts w:ascii="Times New Roman" w:hAnsi="Times New Roman" w:cs="Times New Roman"/>
          <w:sz w:val="22"/>
          <w:szCs w:val="22"/>
        </w:rPr>
        <w:t xml:space="preserve"> essentially depends only on site </w:t>
      </w:r>
      <w:proofErr w:type="spellStart"/>
      <w:r w:rsidRPr="00A07462">
        <w:rPr>
          <w:rFonts w:ascii="Times New Roman" w:hAnsi="Times New Roman" w:cs="Times New Roman"/>
          <w:sz w:val="22"/>
          <w:szCs w:val="22"/>
        </w:rPr>
        <w:t>i</w:t>
      </w:r>
      <w:proofErr w:type="spellEnd"/>
      <w:r w:rsidRPr="00A07462">
        <w:rPr>
          <w:rFonts w:ascii="Times New Roman" w:hAnsi="Times New Roman" w:cs="Times New Roman"/>
          <w:sz w:val="22"/>
          <w:szCs w:val="22"/>
        </w:rPr>
        <w:t xml:space="preserve">, and b)  the reach ratios are modest, say below 30%, then we can relate the coefficients of these two models to one another and thus able to harmonize data from these two types of sites.   </w:t>
      </w:r>
    </w:p>
    <w:p w14:paraId="725B2942" w14:textId="77777777" w:rsidR="003524A4" w:rsidRPr="00A07462" w:rsidRDefault="003524A4" w:rsidP="003524A4">
      <w:pPr>
        <w:spacing w:after="0" w:line="480" w:lineRule="auto"/>
        <w:rPr>
          <w:rFonts w:ascii="Times New Roman" w:hAnsi="Times New Roman" w:cs="Times New Roman"/>
          <w:sz w:val="22"/>
          <w:szCs w:val="22"/>
        </w:rPr>
      </w:pPr>
      <w:r w:rsidRPr="00A07462">
        <w:rPr>
          <w:rFonts w:ascii="Times New Roman" w:hAnsi="Times New Roman" w:cs="Times New Roman"/>
          <w:sz w:val="22"/>
          <w:szCs w:val="22"/>
        </w:rPr>
        <w:t xml:space="preserve">We can see this by rewriting equation </w:t>
      </w:r>
      <w:proofErr w:type="gramStart"/>
      <w:r w:rsidRPr="00A07462">
        <w:rPr>
          <w:rFonts w:ascii="Times New Roman" w:hAnsi="Times New Roman" w:cs="Times New Roman"/>
          <w:sz w:val="22"/>
          <w:szCs w:val="22"/>
        </w:rPr>
        <w:t>1,as</w:t>
      </w:r>
      <w:proofErr w:type="gramEnd"/>
      <w:r w:rsidRPr="00A07462">
        <w:rPr>
          <w:rFonts w:ascii="Times New Roman" w:hAnsi="Times New Roman" w:cs="Times New Roman"/>
          <w:sz w:val="22"/>
          <w:szCs w:val="22"/>
        </w:rPr>
        <w:t xml:space="preserve"> log </w:t>
      </w:r>
      <w:proofErr w:type="gramStart"/>
      <w:r w:rsidRPr="00A07462">
        <w:rPr>
          <w:rFonts w:ascii="Times New Roman" w:hAnsi="Times New Roman" w:cs="Times New Roman"/>
          <w:sz w:val="22"/>
          <w:szCs w:val="22"/>
        </w:rPr>
        <w:t>( E</w:t>
      </w:r>
      <w:proofErr w:type="gramEnd"/>
      <w:r w:rsidRPr="00A07462">
        <w:rPr>
          <w:rFonts w:ascii="Times New Roman" w:hAnsi="Times New Roman" w:cs="Times New Roman"/>
          <w:sz w:val="22"/>
          <w:szCs w:val="22"/>
        </w:rPr>
        <w:t xml:space="preserve"> </w:t>
      </w:r>
      <w:proofErr w:type="gramStart"/>
      <w:r w:rsidRPr="00A07462">
        <w:rPr>
          <w:rFonts w:ascii="Times New Roman" w:hAnsi="Times New Roman" w:cs="Times New Roman"/>
          <w:sz w:val="22"/>
          <w:szCs w:val="22"/>
        </w:rPr>
        <w:t xml:space="preserve">( </w:t>
      </w:r>
      <w:proofErr w:type="spellStart"/>
      <w:r w:rsidRPr="00A07462">
        <w:rPr>
          <w:rFonts w:ascii="Times New Roman" w:hAnsi="Times New Roman" w:cs="Times New Roman"/>
          <w:sz w:val="22"/>
          <w:szCs w:val="22"/>
        </w:rPr>
        <w:t>Count</w:t>
      </w:r>
      <w:r w:rsidRPr="00A07462">
        <w:rPr>
          <w:rFonts w:ascii="Times New Roman" w:hAnsi="Times New Roman" w:cs="Times New Roman"/>
          <w:sz w:val="22"/>
          <w:szCs w:val="22"/>
          <w:vertAlign w:val="subscript"/>
        </w:rPr>
        <w:t>it</w:t>
      </w:r>
      <w:proofErr w:type="spellEnd"/>
      <w:proofErr w:type="gramEnd"/>
      <w:r w:rsidRPr="00A07462">
        <w:rPr>
          <w:rFonts w:ascii="Times New Roman" w:hAnsi="Times New Roman" w:cs="Times New Roman"/>
          <w:sz w:val="22"/>
          <w:szCs w:val="22"/>
        </w:rPr>
        <w:t xml:space="preserve">)) = log </w:t>
      </w:r>
      <w:proofErr w:type="gramStart"/>
      <w:r w:rsidRPr="00A07462">
        <w:rPr>
          <w:rFonts w:ascii="Times New Roman" w:hAnsi="Times New Roman" w:cs="Times New Roman"/>
          <w:sz w:val="22"/>
          <w:szCs w:val="22"/>
        </w:rPr>
        <w:t xml:space="preserve">( </w:t>
      </w:r>
      <w:proofErr w:type="spellStart"/>
      <w:r w:rsidRPr="00A07462">
        <w:rPr>
          <w:rFonts w:ascii="Times New Roman" w:hAnsi="Times New Roman" w:cs="Times New Roman"/>
          <w:sz w:val="22"/>
          <w:szCs w:val="22"/>
        </w:rPr>
        <w:t>Denominator</w:t>
      </w:r>
      <w:r w:rsidRPr="00A07462">
        <w:rPr>
          <w:rFonts w:ascii="Times New Roman" w:hAnsi="Times New Roman" w:cs="Times New Roman"/>
          <w:sz w:val="22"/>
          <w:szCs w:val="22"/>
          <w:vertAlign w:val="subscript"/>
        </w:rPr>
        <w:t>it</w:t>
      </w:r>
      <w:proofErr w:type="spellEnd"/>
      <w:proofErr w:type="gramEnd"/>
      <w:r w:rsidRPr="00A07462">
        <w:rPr>
          <w:rFonts w:ascii="Times New Roman" w:hAnsi="Times New Roman" w:cs="Times New Roman"/>
          <w:sz w:val="22"/>
          <w:szCs w:val="22"/>
        </w:rPr>
        <w:t xml:space="preserve"> ) + α + β t + a</w:t>
      </w:r>
      <w:r w:rsidRPr="00A07462">
        <w:rPr>
          <w:rFonts w:ascii="Times New Roman" w:hAnsi="Times New Roman" w:cs="Times New Roman"/>
          <w:sz w:val="22"/>
          <w:szCs w:val="22"/>
          <w:vertAlign w:val="subscript"/>
        </w:rPr>
        <w:t>i</w:t>
      </w:r>
      <w:r w:rsidRPr="00A07462">
        <w:rPr>
          <w:rFonts w:ascii="Times New Roman" w:hAnsi="Times New Roman" w:cs="Times New Roman"/>
          <w:sz w:val="22"/>
          <w:szCs w:val="22"/>
        </w:rPr>
        <w:t xml:space="preserve"> + </w:t>
      </w:r>
      <w:proofErr w:type="spellStart"/>
      <w:r w:rsidRPr="00A07462">
        <w:rPr>
          <w:rFonts w:ascii="Times New Roman" w:hAnsi="Times New Roman" w:cs="Times New Roman"/>
          <w:sz w:val="22"/>
          <w:szCs w:val="22"/>
        </w:rPr>
        <w:t>b</w:t>
      </w:r>
      <w:r w:rsidRPr="00A07462">
        <w:rPr>
          <w:rFonts w:ascii="Times New Roman" w:hAnsi="Times New Roman" w:cs="Times New Roman"/>
          <w:sz w:val="22"/>
          <w:szCs w:val="22"/>
          <w:vertAlign w:val="subscript"/>
        </w:rPr>
        <w:t>i</w:t>
      </w:r>
      <w:proofErr w:type="spellEnd"/>
      <w:r w:rsidRPr="00A07462">
        <w:rPr>
          <w:rFonts w:ascii="Times New Roman" w:hAnsi="Times New Roman" w:cs="Times New Roman"/>
          <w:sz w:val="22"/>
          <w:szCs w:val="22"/>
        </w:rPr>
        <w:t xml:space="preserve"> </w:t>
      </w:r>
      <w:proofErr w:type="gramStart"/>
      <w:r w:rsidRPr="00A07462">
        <w:rPr>
          <w:rFonts w:ascii="Times New Roman" w:hAnsi="Times New Roman" w:cs="Times New Roman"/>
          <w:sz w:val="22"/>
          <w:szCs w:val="22"/>
        </w:rPr>
        <w:t>t  or</w:t>
      </w:r>
      <w:proofErr w:type="gramEnd"/>
    </w:p>
    <w:p w14:paraId="2E4AB639" w14:textId="77777777" w:rsidR="003524A4" w:rsidRPr="00A07462" w:rsidRDefault="003524A4" w:rsidP="003524A4">
      <w:pPr>
        <w:spacing w:after="0" w:line="480" w:lineRule="auto"/>
        <w:rPr>
          <w:rFonts w:ascii="Times New Roman" w:hAnsi="Times New Roman" w:cs="Times New Roman"/>
          <w:sz w:val="22"/>
          <w:szCs w:val="22"/>
        </w:rPr>
      </w:pPr>
    </w:p>
    <w:p w14:paraId="033D7C1B" w14:textId="77777777" w:rsidR="003524A4" w:rsidRPr="00A07462" w:rsidRDefault="003524A4" w:rsidP="003524A4">
      <w:pPr>
        <w:numPr>
          <w:ilvl w:val="0"/>
          <w:numId w:val="1"/>
        </w:numPr>
        <w:spacing w:after="0" w:line="480" w:lineRule="auto"/>
        <w:rPr>
          <w:rFonts w:ascii="Times New Roman" w:hAnsi="Times New Roman" w:cs="Times New Roman"/>
          <w:sz w:val="22"/>
          <w:szCs w:val="22"/>
        </w:rPr>
      </w:pPr>
      <w:r w:rsidRPr="00A07462">
        <w:rPr>
          <w:rFonts w:ascii="Times New Roman" w:hAnsi="Times New Roman" w:cs="Times New Roman"/>
          <w:sz w:val="22"/>
          <w:szCs w:val="22"/>
        </w:rPr>
        <w:t xml:space="preserve">log </w:t>
      </w:r>
      <w:proofErr w:type="gramStart"/>
      <w:r w:rsidRPr="00A07462">
        <w:rPr>
          <w:rFonts w:ascii="Times New Roman" w:hAnsi="Times New Roman" w:cs="Times New Roman"/>
          <w:sz w:val="22"/>
          <w:szCs w:val="22"/>
        </w:rPr>
        <w:t>( E</w:t>
      </w:r>
      <w:proofErr w:type="gramEnd"/>
      <w:r w:rsidRPr="00A07462">
        <w:rPr>
          <w:rFonts w:ascii="Times New Roman" w:hAnsi="Times New Roman" w:cs="Times New Roman"/>
          <w:sz w:val="22"/>
          <w:szCs w:val="22"/>
        </w:rPr>
        <w:t xml:space="preserve"> </w:t>
      </w:r>
      <w:proofErr w:type="gramStart"/>
      <w:r w:rsidRPr="00A07462">
        <w:rPr>
          <w:rFonts w:ascii="Times New Roman" w:hAnsi="Times New Roman" w:cs="Times New Roman"/>
          <w:sz w:val="22"/>
          <w:szCs w:val="22"/>
        </w:rPr>
        <w:t xml:space="preserve">( </w:t>
      </w:r>
      <w:proofErr w:type="spellStart"/>
      <w:r w:rsidRPr="00A07462">
        <w:rPr>
          <w:rFonts w:ascii="Times New Roman" w:hAnsi="Times New Roman" w:cs="Times New Roman"/>
          <w:sz w:val="22"/>
          <w:szCs w:val="22"/>
        </w:rPr>
        <w:t>Count</w:t>
      </w:r>
      <w:r w:rsidRPr="00A07462">
        <w:rPr>
          <w:rFonts w:ascii="Times New Roman" w:hAnsi="Times New Roman" w:cs="Times New Roman"/>
          <w:sz w:val="22"/>
          <w:szCs w:val="22"/>
          <w:vertAlign w:val="subscript"/>
        </w:rPr>
        <w:t>it</w:t>
      </w:r>
      <w:proofErr w:type="spellEnd"/>
      <w:proofErr w:type="gramEnd"/>
      <w:r w:rsidRPr="00A07462">
        <w:rPr>
          <w:rFonts w:ascii="Times New Roman" w:hAnsi="Times New Roman" w:cs="Times New Roman"/>
          <w:sz w:val="22"/>
          <w:szCs w:val="22"/>
        </w:rPr>
        <w:t xml:space="preserve">)) </w:t>
      </w:r>
      <w:proofErr w:type="gramStart"/>
      <w:r w:rsidRPr="00A07462">
        <w:rPr>
          <w:rFonts w:ascii="Times New Roman" w:hAnsi="Times New Roman" w:cs="Times New Roman"/>
          <w:sz w:val="22"/>
          <w:szCs w:val="22"/>
        </w:rPr>
        <w:t xml:space="preserve">=  </w:t>
      </w:r>
      <w:r w:rsidRPr="00A07462">
        <w:rPr>
          <w:rFonts w:ascii="Times New Roman" w:hAnsi="Times New Roman" w:cs="Times New Roman"/>
          <w:b/>
          <w:bCs/>
          <w:sz w:val="22"/>
          <w:szCs w:val="22"/>
        </w:rPr>
        <w:t>γ</w:t>
      </w:r>
      <w:proofErr w:type="gramEnd"/>
      <w:r w:rsidRPr="00A07462">
        <w:rPr>
          <w:rFonts w:ascii="Times New Roman" w:hAnsi="Times New Roman" w:cs="Times New Roman"/>
          <w:b/>
          <w:bCs/>
          <w:sz w:val="22"/>
          <w:szCs w:val="22"/>
        </w:rPr>
        <w:t xml:space="preserve"> </w:t>
      </w:r>
      <w:r w:rsidRPr="00A07462">
        <w:rPr>
          <w:rFonts w:ascii="Times New Roman" w:hAnsi="Times New Roman" w:cs="Times New Roman"/>
          <w:sz w:val="22"/>
          <w:szCs w:val="22"/>
        </w:rPr>
        <w:t>+ β t + c</w:t>
      </w:r>
      <w:r w:rsidRPr="00A07462">
        <w:rPr>
          <w:rFonts w:ascii="Times New Roman" w:hAnsi="Times New Roman" w:cs="Times New Roman"/>
          <w:sz w:val="22"/>
          <w:szCs w:val="22"/>
          <w:vertAlign w:val="subscript"/>
        </w:rPr>
        <w:t>i</w:t>
      </w:r>
      <w:r w:rsidRPr="00A07462">
        <w:rPr>
          <w:rFonts w:ascii="Times New Roman" w:hAnsi="Times New Roman" w:cs="Times New Roman"/>
          <w:sz w:val="22"/>
          <w:szCs w:val="22"/>
        </w:rPr>
        <w:t xml:space="preserve"> + </w:t>
      </w:r>
      <w:proofErr w:type="spellStart"/>
      <w:r w:rsidRPr="00A07462">
        <w:rPr>
          <w:rFonts w:ascii="Times New Roman" w:hAnsi="Times New Roman" w:cs="Times New Roman"/>
          <w:sz w:val="22"/>
          <w:szCs w:val="22"/>
        </w:rPr>
        <w:t>b</w:t>
      </w:r>
      <w:r w:rsidRPr="00A07462">
        <w:rPr>
          <w:rFonts w:ascii="Times New Roman" w:hAnsi="Times New Roman" w:cs="Times New Roman"/>
          <w:sz w:val="22"/>
          <w:szCs w:val="22"/>
          <w:vertAlign w:val="subscript"/>
        </w:rPr>
        <w:t>i</w:t>
      </w:r>
      <w:proofErr w:type="spellEnd"/>
      <w:r w:rsidRPr="00A07462">
        <w:rPr>
          <w:rFonts w:ascii="Times New Roman" w:hAnsi="Times New Roman" w:cs="Times New Roman"/>
          <w:sz w:val="22"/>
          <w:szCs w:val="22"/>
        </w:rPr>
        <w:t xml:space="preserve"> t  </w:t>
      </w:r>
    </w:p>
    <w:p w14:paraId="68CED1A7" w14:textId="77777777" w:rsidR="003524A4" w:rsidRPr="00A07462" w:rsidRDefault="003524A4" w:rsidP="003524A4">
      <w:pPr>
        <w:spacing w:after="0" w:line="480" w:lineRule="auto"/>
        <w:ind w:left="720"/>
        <w:rPr>
          <w:rFonts w:ascii="Times New Roman" w:hAnsi="Times New Roman" w:cs="Times New Roman"/>
          <w:sz w:val="22"/>
          <w:szCs w:val="22"/>
        </w:rPr>
      </w:pPr>
    </w:p>
    <w:p w14:paraId="614DD633" w14:textId="77777777" w:rsidR="003524A4" w:rsidRPr="00A07462" w:rsidRDefault="003524A4" w:rsidP="003524A4">
      <w:pPr>
        <w:spacing w:after="0" w:line="480" w:lineRule="auto"/>
        <w:rPr>
          <w:rStyle w:val="Emphasis"/>
          <w:rFonts w:ascii="Times New Roman" w:eastAsia="Aptos" w:hAnsi="Times New Roman" w:cs="Times New Roman"/>
          <w:i w:val="0"/>
          <w:iCs w:val="0"/>
          <w:sz w:val="22"/>
          <w:szCs w:val="22"/>
        </w:rPr>
      </w:pPr>
      <w:r w:rsidRPr="00A07462">
        <w:rPr>
          <w:rFonts w:ascii="Times New Roman" w:hAnsi="Times New Roman" w:cs="Times New Roman"/>
          <w:sz w:val="22"/>
          <w:szCs w:val="22"/>
        </w:rPr>
        <w:t>with time-invariant denominators leading to the new intercept γ equal to</w:t>
      </w:r>
      <w:r w:rsidRPr="00A07462">
        <w:rPr>
          <w:rFonts w:ascii="Times New Roman" w:hAnsi="Times New Roman" w:cs="Times New Roman"/>
          <w:b/>
          <w:bCs/>
          <w:sz w:val="22"/>
          <w:szCs w:val="22"/>
        </w:rPr>
        <w:t xml:space="preserve"> </w:t>
      </w:r>
      <w:r w:rsidRPr="00A07462">
        <w:rPr>
          <w:rFonts w:ascii="Times New Roman" w:hAnsi="Times New Roman" w:cs="Times New Roman"/>
          <w:sz w:val="22"/>
          <w:szCs w:val="22"/>
        </w:rPr>
        <w:t>α + the average of log (</w:t>
      </w:r>
      <w:proofErr w:type="spellStart"/>
      <w:r w:rsidRPr="00A07462">
        <w:rPr>
          <w:rFonts w:ascii="Times New Roman" w:hAnsi="Times New Roman" w:cs="Times New Roman"/>
          <w:sz w:val="22"/>
          <w:szCs w:val="22"/>
        </w:rPr>
        <w:t>Denominator</w:t>
      </w:r>
      <w:r w:rsidRPr="00A07462">
        <w:rPr>
          <w:rFonts w:ascii="Times New Roman" w:hAnsi="Times New Roman" w:cs="Times New Roman"/>
          <w:sz w:val="22"/>
          <w:szCs w:val="22"/>
          <w:vertAlign w:val="subscript"/>
        </w:rPr>
        <w:t>i</w:t>
      </w:r>
      <w:proofErr w:type="spellEnd"/>
      <w:r w:rsidRPr="00A07462">
        <w:rPr>
          <w:rFonts w:ascii="Times New Roman" w:hAnsi="Times New Roman" w:cs="Times New Roman"/>
          <w:sz w:val="22"/>
          <w:szCs w:val="22"/>
        </w:rPr>
        <w:t xml:space="preserve">) and </w:t>
      </w:r>
      <w:proofErr w:type="gramStart"/>
      <w:r w:rsidRPr="00A07462">
        <w:rPr>
          <w:rFonts w:ascii="Times New Roman" w:hAnsi="Times New Roman" w:cs="Times New Roman"/>
          <w:sz w:val="22"/>
          <w:szCs w:val="22"/>
        </w:rPr>
        <w:t>c</w:t>
      </w:r>
      <w:r w:rsidRPr="00A07462">
        <w:rPr>
          <w:rFonts w:ascii="Times New Roman" w:hAnsi="Times New Roman" w:cs="Times New Roman"/>
          <w:sz w:val="22"/>
          <w:szCs w:val="22"/>
          <w:vertAlign w:val="subscript"/>
        </w:rPr>
        <w:t xml:space="preserve">i </w:t>
      </w:r>
      <w:r w:rsidRPr="00A07462">
        <w:rPr>
          <w:rFonts w:ascii="Times New Roman" w:hAnsi="Times New Roman" w:cs="Times New Roman"/>
          <w:sz w:val="22"/>
          <w:szCs w:val="22"/>
        </w:rPr>
        <w:t xml:space="preserve"> equal</w:t>
      </w:r>
      <w:proofErr w:type="gramEnd"/>
      <w:r w:rsidRPr="00A07462">
        <w:rPr>
          <w:rFonts w:ascii="Times New Roman" w:hAnsi="Times New Roman" w:cs="Times New Roman"/>
          <w:sz w:val="22"/>
          <w:szCs w:val="22"/>
        </w:rPr>
        <w:t xml:space="preserve"> to a</w:t>
      </w:r>
      <w:r w:rsidRPr="00A07462">
        <w:rPr>
          <w:rFonts w:ascii="Times New Roman" w:hAnsi="Times New Roman" w:cs="Times New Roman"/>
          <w:sz w:val="22"/>
          <w:szCs w:val="22"/>
          <w:vertAlign w:val="subscript"/>
        </w:rPr>
        <w:t>i</w:t>
      </w:r>
      <w:r w:rsidRPr="00F5616E">
        <w:rPr>
          <w:rFonts w:ascii="Times New Roman" w:hAnsi="Times New Roman" w:cs="Times New Roman"/>
          <w:sz w:val="22"/>
          <w:szCs w:val="22"/>
          <w:vertAlign w:val="subscript"/>
        </w:rPr>
        <w:t xml:space="preserve"> </w:t>
      </w:r>
      <w:r w:rsidRPr="00A07462">
        <w:rPr>
          <w:rFonts w:ascii="Times New Roman" w:hAnsi="Times New Roman" w:cs="Times New Roman"/>
          <w:sz w:val="22"/>
          <w:szCs w:val="22"/>
        </w:rPr>
        <w:t xml:space="preserve">plus log </w:t>
      </w:r>
      <w:proofErr w:type="gramStart"/>
      <w:r w:rsidRPr="00A07462">
        <w:rPr>
          <w:rFonts w:ascii="Times New Roman" w:hAnsi="Times New Roman" w:cs="Times New Roman"/>
          <w:sz w:val="22"/>
          <w:szCs w:val="22"/>
        </w:rPr>
        <w:t xml:space="preserve">( </w:t>
      </w:r>
      <w:proofErr w:type="spellStart"/>
      <w:r w:rsidRPr="00A07462">
        <w:rPr>
          <w:rFonts w:ascii="Times New Roman" w:hAnsi="Times New Roman" w:cs="Times New Roman"/>
          <w:sz w:val="22"/>
          <w:szCs w:val="22"/>
        </w:rPr>
        <w:t>Denominator</w:t>
      </w:r>
      <w:r w:rsidRPr="00A07462">
        <w:rPr>
          <w:rFonts w:ascii="Times New Roman" w:hAnsi="Times New Roman" w:cs="Times New Roman"/>
          <w:sz w:val="22"/>
          <w:szCs w:val="22"/>
          <w:vertAlign w:val="subscript"/>
        </w:rPr>
        <w:t>i</w:t>
      </w:r>
      <w:proofErr w:type="spellEnd"/>
      <w:proofErr w:type="gramEnd"/>
      <w:r w:rsidRPr="00A07462">
        <w:rPr>
          <w:rFonts w:ascii="Times New Roman" w:hAnsi="Times New Roman" w:cs="Times New Roman"/>
          <w:sz w:val="22"/>
          <w:szCs w:val="22"/>
        </w:rPr>
        <w:t>) – average of log (</w:t>
      </w:r>
      <w:proofErr w:type="spellStart"/>
      <w:r w:rsidRPr="00A07462">
        <w:rPr>
          <w:rFonts w:ascii="Times New Roman" w:hAnsi="Times New Roman" w:cs="Times New Roman"/>
          <w:sz w:val="22"/>
          <w:szCs w:val="22"/>
        </w:rPr>
        <w:t>Denominator</w:t>
      </w:r>
      <w:r w:rsidRPr="00A07462">
        <w:rPr>
          <w:rFonts w:ascii="Times New Roman" w:hAnsi="Times New Roman" w:cs="Times New Roman"/>
          <w:sz w:val="22"/>
          <w:szCs w:val="22"/>
          <w:vertAlign w:val="subscript"/>
        </w:rPr>
        <w:t>i</w:t>
      </w:r>
      <w:proofErr w:type="spellEnd"/>
      <w:r w:rsidRPr="00A07462">
        <w:rPr>
          <w:rFonts w:ascii="Times New Roman" w:hAnsi="Times New Roman" w:cs="Times New Roman"/>
          <w:sz w:val="22"/>
          <w:szCs w:val="22"/>
        </w:rPr>
        <w:t xml:space="preserve">). Importantly, inspection of (1) and (3), however, shows that </w:t>
      </w:r>
      <w:r w:rsidRPr="00F5616E">
        <w:rPr>
          <w:rFonts w:ascii="Times New Roman" w:eastAsia="Aptos" w:hAnsi="Times New Roman" w:cs="Times New Roman"/>
          <w:sz w:val="22"/>
          <w:szCs w:val="22"/>
        </w:rPr>
        <w:t>β</w:t>
      </w:r>
      <w:r w:rsidRPr="00A07462">
        <w:rPr>
          <w:rFonts w:ascii="Times New Roman" w:hAnsi="Times New Roman" w:cs="Times New Roman"/>
          <w:sz w:val="22"/>
          <w:szCs w:val="22"/>
        </w:rPr>
        <w:t xml:space="preserve"> slope coefficient for binomial modeling using a logit transform, shows that it essentially remains unchanged when the denominator is not measured, as in Equation (2). Note that the modeling of logit and log are very close when proportions are 30% or below. Thus, there is the possibility of combining data from proportional data and count data where the denominator is nearly constant but unknown.</w:t>
      </w:r>
    </w:p>
    <w:p w14:paraId="021F4DE7" w14:textId="77777777" w:rsidR="003524A4" w:rsidRPr="00A07462" w:rsidRDefault="003524A4" w:rsidP="003524A4">
      <w:pPr>
        <w:pStyle w:val="font-claude-response-body"/>
        <w:spacing w:before="0" w:beforeAutospacing="0" w:after="0" w:afterAutospacing="0" w:line="480" w:lineRule="auto"/>
        <w:ind w:firstLine="720"/>
        <w:rPr>
          <w:sz w:val="22"/>
          <w:szCs w:val="22"/>
        </w:rPr>
      </w:pPr>
      <w:r w:rsidRPr="00A07462">
        <w:rPr>
          <w:i/>
          <w:iCs/>
          <w:sz w:val="22"/>
          <w:szCs w:val="22"/>
        </w:rPr>
        <w:t>Unified standardized instruments.</w:t>
      </w:r>
      <w:r w:rsidRPr="00A07462">
        <w:rPr>
          <w:sz w:val="22"/>
          <w:szCs w:val="22"/>
        </w:rPr>
        <w:t xml:space="preserve"> An alternative harmonization approach is to have a single unified and standardized instrument that is adaptable across settings. Rather than relying on count data such as we used in the examples using reach above, survey questions can be constructed to minimize incompatibility. The IFASIS (Inventory of Factors Affecting Successful Implementation and </w:t>
      </w:r>
      <w:r w:rsidRPr="00A07462">
        <w:rPr>
          <w:sz w:val="22"/>
          <w:szCs w:val="22"/>
        </w:rPr>
        <w:lastRenderedPageBreak/>
        <w:t>Sustainment) provides a representative example, designed to retain context-specific variation.</w:t>
      </w:r>
      <w:r>
        <w:rPr>
          <w:sz w:val="22"/>
          <w:szCs w:val="22"/>
        </w:rPr>
        <w:fldChar w:fldCharType="begin"/>
      </w:r>
      <w:r>
        <w:rPr>
          <w:sz w:val="22"/>
          <w:szCs w:val="22"/>
        </w:rPr>
        <w:instrText xml:space="preserve"> ADDIN ZOTERO_ITEM CSL_CITATION {"citationID":"bObFrnuJ","properties":{"formattedCitation":"(38)","plainCitation":"(38)","noteIndex":0},"citationItems":[{"id":310,"uris":["http://zotero.org/users/17151532/items/N7ST35KG"],"itemData":{"id":310,"type":"article-journal","abstract":"Successful implementation and sustainment of interventions is heavily influenced by context. Yet the complexity and dynamic nature of context make it challenging to connect and translate findings across implementation efforts. Existing methods to assess context are typically qualitative, limiting potential replicability and utility. Existing quantitative measures and the siloed nature of implementation efforts limit possibilities for data pooling and harmonization. The Inventory of Factors Affecting Successful Implementation and Sustainment (IFASIS) was developed to be a pragmatic, quantitative, organizational-level assessment of contextual factors. The intention is to characterize context with a measure that may enhance replication and reproducibility of findings beyond single implementation case studies. Here, we present the development and validation of the IFASIS.","container-title":"Implementation Science Communications","DOI":"10.1186/s43058-025-00726-9","ISSN":"2662-2211","issue":"1","journalAbbreviation":"Implement Sci Commun","language":"en","page":"50","source":"Springer Link","title":"Development and validation of a pragmatic measure of context at the organizational level: The Inventory of Factors Affecting Successful Implementation and Sustainment (IFASIS)","title-short":"Development and validation of a pragmatic measure of context at the organizational level","volume":"6","author":[{"family":"Chokron Garneau","given":"Hélène"},{"family":"Cheng","given":"Hannah"},{"family":"Kim","given":"Jane"},{"family":"Abdel Magid","given":"Maryam"},{"family":"Chin-Purcell","given":"Lia"},{"family":"McGovern","given":"Mark"}],"issued":{"date-parts":[["2025",4,25]]}}}],"schema":"https://github.com/citation-style-language/schema/raw/master/csl-citation.json"} </w:instrText>
      </w:r>
      <w:r>
        <w:rPr>
          <w:sz w:val="22"/>
          <w:szCs w:val="22"/>
        </w:rPr>
        <w:fldChar w:fldCharType="separate"/>
      </w:r>
      <w:r>
        <w:rPr>
          <w:noProof/>
          <w:sz w:val="22"/>
          <w:szCs w:val="22"/>
        </w:rPr>
        <w:t>(38)</w:t>
      </w:r>
      <w:r>
        <w:rPr>
          <w:sz w:val="22"/>
          <w:szCs w:val="22"/>
        </w:rPr>
        <w:fldChar w:fldCharType="end"/>
      </w:r>
      <w:r w:rsidRPr="00A07462">
        <w:rPr>
          <w:sz w:val="22"/>
          <w:szCs w:val="22"/>
        </w:rPr>
        <w:t xml:space="preserve"> This 27-item questionnaire assesses implementation determinants across 4 domains: factors outside the organization, within the organization, about the intervention, and provider characteristics. Each determinant is rated for its influence and level of importance on an ordinal scale.</w:t>
      </w:r>
    </w:p>
    <w:p w14:paraId="19D53262" w14:textId="77777777" w:rsidR="003524A4" w:rsidRPr="003524A4" w:rsidRDefault="003524A4">
      <w:pPr>
        <w:rPr>
          <w:rFonts w:ascii="Times New Roman" w:hAnsi="Times New Roman" w:cs="Times New Roman"/>
          <w:sz w:val="22"/>
          <w:szCs w:val="22"/>
        </w:rPr>
      </w:pPr>
    </w:p>
    <w:sectPr w:rsidR="003524A4" w:rsidRPr="003524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6B"/>
    <w:multiLevelType w:val="multilevel"/>
    <w:tmpl w:val="84A88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573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F00"/>
    <w:rsid w:val="00087F00"/>
    <w:rsid w:val="003524A4"/>
    <w:rsid w:val="0039761D"/>
    <w:rsid w:val="006C6892"/>
    <w:rsid w:val="007D617C"/>
    <w:rsid w:val="00801506"/>
    <w:rsid w:val="00DC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8A5248"/>
  <w15:chartTrackingRefBased/>
  <w15:docId w15:val="{CBD4ADCA-BA20-2C42-9B22-8148C86C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F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F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F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F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F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F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F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F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F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F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F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F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F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F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F00"/>
    <w:rPr>
      <w:rFonts w:eastAsiaTheme="majorEastAsia" w:cstheme="majorBidi"/>
      <w:color w:val="272727" w:themeColor="text1" w:themeTint="D8"/>
    </w:rPr>
  </w:style>
  <w:style w:type="paragraph" w:styleId="Title">
    <w:name w:val="Title"/>
    <w:basedOn w:val="Normal"/>
    <w:next w:val="Normal"/>
    <w:link w:val="TitleChar"/>
    <w:uiPriority w:val="10"/>
    <w:qFormat/>
    <w:rsid w:val="00087F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F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F00"/>
    <w:pPr>
      <w:spacing w:before="160"/>
      <w:jc w:val="center"/>
    </w:pPr>
    <w:rPr>
      <w:i/>
      <w:iCs/>
      <w:color w:val="404040" w:themeColor="text1" w:themeTint="BF"/>
    </w:rPr>
  </w:style>
  <w:style w:type="character" w:customStyle="1" w:styleId="QuoteChar">
    <w:name w:val="Quote Char"/>
    <w:basedOn w:val="DefaultParagraphFont"/>
    <w:link w:val="Quote"/>
    <w:uiPriority w:val="29"/>
    <w:rsid w:val="00087F00"/>
    <w:rPr>
      <w:i/>
      <w:iCs/>
      <w:color w:val="404040" w:themeColor="text1" w:themeTint="BF"/>
    </w:rPr>
  </w:style>
  <w:style w:type="paragraph" w:styleId="ListParagraph">
    <w:name w:val="List Paragraph"/>
    <w:basedOn w:val="Normal"/>
    <w:uiPriority w:val="34"/>
    <w:qFormat/>
    <w:rsid w:val="00087F00"/>
    <w:pPr>
      <w:ind w:left="720"/>
      <w:contextualSpacing/>
    </w:pPr>
  </w:style>
  <w:style w:type="character" w:styleId="IntenseEmphasis">
    <w:name w:val="Intense Emphasis"/>
    <w:basedOn w:val="DefaultParagraphFont"/>
    <w:uiPriority w:val="21"/>
    <w:qFormat/>
    <w:rsid w:val="00087F00"/>
    <w:rPr>
      <w:i/>
      <w:iCs/>
      <w:color w:val="0F4761" w:themeColor="accent1" w:themeShade="BF"/>
    </w:rPr>
  </w:style>
  <w:style w:type="paragraph" w:styleId="IntenseQuote">
    <w:name w:val="Intense Quote"/>
    <w:basedOn w:val="Normal"/>
    <w:next w:val="Normal"/>
    <w:link w:val="IntenseQuoteChar"/>
    <w:uiPriority w:val="30"/>
    <w:qFormat/>
    <w:rsid w:val="00087F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F00"/>
    <w:rPr>
      <w:i/>
      <w:iCs/>
      <w:color w:val="0F4761" w:themeColor="accent1" w:themeShade="BF"/>
    </w:rPr>
  </w:style>
  <w:style w:type="character" w:styleId="IntenseReference">
    <w:name w:val="Intense Reference"/>
    <w:basedOn w:val="DefaultParagraphFont"/>
    <w:uiPriority w:val="32"/>
    <w:qFormat/>
    <w:rsid w:val="00087F00"/>
    <w:rPr>
      <w:b/>
      <w:bCs/>
      <w:smallCaps/>
      <w:color w:val="0F4761" w:themeColor="accent1" w:themeShade="BF"/>
      <w:spacing w:val="5"/>
    </w:rPr>
  </w:style>
  <w:style w:type="paragraph" w:customStyle="1" w:styleId="font-claude-response-body">
    <w:name w:val="font-claude-response-body"/>
    <w:basedOn w:val="Normal"/>
    <w:rsid w:val="003524A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524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1370</Words>
  <Characters>7814</Characters>
  <Application>Microsoft Office Word</Application>
  <DocSecurity>0</DocSecurity>
  <Lines>65</Lines>
  <Paragraphs>18</Paragraphs>
  <ScaleCrop>false</ScaleCrop>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Begna</dc:creator>
  <cp:keywords/>
  <dc:description/>
  <cp:lastModifiedBy>Hannah Begna</cp:lastModifiedBy>
  <cp:revision>4</cp:revision>
  <dcterms:created xsi:type="dcterms:W3CDTF">2026-06-08T16:08:00Z</dcterms:created>
  <dcterms:modified xsi:type="dcterms:W3CDTF">2026-06-08T16:12:00Z</dcterms:modified>
</cp:coreProperties>
</file>