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B71" w:rsidRPr="000C763C" w:rsidRDefault="00653947" w:rsidP="00E200E5">
      <w:pPr>
        <w:pStyle w:val="Heading1"/>
        <w:spacing w:before="0" w:line="480" w:lineRule="auto"/>
        <w:rPr>
          <w:rFonts w:asciiTheme="minorHAnsi" w:hAnsiTheme="minorHAnsi"/>
        </w:rPr>
      </w:pPr>
      <w:r w:rsidRPr="000C763C">
        <w:rPr>
          <w:rFonts w:asciiTheme="minorHAnsi" w:hAnsiTheme="minorHAnsi"/>
        </w:rPr>
        <w:t>Appendix B</w:t>
      </w:r>
      <w:r w:rsidR="00744B71" w:rsidRPr="000C763C">
        <w:rPr>
          <w:rFonts w:asciiTheme="minorHAnsi" w:hAnsiTheme="minorHAnsi"/>
        </w:rPr>
        <w:t xml:space="preserve">: </w:t>
      </w:r>
      <w:r w:rsidRPr="000C763C">
        <w:rPr>
          <w:rFonts w:asciiTheme="minorHAnsi" w:hAnsiTheme="minorHAnsi"/>
        </w:rPr>
        <w:t>Derivation of Population Margin</w:t>
      </w:r>
      <w:r w:rsidR="00744B71" w:rsidRPr="000C763C">
        <w:rPr>
          <w:rFonts w:asciiTheme="minorHAnsi" w:hAnsiTheme="minorHAnsi"/>
        </w:rPr>
        <w:t>s</w:t>
      </w:r>
    </w:p>
    <w:p w:rsidR="00653947" w:rsidRPr="000C763C" w:rsidRDefault="00653947" w:rsidP="00E200E5">
      <w:pPr>
        <w:pStyle w:val="Heading1"/>
        <w:spacing w:before="0" w:line="480" w:lineRule="auto"/>
        <w:rPr>
          <w:rFonts w:ascii="Cambria" w:hAnsi="Cambria"/>
          <w:sz w:val="24"/>
        </w:rPr>
      </w:pPr>
      <w:r w:rsidRPr="000C763C">
        <w:rPr>
          <w:rFonts w:ascii="Cambria" w:hAnsi="Cambria"/>
          <w:sz w:val="24"/>
        </w:rPr>
        <w:t>Composite Volume Analysis</w:t>
      </w:r>
    </w:p>
    <w:p w:rsidR="00653947" w:rsidRPr="000C763C" w:rsidRDefault="00653947" w:rsidP="00506820">
      <w:r w:rsidRPr="000C763C">
        <w:t>Normality tests performed on the distributions of the 95% overlap margin did not reject the null hypothesis that they were normally distributed. Equation 1 in the main text was therefore employed to calculate the margin required to achieve 95% overlap in 90% of the patient population, using the mean and standard deviation results reported in Table I of the main text.</w:t>
      </w:r>
    </w:p>
    <w:p w:rsidR="00653947" w:rsidRPr="000C763C" w:rsidRDefault="00653947" w:rsidP="00506820">
      <w:pPr>
        <w:rPr>
          <w:b/>
        </w:rPr>
      </w:pPr>
      <w:r w:rsidRPr="000C763C">
        <w:rPr>
          <w:lang w:val="en-GB"/>
        </w:rPr>
        <w:t>For a normally distributed population, the percentage of the population that should achieve 95% overlap with a composite structure for a specific margin size can be estimated from the mean (</w:t>
      </w:r>
      <w:r w:rsidRPr="000C763C">
        <w:t>x̄</w:t>
      </w:r>
      <w:r w:rsidRPr="000C763C">
        <w:rPr>
          <w:lang w:val="en-GB"/>
        </w:rPr>
        <w:t xml:space="preserve">) and standard deviation (s) of the distribution. As indicated in Figure B.1, 50% of the population will achieve 95% overlap if </w:t>
      </w:r>
      <w:r w:rsidRPr="000C763C">
        <w:t xml:space="preserve">x̄ is used as the CTV-PTV margin. A margin of x̄ + s will result in approximately 84% </w:t>
      </w:r>
      <w:r w:rsidRPr="000C763C">
        <w:rPr>
          <w:lang w:val="en-GB"/>
        </w:rPr>
        <w:t xml:space="preserve">achieving 95% overlap, while a margin of </w:t>
      </w:r>
      <w:r w:rsidRPr="000C763C">
        <w:t>x̄ + 1.28s is required for 90% of the population to achieve 95% with the composite structures.</w:t>
      </w:r>
    </w:p>
    <w:p w:rsidR="00653947" w:rsidRPr="00FD4286" w:rsidRDefault="00653947" w:rsidP="00653947">
      <w:pPr>
        <w:rPr>
          <w:rFonts w:ascii="Helvetica Neue" w:hAnsi="Helvetica Neue"/>
        </w:rPr>
      </w:pPr>
    </w:p>
    <w:p w:rsidR="00653947" w:rsidRPr="00FD4286" w:rsidRDefault="00653947" w:rsidP="00653947">
      <w:pPr>
        <w:keepNext/>
        <w:jc w:val="center"/>
        <w:rPr>
          <w:rFonts w:ascii="Helvetica Neue" w:hAnsi="Helvetica Neue"/>
        </w:rPr>
      </w:pPr>
      <w:r w:rsidRPr="00FD4286">
        <w:rPr>
          <w:rFonts w:ascii="Helvetica Neue" w:hAnsi="Helvetica Neue"/>
          <w:noProof/>
          <w:lang w:val="en-GB" w:eastAsia="en-GB"/>
        </w:rPr>
        <w:lastRenderedPageBreak/>
        <w:drawing>
          <wp:inline distT="0" distB="0" distL="0" distR="0" wp14:anchorId="0B790669" wp14:editId="3CF79ED2">
            <wp:extent cx="3444738" cy="27720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insSupplementaryFig.png"/>
                    <pic:cNvPicPr/>
                  </pic:nvPicPr>
                  <pic:blipFill rotWithShape="1">
                    <a:blip r:embed="rId7">
                      <a:extLst>
                        <a:ext uri="{28A0092B-C50C-407E-A947-70E740481C1C}">
                          <a14:useLocalDpi xmlns:a14="http://schemas.microsoft.com/office/drawing/2010/main" val="0"/>
                        </a:ext>
                      </a:extLst>
                    </a:blip>
                    <a:srcRect l="2484" t="1522" r="1666" b="3817"/>
                    <a:stretch/>
                  </pic:blipFill>
                  <pic:spPr bwMode="auto">
                    <a:xfrm>
                      <a:off x="0" y="0"/>
                      <a:ext cx="3444738" cy="2772000"/>
                    </a:xfrm>
                    <a:prstGeom prst="rect">
                      <a:avLst/>
                    </a:prstGeom>
                    <a:ln>
                      <a:noFill/>
                    </a:ln>
                    <a:extLst>
                      <a:ext uri="{53640926-AAD7-44D8-BBD7-CCE9431645EC}">
                        <a14:shadowObscured xmlns:a14="http://schemas.microsoft.com/office/drawing/2010/main"/>
                      </a:ext>
                    </a:extLst>
                  </pic:spPr>
                </pic:pic>
              </a:graphicData>
            </a:graphic>
          </wp:inline>
        </w:drawing>
      </w:r>
    </w:p>
    <w:p w:rsidR="00653947" w:rsidRPr="00506820" w:rsidRDefault="00653947" w:rsidP="00E200E5">
      <w:pPr>
        <w:pStyle w:val="Caption"/>
      </w:pPr>
      <w:r w:rsidRPr="00506820">
        <w:t>Figure B.</w:t>
      </w:r>
      <w:fldSimple w:instr=" SEQ Figure \* ARABIC \r 1 ">
        <w:r w:rsidRPr="00506820">
          <w:rPr>
            <w:noProof/>
          </w:rPr>
          <w:t>1</w:t>
        </w:r>
      </w:fldSimple>
      <w:r w:rsidRPr="00506820">
        <w:t xml:space="preserve"> Sketch illustrating derivation of margin required for 90% of the population to achieve 95% overlap in a normally distributed sample.</w:t>
      </w:r>
    </w:p>
    <w:p w:rsidR="00653947" w:rsidRPr="000C763C" w:rsidRDefault="00653947" w:rsidP="00E200E5">
      <w:pPr>
        <w:pStyle w:val="Heading2"/>
        <w:spacing w:before="240" w:line="480" w:lineRule="auto"/>
        <w:jc w:val="left"/>
        <w:rPr>
          <w:rFonts w:ascii="Cambria" w:hAnsi="Cambria"/>
          <w:sz w:val="24"/>
          <w:szCs w:val="24"/>
        </w:rPr>
      </w:pPr>
      <w:r w:rsidRPr="000C763C">
        <w:rPr>
          <w:rFonts w:ascii="Cambria" w:hAnsi="Cambria"/>
          <w:sz w:val="24"/>
          <w:szCs w:val="24"/>
        </w:rPr>
        <w:t>Prostate CTV-PTV Margin Calculation: Statistical Method</w:t>
      </w:r>
    </w:p>
    <w:p w:rsidR="00653947" w:rsidRPr="000C763C" w:rsidRDefault="00653947" w:rsidP="00506820">
      <w:r w:rsidRPr="000C763C">
        <w:t xml:space="preserve">As part of a local audit of our </w:t>
      </w:r>
      <w:proofErr w:type="spellStart"/>
      <w:r w:rsidRPr="000C763C">
        <w:t>centre’s</w:t>
      </w:r>
      <w:proofErr w:type="spellEnd"/>
      <w:r w:rsidRPr="000C763C">
        <w:t xml:space="preserve"> set-up protocol, CBCT images from 20 prostate IMRT patients were </w:t>
      </w:r>
      <w:proofErr w:type="spellStart"/>
      <w:r w:rsidRPr="000C763C">
        <w:t>analysed</w:t>
      </w:r>
      <w:proofErr w:type="spellEnd"/>
      <w:r w:rsidRPr="000C763C">
        <w:t xml:space="preserve"> following their treatment. Our current imaging protocol states that, following the patient’s set-up, CBCT images should be acquired for the first 3 fractions and on a weekly basis subsequent to this. Registration of the CBCT images to the patient’s </w:t>
      </w:r>
      <w:proofErr w:type="spellStart"/>
      <w:r w:rsidRPr="000C763C">
        <w:t>pCT</w:t>
      </w:r>
      <w:proofErr w:type="spellEnd"/>
      <w:r w:rsidRPr="000C763C">
        <w:t xml:space="preserve"> is performed, accounting for translational shifts only, using the patient’s bony anatomy as a surrogate for the CTV.</w:t>
      </w:r>
    </w:p>
    <w:p w:rsidR="00653947" w:rsidRPr="000C763C" w:rsidRDefault="00653947" w:rsidP="00506820">
      <w:r w:rsidRPr="000C763C">
        <w:t>Post-treatment CBCT’s were also acquired for this sample of patients for a number of their treatments (range 5 – 10)</w:t>
      </w:r>
      <w:proofErr w:type="gramStart"/>
      <w:r w:rsidRPr="000C763C">
        <w:t>,</w:t>
      </w:r>
      <w:proofErr w:type="gramEnd"/>
      <w:r w:rsidRPr="000C763C">
        <w:t xml:space="preserve"> these were registered with the </w:t>
      </w:r>
      <w:proofErr w:type="spellStart"/>
      <w:r w:rsidRPr="000C763C">
        <w:t>pCT</w:t>
      </w:r>
      <w:proofErr w:type="spellEnd"/>
      <w:r w:rsidRPr="000C763C">
        <w:t xml:space="preserve"> and saved for analysis offline. Following treatment, the saved CBCT images (249 pre-treatment and 130 post-treatment) were reviewed offline by a single clinical oncologist (CL) using the Aria Offline Review program (Varian Medical Systems). For the pre-treatment images, additional matches were carried out for the PSV </w:t>
      </w:r>
      <w:r w:rsidRPr="000C763C">
        <w:lastRenderedPageBreak/>
        <w:t>CTV volume. Offline matching was also performed on the post-treatment images for the same structures of interest (i.e. bone surrogate and PSV).</w:t>
      </w:r>
    </w:p>
    <w:p w:rsidR="00653947" w:rsidRPr="000C763C" w:rsidRDefault="00653947" w:rsidP="00506820">
      <w:r w:rsidRPr="000C763C">
        <w:t>The result</w:t>
      </w:r>
      <w:bookmarkStart w:id="0" w:name="_GoBack"/>
      <w:bookmarkEnd w:id="0"/>
      <w:r w:rsidRPr="000C763C">
        <w:t xml:space="preserve">s of this matching study were </w:t>
      </w:r>
      <w:proofErr w:type="spellStart"/>
      <w:r w:rsidRPr="000C763C">
        <w:t>analysed</w:t>
      </w:r>
      <w:proofErr w:type="spellEnd"/>
      <w:r w:rsidRPr="000C763C">
        <w:t xml:space="preserve"> to derive systematic (∑) and random (σ) uncertainties for various sources of uncertainty. The results of this analysis were employed in the conventional van </w:t>
      </w:r>
      <w:proofErr w:type="spellStart"/>
      <w:r w:rsidRPr="000C763C">
        <w:t>Herk</w:t>
      </w:r>
      <w:proofErr w:type="spellEnd"/>
      <w:r w:rsidRPr="000C763C">
        <w:t xml:space="preserve"> CTV-PTV margin formula [1</w:t>
      </w:r>
      <w:r w:rsidR="00506820" w:rsidRPr="000C763C">
        <w:t>4</w:t>
      </w:r>
      <w:r w:rsidRPr="000C763C">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3081"/>
        <w:gridCol w:w="510"/>
      </w:tblGrid>
      <w:tr w:rsidR="00653947" w:rsidRPr="00E200E5" w:rsidTr="00E200E5">
        <w:trPr>
          <w:jc w:val="center"/>
        </w:trPr>
        <w:tc>
          <w:tcPr>
            <w:tcW w:w="284" w:type="dxa"/>
            <w:vAlign w:val="center"/>
          </w:tcPr>
          <w:p w:rsidR="00653947" w:rsidRPr="00E200E5" w:rsidRDefault="00653947" w:rsidP="00F723DD">
            <w:pPr>
              <w:spacing w:line="360" w:lineRule="auto"/>
              <w:jc w:val="center"/>
              <w:rPr>
                <w:rFonts w:ascii="Helvetica Neue" w:hAnsi="Helvetica Neue"/>
                <w:b/>
                <w:sz w:val="22"/>
                <w:szCs w:val="22"/>
              </w:rPr>
            </w:pPr>
          </w:p>
        </w:tc>
        <w:tc>
          <w:tcPr>
            <w:tcW w:w="3081" w:type="dxa"/>
            <w:vAlign w:val="center"/>
            <w:hideMark/>
          </w:tcPr>
          <w:p w:rsidR="00653947" w:rsidRPr="00E200E5" w:rsidRDefault="00653947" w:rsidP="00F723DD">
            <w:pPr>
              <w:spacing w:line="360" w:lineRule="auto"/>
              <w:jc w:val="center"/>
              <w:rPr>
                <w:rFonts w:ascii="Helvetica Neue" w:hAnsi="Helvetica Neue"/>
                <w:b/>
                <w:sz w:val="22"/>
                <w:szCs w:val="22"/>
              </w:rPr>
            </w:pPr>
            <m:oMathPara>
              <m:oMath>
                <m:r>
                  <m:rPr>
                    <m:sty m:val="b"/>
                  </m:rPr>
                  <w:rPr>
                    <w:rFonts w:ascii="Cambria Math" w:hAnsi="Cambria Math"/>
                    <w:szCs w:val="22"/>
                  </w:rPr>
                  <m:t>Margin</m:t>
                </m:r>
                <m:r>
                  <m:rPr>
                    <m:sty m:val="bi"/>
                  </m:rPr>
                  <w:rPr>
                    <w:rFonts w:ascii="Cambria Math" w:hAnsi="Cambria Math"/>
                    <w:szCs w:val="22"/>
                  </w:rPr>
                  <m:t>=2.5</m:t>
                </m:r>
                <m:r>
                  <m:rPr>
                    <m:sty m:val="b"/>
                  </m:rPr>
                  <w:rPr>
                    <w:rFonts w:ascii="Cambria Math" w:hAnsi="Cambria Math"/>
                    <w:szCs w:val="22"/>
                  </w:rPr>
                  <m:t>Σ</m:t>
                </m:r>
                <m:r>
                  <m:rPr>
                    <m:sty m:val="bi"/>
                  </m:rPr>
                  <w:rPr>
                    <w:rFonts w:ascii="Cambria Math" w:hAnsi="Cambria Math"/>
                    <w:szCs w:val="22"/>
                  </w:rPr>
                  <m:t>+0.7</m:t>
                </m:r>
                <m:r>
                  <m:rPr>
                    <m:sty m:val="bi"/>
                  </m:rPr>
                  <w:rPr>
                    <w:rFonts w:ascii="Cambria Math" w:hAnsi="Cambria Math"/>
                    <w:szCs w:val="22"/>
                  </w:rPr>
                  <m:t>σ</m:t>
                </m:r>
              </m:oMath>
            </m:oMathPara>
          </w:p>
        </w:tc>
        <w:tc>
          <w:tcPr>
            <w:tcW w:w="510" w:type="dxa"/>
            <w:vAlign w:val="center"/>
            <w:hideMark/>
          </w:tcPr>
          <w:p w:rsidR="00653947" w:rsidRPr="00E200E5" w:rsidRDefault="00653947" w:rsidP="00E200E5">
            <w:pPr>
              <w:pStyle w:val="Caption"/>
            </w:pPr>
            <w:fldSimple w:instr=" SEQ Equation \* ARABIC ">
              <w:r w:rsidRPr="00E200E5">
                <w:rPr>
                  <w:noProof/>
                </w:rPr>
                <w:t>1</w:t>
              </w:r>
            </w:fldSimple>
          </w:p>
        </w:tc>
      </w:tr>
    </w:tbl>
    <w:p w:rsidR="00653947" w:rsidRPr="00506820" w:rsidRDefault="00653947" w:rsidP="00506820">
      <w:r w:rsidRPr="00506820">
        <w:t>For comparison to the composite volume analysis presented in this article, margins based on two online registration protocols were calculated using variants of this formula.</w:t>
      </w:r>
    </w:p>
    <w:p w:rsidR="00653947" w:rsidRPr="00506820" w:rsidRDefault="00653947" w:rsidP="00506820">
      <w:r w:rsidRPr="00506820">
        <w:t>The formula used for the bone matching protocol was given by:</w:t>
      </w:r>
    </w:p>
    <w:tbl>
      <w:tblPr>
        <w:tblStyle w:val="TableGrid"/>
        <w:tblW w:w="453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115"/>
        <w:gridCol w:w="378"/>
      </w:tblGrid>
      <w:tr w:rsidR="00653947" w:rsidRPr="00FD4286" w:rsidTr="00F723DD">
        <w:trPr>
          <w:trHeight w:val="850"/>
          <w:jc w:val="center"/>
        </w:trPr>
        <w:tc>
          <w:tcPr>
            <w:tcW w:w="133" w:type="pct"/>
          </w:tcPr>
          <w:p w:rsidR="00653947" w:rsidRPr="00FD4286" w:rsidRDefault="00653947" w:rsidP="00E200E5">
            <w:pPr>
              <w:pStyle w:val="Caption"/>
            </w:pPr>
          </w:p>
        </w:tc>
        <w:tc>
          <w:tcPr>
            <w:tcW w:w="4617" w:type="pct"/>
            <w:vAlign w:val="center"/>
            <w:hideMark/>
          </w:tcPr>
          <w:p w:rsidR="00653947" w:rsidRPr="00E200E5" w:rsidRDefault="00653947" w:rsidP="00E200E5">
            <m:oMathPara>
              <m:oMath>
                <m:r>
                  <m:rPr>
                    <m:sty m:val="b"/>
                  </m:rPr>
                  <w:rPr>
                    <w:rFonts w:ascii="Cambria Math" w:hAnsi="Cambria Math"/>
                    <w:sz w:val="22"/>
                  </w:rPr>
                  <m:t>Margin</m:t>
                </m:r>
                <m:r>
                  <m:rPr>
                    <m:sty m:val="p"/>
                  </m:rPr>
                  <w:rPr>
                    <w:rFonts w:ascii="Cambria Math" w:hAnsi="Cambria Math"/>
                    <w:sz w:val="22"/>
                  </w:rPr>
                  <m:t>=</m:t>
                </m:r>
                <m:r>
                  <m:rPr>
                    <m:sty m:val="b"/>
                  </m:rPr>
                  <w:rPr>
                    <w:rFonts w:ascii="Cambria Math" w:hAnsi="Cambria Math"/>
                    <w:sz w:val="22"/>
                  </w:rPr>
                  <m:t>2</m:t>
                </m:r>
                <m:r>
                  <m:rPr>
                    <m:sty m:val="p"/>
                  </m:rPr>
                  <w:rPr>
                    <w:rFonts w:ascii="Cambria Math" w:hAnsi="Cambria Math"/>
                    <w:sz w:val="22"/>
                  </w:rPr>
                  <m:t>.</m:t>
                </m:r>
                <m:r>
                  <m:rPr>
                    <m:sty m:val="b"/>
                  </m:rPr>
                  <w:rPr>
                    <w:rFonts w:ascii="Cambria Math" w:hAnsi="Cambria Math"/>
                    <w:sz w:val="22"/>
                  </w:rPr>
                  <m:t>5</m:t>
                </m:r>
                <m:d>
                  <m:dPr>
                    <m:ctrlPr>
                      <w:rPr>
                        <w:rFonts w:ascii="Cambria Math" w:hAnsi="Cambria Math"/>
                        <w:sz w:val="22"/>
                      </w:rPr>
                    </m:ctrlPr>
                  </m:dPr>
                  <m:e>
                    <m:rad>
                      <m:radPr>
                        <m:degHide m:val="1"/>
                        <m:ctrlPr>
                          <w:rPr>
                            <w:rFonts w:ascii="Cambria Math" w:hAnsi="Cambria Math"/>
                            <w:sz w:val="22"/>
                          </w:rPr>
                        </m:ctrlPr>
                      </m:radPr>
                      <m:deg/>
                      <m:e>
                        <m:sSubSup>
                          <m:sSubSupPr>
                            <m:ctrlPr>
                              <w:rPr>
                                <w:rFonts w:ascii="Cambria Math" w:hAnsi="Cambria Math"/>
                                <w:sz w:val="22"/>
                              </w:rPr>
                            </m:ctrlPr>
                          </m:sSubSupPr>
                          <m:e>
                            <m:r>
                              <m:rPr>
                                <m:sty m:val="bi"/>
                              </m:rPr>
                              <w:rPr>
                                <w:rFonts w:ascii="Cambria Math" w:hAnsi="Cambria Math"/>
                                <w:sz w:val="22"/>
                              </w:rPr>
                              <m:t>Σ</m:t>
                            </m:r>
                          </m:e>
                          <m:sub>
                            <m:r>
                              <m:rPr>
                                <m:sty m:val="bi"/>
                              </m:rPr>
                              <w:rPr>
                                <w:rFonts w:ascii="Cambria Math" w:hAnsi="Cambria Math"/>
                                <w:sz w:val="22"/>
                              </w:rPr>
                              <m:t>Delin</m:t>
                            </m:r>
                          </m:sub>
                          <m:sup>
                            <m:r>
                              <m:rPr>
                                <m:sty m:val="b"/>
                              </m:rPr>
                              <w:rPr>
                                <w:rFonts w:ascii="Cambria Math" w:hAnsi="Cambria Math"/>
                                <w:sz w:val="22"/>
                              </w:rPr>
                              <m:t>2</m:t>
                            </m:r>
                          </m:sup>
                        </m:sSubSup>
                        <m:r>
                          <m:rPr>
                            <m:sty m:val="p"/>
                          </m:rPr>
                          <w:rPr>
                            <w:rFonts w:ascii="Cambria Math" w:hAnsi="Cambria Math"/>
                            <w:sz w:val="22"/>
                          </w:rPr>
                          <m:t>+</m:t>
                        </m:r>
                        <m:sSubSup>
                          <m:sSubSupPr>
                            <m:ctrlPr>
                              <w:rPr>
                                <w:rFonts w:ascii="Cambria Math" w:hAnsi="Cambria Math"/>
                                <w:sz w:val="22"/>
                              </w:rPr>
                            </m:ctrlPr>
                          </m:sSubSupPr>
                          <m:e>
                            <m:r>
                              <m:rPr>
                                <m:sty m:val="bi"/>
                              </m:rPr>
                              <w:rPr>
                                <w:rFonts w:ascii="Cambria Math" w:hAnsi="Cambria Math"/>
                                <w:sz w:val="22"/>
                              </w:rPr>
                              <m:t>Σ</m:t>
                            </m:r>
                          </m:e>
                          <m:sub>
                            <m:r>
                              <m:rPr>
                                <m:sty m:val="bi"/>
                              </m:rPr>
                              <w:rPr>
                                <w:rFonts w:ascii="Cambria Math" w:hAnsi="Cambria Math"/>
                                <w:sz w:val="22"/>
                              </w:rPr>
                              <m:t>Inter</m:t>
                            </m:r>
                          </m:sub>
                          <m:sup>
                            <m:r>
                              <m:rPr>
                                <m:sty m:val="b"/>
                              </m:rPr>
                              <w:rPr>
                                <w:rFonts w:ascii="Cambria Math" w:hAnsi="Cambria Math"/>
                                <w:sz w:val="22"/>
                              </w:rPr>
                              <m:t>2</m:t>
                            </m:r>
                          </m:sup>
                        </m:sSubSup>
                        <m:r>
                          <m:rPr>
                            <m:sty m:val="p"/>
                          </m:rPr>
                          <w:rPr>
                            <w:rFonts w:ascii="Cambria Math" w:hAnsi="Cambria Math"/>
                            <w:sz w:val="22"/>
                          </w:rPr>
                          <m:t>+</m:t>
                        </m:r>
                        <m:sSubSup>
                          <m:sSubSupPr>
                            <m:ctrlPr>
                              <w:rPr>
                                <w:rFonts w:ascii="Cambria Math" w:hAnsi="Cambria Math"/>
                                <w:sz w:val="22"/>
                              </w:rPr>
                            </m:ctrlPr>
                          </m:sSubSupPr>
                          <m:e>
                            <m:r>
                              <m:rPr>
                                <m:sty m:val="bi"/>
                              </m:rPr>
                              <w:rPr>
                                <w:rFonts w:ascii="Cambria Math" w:hAnsi="Cambria Math"/>
                                <w:sz w:val="22"/>
                              </w:rPr>
                              <m:t>Σ</m:t>
                            </m:r>
                          </m:e>
                          <m:sub>
                            <m:r>
                              <m:rPr>
                                <m:sty m:val="bi"/>
                              </m:rPr>
                              <w:rPr>
                                <w:rFonts w:ascii="Cambria Math" w:hAnsi="Cambria Math"/>
                                <w:sz w:val="22"/>
                              </w:rPr>
                              <m:t>Intra</m:t>
                            </m:r>
                          </m:sub>
                          <m:sup>
                            <m:r>
                              <m:rPr>
                                <m:sty m:val="b"/>
                              </m:rPr>
                              <w:rPr>
                                <w:rFonts w:ascii="Cambria Math" w:hAnsi="Cambria Math"/>
                                <w:sz w:val="22"/>
                              </w:rPr>
                              <m:t>2</m:t>
                            </m:r>
                          </m:sup>
                        </m:sSubSup>
                      </m:e>
                    </m:rad>
                  </m:e>
                </m:d>
                <m:r>
                  <m:rPr>
                    <m:sty m:val="p"/>
                  </m:rPr>
                  <w:rPr>
                    <w:rFonts w:ascii="Cambria Math" w:hAnsi="Cambria Math"/>
                    <w:sz w:val="22"/>
                  </w:rPr>
                  <m:t>+</m:t>
                </m:r>
                <m:r>
                  <m:rPr>
                    <m:sty m:val="b"/>
                  </m:rPr>
                  <w:rPr>
                    <w:rFonts w:ascii="Cambria Math" w:hAnsi="Cambria Math"/>
                    <w:sz w:val="22"/>
                  </w:rPr>
                  <m:t>0</m:t>
                </m:r>
                <m:r>
                  <m:rPr>
                    <m:sty m:val="p"/>
                  </m:rPr>
                  <w:rPr>
                    <w:rFonts w:ascii="Cambria Math" w:hAnsi="Cambria Math"/>
                    <w:sz w:val="22"/>
                  </w:rPr>
                  <m:t>.</m:t>
                </m:r>
                <m:r>
                  <m:rPr>
                    <m:sty m:val="b"/>
                  </m:rPr>
                  <w:rPr>
                    <w:rFonts w:ascii="Cambria Math" w:hAnsi="Cambria Math"/>
                    <w:sz w:val="22"/>
                  </w:rPr>
                  <m:t>7</m:t>
                </m:r>
                <m:d>
                  <m:dPr>
                    <m:ctrlPr>
                      <w:rPr>
                        <w:rFonts w:ascii="Cambria Math" w:hAnsi="Cambria Math"/>
                        <w:sz w:val="22"/>
                      </w:rPr>
                    </m:ctrlPr>
                  </m:dPr>
                  <m:e>
                    <m:rad>
                      <m:radPr>
                        <m:degHide m:val="1"/>
                        <m:ctrlPr>
                          <w:rPr>
                            <w:rFonts w:ascii="Cambria Math" w:hAnsi="Cambria Math"/>
                            <w:sz w:val="22"/>
                          </w:rPr>
                        </m:ctrlPr>
                      </m:radPr>
                      <m:deg/>
                      <m:e>
                        <m:sSubSup>
                          <m:sSubSupPr>
                            <m:ctrlPr>
                              <w:rPr>
                                <w:rFonts w:ascii="Cambria Math" w:hAnsi="Cambria Math"/>
                                <w:sz w:val="22"/>
                              </w:rPr>
                            </m:ctrlPr>
                          </m:sSubSupPr>
                          <m:e>
                            <m:r>
                              <m:rPr>
                                <m:sty m:val="bi"/>
                              </m:rPr>
                              <w:rPr>
                                <w:rFonts w:ascii="Cambria Math" w:hAnsi="Cambria Math"/>
                                <w:sz w:val="22"/>
                              </w:rPr>
                              <m:t>σ</m:t>
                            </m:r>
                          </m:e>
                          <m:sub>
                            <m:r>
                              <m:rPr>
                                <m:sty m:val="bi"/>
                              </m:rPr>
                              <w:rPr>
                                <w:rFonts w:ascii="Cambria Math" w:hAnsi="Cambria Math"/>
                                <w:sz w:val="22"/>
                              </w:rPr>
                              <m:t>Inter</m:t>
                            </m:r>
                          </m:sub>
                          <m:sup>
                            <m:r>
                              <m:rPr>
                                <m:sty m:val="b"/>
                              </m:rPr>
                              <w:rPr>
                                <w:rFonts w:ascii="Cambria Math" w:hAnsi="Cambria Math"/>
                                <w:sz w:val="22"/>
                              </w:rPr>
                              <m:t>2</m:t>
                            </m:r>
                          </m:sup>
                        </m:sSubSup>
                        <m:r>
                          <m:rPr>
                            <m:sty m:val="p"/>
                          </m:rPr>
                          <w:rPr>
                            <w:rFonts w:ascii="Cambria Math" w:hAnsi="Cambria Math"/>
                            <w:sz w:val="22"/>
                          </w:rPr>
                          <m:t>+</m:t>
                        </m:r>
                        <m:sSubSup>
                          <m:sSubSupPr>
                            <m:ctrlPr>
                              <w:rPr>
                                <w:rFonts w:ascii="Cambria Math" w:hAnsi="Cambria Math"/>
                                <w:sz w:val="22"/>
                              </w:rPr>
                            </m:ctrlPr>
                          </m:sSubSupPr>
                          <m:e>
                            <m:r>
                              <m:rPr>
                                <m:sty m:val="bi"/>
                              </m:rPr>
                              <w:rPr>
                                <w:rFonts w:ascii="Cambria Math" w:hAnsi="Cambria Math"/>
                                <w:sz w:val="22"/>
                              </w:rPr>
                              <m:t>σ</m:t>
                            </m:r>
                          </m:e>
                          <m:sub>
                            <m:r>
                              <m:rPr>
                                <m:sty m:val="bi"/>
                              </m:rPr>
                              <w:rPr>
                                <w:rFonts w:ascii="Cambria Math" w:hAnsi="Cambria Math"/>
                                <w:sz w:val="22"/>
                              </w:rPr>
                              <m:t>Intra</m:t>
                            </m:r>
                          </m:sub>
                          <m:sup>
                            <m:r>
                              <m:rPr>
                                <m:sty m:val="b"/>
                              </m:rPr>
                              <w:rPr>
                                <w:rFonts w:ascii="Cambria Math" w:hAnsi="Cambria Math"/>
                                <w:sz w:val="22"/>
                              </w:rPr>
                              <m:t>2</m:t>
                            </m:r>
                          </m:sup>
                        </m:sSubSup>
                      </m:e>
                    </m:rad>
                  </m:e>
                </m:d>
              </m:oMath>
            </m:oMathPara>
          </w:p>
        </w:tc>
        <w:tc>
          <w:tcPr>
            <w:tcW w:w="251" w:type="pct"/>
            <w:vAlign w:val="center"/>
            <w:hideMark/>
          </w:tcPr>
          <w:p w:rsidR="00653947" w:rsidRPr="00FD4286" w:rsidRDefault="00653947" w:rsidP="00E200E5">
            <w:pPr>
              <w:pStyle w:val="Caption"/>
            </w:pPr>
            <w:fldSimple w:instr=" SEQ Equation \* ARABIC ">
              <w:r w:rsidRPr="00FD4286">
                <w:rPr>
                  <w:noProof/>
                </w:rPr>
                <w:t>2</w:t>
              </w:r>
            </w:fldSimple>
          </w:p>
        </w:tc>
      </w:tr>
    </w:tbl>
    <w:p w:rsidR="00653947" w:rsidRPr="00FD4286" w:rsidRDefault="00653947" w:rsidP="00506820">
      <w:r w:rsidRPr="00FD4286">
        <w:t xml:space="preserve">Where subscripts indicate the source of error: </w:t>
      </w:r>
      <w:proofErr w:type="spellStart"/>
      <w:r w:rsidRPr="00FD4286">
        <w:t>Delin</w:t>
      </w:r>
      <w:proofErr w:type="spellEnd"/>
      <w:r w:rsidRPr="00FD4286">
        <w:t xml:space="preserve"> = delineation error, obtained from external studies</w:t>
      </w:r>
      <w:r>
        <w:t xml:space="preserve"> [24];</w:t>
      </w:r>
      <w:r w:rsidRPr="00FD4286">
        <w:t xml:space="preserve"> Inter = </w:t>
      </w:r>
      <w:proofErr w:type="spellStart"/>
      <w:r w:rsidRPr="00FD4286">
        <w:t>Interfraction</w:t>
      </w:r>
      <w:proofErr w:type="spellEnd"/>
      <w:r w:rsidRPr="00FD4286">
        <w:t xml:space="preserve"> motion of the PSV structure relative to the bony surrogate and Intra = </w:t>
      </w:r>
      <w:proofErr w:type="spellStart"/>
      <w:r w:rsidRPr="00FD4286">
        <w:t>intrafraction</w:t>
      </w:r>
      <w:proofErr w:type="spellEnd"/>
      <w:r w:rsidRPr="00FD4286">
        <w:t xml:space="preserve"> motion of PSV, determined from fractions with pre- and post-treatment CBCTs.</w:t>
      </w:r>
    </w:p>
    <w:p w:rsidR="00653947" w:rsidRPr="00FD4286" w:rsidRDefault="00653947" w:rsidP="00506820">
      <w:r w:rsidRPr="00FD4286">
        <w:t xml:space="preserve">A </w:t>
      </w:r>
      <w:r>
        <w:t>reduc</w:t>
      </w:r>
      <w:r w:rsidRPr="00FD4286">
        <w:t>ed equation was used to determine margins for the soft tissue registration protocol</w:t>
      </w:r>
      <w:r>
        <w:t xml:space="preserve">, where residual </w:t>
      </w:r>
      <w:proofErr w:type="spellStart"/>
      <w:r>
        <w:t>interfraction</w:t>
      </w:r>
      <w:proofErr w:type="spellEnd"/>
      <w:r>
        <w:t xml:space="preserve"> error was not considered</w:t>
      </w:r>
      <w:r w:rsidRPr="00FD4286">
        <w:t>:</w:t>
      </w:r>
    </w:p>
    <w:tbl>
      <w:tblPr>
        <w:tblStyle w:val="TableGrid"/>
        <w:tblW w:w="453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032"/>
        <w:gridCol w:w="461"/>
      </w:tblGrid>
      <w:tr w:rsidR="00653947" w:rsidRPr="00FD4286" w:rsidTr="00F723DD">
        <w:trPr>
          <w:jc w:val="center"/>
        </w:trPr>
        <w:tc>
          <w:tcPr>
            <w:tcW w:w="133" w:type="pct"/>
          </w:tcPr>
          <w:p w:rsidR="00653947" w:rsidRPr="00FD4286" w:rsidRDefault="00653947" w:rsidP="00E200E5">
            <w:pPr>
              <w:pStyle w:val="Caption"/>
            </w:pPr>
          </w:p>
        </w:tc>
        <w:tc>
          <w:tcPr>
            <w:tcW w:w="4563" w:type="pct"/>
            <w:vAlign w:val="center"/>
            <w:hideMark/>
          </w:tcPr>
          <w:p w:rsidR="00653947" w:rsidRPr="00FD4286" w:rsidRDefault="00653947" w:rsidP="00F723DD">
            <w:pPr>
              <w:spacing w:line="360" w:lineRule="auto"/>
              <w:rPr>
                <w:rFonts w:ascii="Helvetica Neue" w:hAnsi="Helvetica Neue"/>
                <w:b/>
              </w:rPr>
            </w:pPr>
            <m:oMathPara>
              <m:oMath>
                <m:r>
                  <m:rPr>
                    <m:sty m:val="b"/>
                  </m:rPr>
                  <w:rPr>
                    <w:rFonts w:ascii="Cambria Math" w:hAnsi="Cambria Math"/>
                  </w:rPr>
                  <m:t>Margin</m:t>
                </m:r>
                <m:r>
                  <m:rPr>
                    <m:sty m:val="bi"/>
                  </m:rPr>
                  <w:rPr>
                    <w:rFonts w:ascii="Cambria Math" w:hAnsi="Cambria Math"/>
                  </w:rPr>
                  <m:t>=2.5</m:t>
                </m:r>
                <m:d>
                  <m:dPr>
                    <m:ctrlPr>
                      <w:rPr>
                        <w:rFonts w:ascii="Cambria Math" w:hAnsi="Cambria Math"/>
                        <w:b/>
                      </w:rPr>
                    </m:ctrlPr>
                  </m:dPr>
                  <m:e>
                    <m:rad>
                      <m:radPr>
                        <m:degHide m:val="1"/>
                        <m:ctrlPr>
                          <w:rPr>
                            <w:rFonts w:ascii="Cambria Math" w:hAnsi="Cambria Math"/>
                            <w:b/>
                          </w:rPr>
                        </m:ctrlPr>
                      </m:radPr>
                      <m:deg/>
                      <m:e>
                        <m:sSubSup>
                          <m:sSubSupPr>
                            <m:ctrlPr>
                              <w:rPr>
                                <w:rFonts w:ascii="Cambria Math" w:hAnsi="Cambria Math"/>
                                <w:b/>
                                <w:i/>
                              </w:rPr>
                            </m:ctrlPr>
                          </m:sSubSupPr>
                          <m:e>
                            <m:r>
                              <m:rPr>
                                <m:sty m:val="bi"/>
                              </m:rPr>
                              <w:rPr>
                                <w:rFonts w:ascii="Cambria Math" w:hAnsi="Cambria Math"/>
                              </w:rPr>
                              <m:t>Σ</m:t>
                            </m:r>
                          </m:e>
                          <m:sub>
                            <m:r>
                              <m:rPr>
                                <m:sty m:val="bi"/>
                              </m:rPr>
                              <w:rPr>
                                <w:rFonts w:ascii="Cambria Math" w:hAnsi="Cambria Math"/>
                              </w:rPr>
                              <m:t>Delin</m:t>
                            </m:r>
                          </m:sub>
                          <m:sup>
                            <m:r>
                              <m:rPr>
                                <m:sty m:val="bi"/>
                              </m:rPr>
                              <w:rPr>
                                <w:rFonts w:ascii="Cambria Math" w:hAnsi="Cambria Math"/>
                              </w:rPr>
                              <m:t>2</m:t>
                            </m:r>
                          </m:sup>
                        </m:sSubSup>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Σ</m:t>
                            </m:r>
                          </m:e>
                          <m:sub>
                            <m:r>
                              <m:rPr>
                                <m:sty m:val="bi"/>
                              </m:rPr>
                              <w:rPr>
                                <w:rFonts w:ascii="Cambria Math" w:hAnsi="Cambria Math"/>
                              </w:rPr>
                              <m:t>Intra</m:t>
                            </m:r>
                          </m:sub>
                          <m:sup>
                            <m:r>
                              <m:rPr>
                                <m:sty m:val="bi"/>
                              </m:rPr>
                              <w:rPr>
                                <w:rFonts w:ascii="Cambria Math" w:hAnsi="Cambria Math"/>
                              </w:rPr>
                              <m:t>2</m:t>
                            </m:r>
                          </m:sup>
                        </m:sSubSup>
                      </m:e>
                    </m:rad>
                  </m:e>
                </m:d>
                <m:r>
                  <m:rPr>
                    <m:sty m:val="bi"/>
                  </m:rPr>
                  <w:rPr>
                    <w:rFonts w:ascii="Cambria Math" w:hAnsi="Cambria Math"/>
                  </w:rPr>
                  <m:t>+0.7</m:t>
                </m:r>
                <m:sSub>
                  <m:sSubPr>
                    <m:ctrlPr>
                      <w:rPr>
                        <w:rFonts w:ascii="Cambria Math" w:hAnsi="Cambria Math"/>
                        <w:b/>
                        <w:i/>
                      </w:rPr>
                    </m:ctrlPr>
                  </m:sSubPr>
                  <m:e>
                    <m:r>
                      <m:rPr>
                        <m:sty m:val="bi"/>
                      </m:rPr>
                      <w:rPr>
                        <w:rFonts w:ascii="Cambria Math" w:hAnsi="Cambria Math"/>
                      </w:rPr>
                      <m:t>σ</m:t>
                    </m:r>
                  </m:e>
                  <m:sub>
                    <m:r>
                      <m:rPr>
                        <m:sty m:val="bi"/>
                      </m:rPr>
                      <w:rPr>
                        <w:rFonts w:ascii="Cambria Math" w:hAnsi="Cambria Math"/>
                      </w:rPr>
                      <m:t>Intra</m:t>
                    </m:r>
                  </m:sub>
                </m:sSub>
              </m:oMath>
            </m:oMathPara>
          </w:p>
        </w:tc>
        <w:tc>
          <w:tcPr>
            <w:tcW w:w="305" w:type="pct"/>
            <w:vAlign w:val="bottom"/>
            <w:hideMark/>
          </w:tcPr>
          <w:p w:rsidR="00653947" w:rsidRPr="00FD4286" w:rsidRDefault="00653947" w:rsidP="00E200E5">
            <w:pPr>
              <w:pStyle w:val="Caption"/>
            </w:pPr>
            <w:fldSimple w:instr=" SEQ Equation \* ARABIC ">
              <w:r w:rsidRPr="00FD4286">
                <w:rPr>
                  <w:noProof/>
                </w:rPr>
                <w:t>3</w:t>
              </w:r>
            </w:fldSimple>
          </w:p>
        </w:tc>
      </w:tr>
    </w:tbl>
    <w:p w:rsidR="00653947" w:rsidRPr="00FD4286" w:rsidRDefault="00653947" w:rsidP="00506820">
      <w:r w:rsidRPr="00903D1A">
        <w:t>Table B.1 reports the systematic and random errors calculated from the analysis of the CBCT images obtained for the patient group used in our clinical audit, including values for systematic delineation errors obtained from literature</w:t>
      </w:r>
      <w:r>
        <w:t xml:space="preserve"> [</w:t>
      </w:r>
      <w:r w:rsidR="00AD29CA">
        <w:t>18</w:t>
      </w:r>
      <w:r>
        <w:t>].</w:t>
      </w:r>
    </w:p>
    <w:p w:rsidR="00653947" w:rsidRPr="00FD4286" w:rsidRDefault="00653947" w:rsidP="00653947">
      <w:pPr>
        <w:spacing w:line="360" w:lineRule="auto"/>
        <w:rPr>
          <w:rFonts w:ascii="Helvetica Neue" w:hAnsi="Helvetica Neue"/>
        </w:rPr>
      </w:pPr>
    </w:p>
    <w:p w:rsidR="00E200E5" w:rsidRDefault="00E200E5" w:rsidP="00E200E5">
      <w:pPr>
        <w:pStyle w:val="Caption"/>
      </w:pPr>
    </w:p>
    <w:p w:rsidR="00653947" w:rsidRPr="00E200E5" w:rsidRDefault="00653947" w:rsidP="00E200E5">
      <w:pPr>
        <w:pStyle w:val="Caption"/>
      </w:pPr>
      <w:r w:rsidRPr="00E200E5">
        <w:lastRenderedPageBreak/>
        <w:t>Table B.</w:t>
      </w:r>
      <w:fldSimple w:instr=" SEQ Table \* ARABIC \r 1 ">
        <w:r w:rsidRPr="00E200E5">
          <w:rPr>
            <w:noProof/>
          </w:rPr>
          <w:t>1</w:t>
        </w:r>
      </w:fldSimple>
      <w:r w:rsidRPr="00E200E5">
        <w:t xml:space="preserve"> Systematic and random geometric errors obtained from literature or calculated from analysis of CBCTs acquired during the pilot study.</w:t>
      </w:r>
    </w:p>
    <w:tbl>
      <w:tblPr>
        <w:tblStyle w:val="TableGrid"/>
        <w:tblpPr w:leftFromText="567" w:rightFromText="567" w:bottomFromText="284" w:vertAnchor="text" w:tblpXSpec="center" w:tblpY="1"/>
        <w:tblOverlap w:val="never"/>
        <w:tblW w:w="0" w:type="auto"/>
        <w:tblLook w:val="04A0" w:firstRow="1" w:lastRow="0" w:firstColumn="1" w:lastColumn="0" w:noHBand="0" w:noVBand="1"/>
      </w:tblPr>
      <w:tblGrid>
        <w:gridCol w:w="1984"/>
        <w:gridCol w:w="1390"/>
        <w:gridCol w:w="1297"/>
        <w:gridCol w:w="1299"/>
        <w:gridCol w:w="1306"/>
      </w:tblGrid>
      <w:tr w:rsidR="00653947" w:rsidRPr="000C763C" w:rsidTr="00506820">
        <w:trPr>
          <w:trHeight w:val="283"/>
        </w:trPr>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pPr>
            <w:r w:rsidRPr="000C763C">
              <w:t>Error Source</w:t>
            </w:r>
          </w:p>
        </w:tc>
        <w:tc>
          <w:tcPr>
            <w:tcW w:w="1390"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pPr>
            <w:r w:rsidRPr="000C763C">
              <w:t>Error Type</w:t>
            </w:r>
          </w:p>
        </w:tc>
        <w:tc>
          <w:tcPr>
            <w:tcW w:w="3902" w:type="dxa"/>
            <w:gridSpan w:val="3"/>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t>Uncertainty (mm)</w:t>
            </w:r>
          </w:p>
        </w:tc>
      </w:tr>
      <w:tr w:rsidR="00653947" w:rsidRPr="000C763C" w:rsidTr="00506820">
        <w:trPr>
          <w:trHeight w:val="283"/>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left"/>
            </w:pPr>
          </w:p>
        </w:tc>
        <w:tc>
          <w:tcPr>
            <w:tcW w:w="129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t>Ant-Post</w:t>
            </w:r>
          </w:p>
        </w:tc>
        <w:tc>
          <w:tcPr>
            <w:tcW w:w="1299"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t>Sup-</w:t>
            </w:r>
            <w:proofErr w:type="spellStart"/>
            <w:r w:rsidRPr="000C763C">
              <w:t>Inf</w:t>
            </w:r>
            <w:proofErr w:type="spellEnd"/>
          </w:p>
        </w:tc>
        <w:tc>
          <w:tcPr>
            <w:tcW w:w="1306"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t>Lateral</w:t>
            </w:r>
          </w:p>
        </w:tc>
      </w:tr>
      <w:tr w:rsidR="00653947" w:rsidRPr="000C763C" w:rsidTr="00506820">
        <w:tc>
          <w:tcPr>
            <w:tcW w:w="1984"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t>Delineation</w:t>
            </w:r>
            <w:r w:rsidR="00506820" w:rsidRPr="000C763C">
              <w:t xml:space="preserve"> [18]</w:t>
            </w:r>
            <w:r w:rsidRPr="000C763C">
              <w:t xml:space="preserve"> </w:t>
            </w:r>
          </w:p>
        </w:tc>
        <w:tc>
          <w:tcPr>
            <w:tcW w:w="139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proofErr w:type="spellStart"/>
            <w:r w:rsidRPr="000C763C">
              <w:rPr>
                <w:rFonts w:eastAsia="Malgun Gothic"/>
              </w:rPr>
              <w:t>Σ</w:t>
            </w:r>
            <w:r w:rsidRPr="000C763C">
              <w:rPr>
                <w:rFonts w:eastAsia="Malgun Gothic"/>
                <w:vertAlign w:val="subscript"/>
              </w:rPr>
              <w:t>Delin</w:t>
            </w:r>
            <w:proofErr w:type="spellEnd"/>
          </w:p>
        </w:tc>
        <w:tc>
          <w:tcPr>
            <w:tcW w:w="129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rPr>
                <w:color w:val="000000"/>
              </w:rPr>
            </w:pPr>
            <w:r w:rsidRPr="000C763C">
              <w:rPr>
                <w:color w:val="000000"/>
              </w:rPr>
              <w:t>1.52</w:t>
            </w:r>
          </w:p>
        </w:tc>
        <w:tc>
          <w:tcPr>
            <w:tcW w:w="1299"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rPr>
                <w:color w:val="000000"/>
              </w:rPr>
            </w:pPr>
            <w:r w:rsidRPr="000C763C">
              <w:rPr>
                <w:color w:val="000000"/>
              </w:rPr>
              <w:t>2.03</w:t>
            </w:r>
          </w:p>
        </w:tc>
        <w:tc>
          <w:tcPr>
            <w:tcW w:w="1306"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rPr>
                <w:color w:val="000000"/>
              </w:rPr>
            </w:pPr>
            <w:r w:rsidRPr="000C763C">
              <w:rPr>
                <w:color w:val="000000"/>
              </w:rPr>
              <w:t>1.68</w:t>
            </w:r>
          </w:p>
        </w:tc>
      </w:tr>
      <w:tr w:rsidR="00653947" w:rsidRPr="000C763C" w:rsidTr="00506820">
        <w:trPr>
          <w:trHeight w:val="363"/>
        </w:trPr>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proofErr w:type="spellStart"/>
            <w:r w:rsidRPr="000C763C">
              <w:t>Interfraction</w:t>
            </w:r>
            <w:proofErr w:type="spellEnd"/>
            <w:r w:rsidRPr="000C763C">
              <w:t xml:space="preserve"> Motion</w:t>
            </w:r>
          </w:p>
        </w:tc>
        <w:tc>
          <w:tcPr>
            <w:tcW w:w="139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proofErr w:type="spellStart"/>
            <w:r w:rsidRPr="000C763C">
              <w:rPr>
                <w:rFonts w:eastAsia="Malgun Gothic"/>
              </w:rPr>
              <w:t>Σ</w:t>
            </w:r>
            <w:r w:rsidRPr="000C763C">
              <w:rPr>
                <w:rFonts w:eastAsia="Malgun Gothic"/>
                <w:vertAlign w:val="subscript"/>
              </w:rPr>
              <w:t>Inter</w:t>
            </w:r>
            <w:proofErr w:type="spellEnd"/>
          </w:p>
        </w:tc>
        <w:tc>
          <w:tcPr>
            <w:tcW w:w="129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rPr>
                <w:color w:val="000000"/>
              </w:rPr>
            </w:pPr>
            <w:r w:rsidRPr="000C763C">
              <w:rPr>
                <w:color w:val="000000"/>
              </w:rPr>
              <w:t>1.897</w:t>
            </w:r>
          </w:p>
        </w:tc>
        <w:tc>
          <w:tcPr>
            <w:tcW w:w="1299"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rPr>
                <w:color w:val="000000"/>
              </w:rPr>
            </w:pPr>
            <w:r w:rsidRPr="000C763C">
              <w:rPr>
                <w:color w:val="000000"/>
              </w:rPr>
              <w:t>2.103</w:t>
            </w:r>
          </w:p>
        </w:tc>
        <w:tc>
          <w:tcPr>
            <w:tcW w:w="1306"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rPr>
                <w:color w:val="000000"/>
              </w:rPr>
            </w:pPr>
            <w:r w:rsidRPr="000C763C">
              <w:rPr>
                <w:color w:val="000000"/>
              </w:rPr>
              <w:t>0.646</w:t>
            </w:r>
          </w:p>
        </w:tc>
      </w:tr>
      <w:tr w:rsidR="00653947" w:rsidRPr="000C763C" w:rsidTr="00506820">
        <w:trPr>
          <w:trHeight w:val="363"/>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left"/>
            </w:pPr>
          </w:p>
        </w:tc>
        <w:tc>
          <w:tcPr>
            <w:tcW w:w="139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proofErr w:type="spellStart"/>
            <w:r w:rsidRPr="000C763C">
              <w:rPr>
                <w:rFonts w:eastAsia="Malgun Gothic"/>
              </w:rPr>
              <w:t>σ</w:t>
            </w:r>
            <w:r w:rsidRPr="000C763C">
              <w:rPr>
                <w:rFonts w:eastAsia="Malgun Gothic"/>
                <w:vertAlign w:val="subscript"/>
              </w:rPr>
              <w:t>Inter</w:t>
            </w:r>
            <w:proofErr w:type="spellEnd"/>
          </w:p>
        </w:tc>
        <w:tc>
          <w:tcPr>
            <w:tcW w:w="129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rPr>
                <w:color w:val="000000"/>
              </w:rPr>
              <w:t>1.975</w:t>
            </w:r>
          </w:p>
        </w:tc>
        <w:tc>
          <w:tcPr>
            <w:tcW w:w="1299"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rPr>
                <w:color w:val="000000"/>
              </w:rPr>
              <w:t>1.758</w:t>
            </w:r>
          </w:p>
        </w:tc>
        <w:tc>
          <w:tcPr>
            <w:tcW w:w="1306"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rPr>
                <w:color w:val="000000"/>
              </w:rPr>
              <w:t>0.884</w:t>
            </w:r>
          </w:p>
        </w:tc>
      </w:tr>
      <w:tr w:rsidR="00653947" w:rsidRPr="000C763C" w:rsidTr="00506820">
        <w:trPr>
          <w:trHeight w:val="363"/>
        </w:trPr>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rPr>
                <w:color w:val="000000" w:themeColor="text1"/>
              </w:rPr>
            </w:pPr>
            <w:proofErr w:type="spellStart"/>
            <w:r w:rsidRPr="000C763C">
              <w:rPr>
                <w:color w:val="000000" w:themeColor="text1"/>
              </w:rPr>
              <w:t>Intrafraction</w:t>
            </w:r>
            <w:proofErr w:type="spellEnd"/>
            <w:r w:rsidRPr="000C763C">
              <w:rPr>
                <w:color w:val="000000" w:themeColor="text1"/>
              </w:rPr>
              <w:t xml:space="preserve"> Motion</w:t>
            </w:r>
          </w:p>
        </w:tc>
        <w:tc>
          <w:tcPr>
            <w:tcW w:w="139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rPr>
                <w:color w:val="000000" w:themeColor="text1"/>
              </w:rPr>
            </w:pPr>
            <w:proofErr w:type="spellStart"/>
            <w:r w:rsidRPr="000C763C">
              <w:rPr>
                <w:rFonts w:eastAsia="Malgun Gothic"/>
              </w:rPr>
              <w:t>Σ</w:t>
            </w:r>
            <w:r w:rsidRPr="000C763C">
              <w:rPr>
                <w:rFonts w:eastAsia="Malgun Gothic"/>
                <w:vertAlign w:val="subscript"/>
              </w:rPr>
              <w:t>Intra</w:t>
            </w:r>
            <w:proofErr w:type="spellEnd"/>
          </w:p>
        </w:tc>
        <w:tc>
          <w:tcPr>
            <w:tcW w:w="129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rPr>
                <w:color w:val="000000"/>
              </w:rPr>
            </w:pPr>
            <w:r w:rsidRPr="000C763C">
              <w:rPr>
                <w:color w:val="000000"/>
              </w:rPr>
              <w:t>0.922</w:t>
            </w:r>
          </w:p>
        </w:tc>
        <w:tc>
          <w:tcPr>
            <w:tcW w:w="1299"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rPr>
                <w:color w:val="000000"/>
              </w:rPr>
            </w:pPr>
            <w:r w:rsidRPr="000C763C">
              <w:rPr>
                <w:color w:val="000000"/>
              </w:rPr>
              <w:t>0.942</w:t>
            </w:r>
          </w:p>
        </w:tc>
        <w:tc>
          <w:tcPr>
            <w:tcW w:w="1306"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center"/>
              <w:rPr>
                <w:color w:val="000000"/>
              </w:rPr>
            </w:pPr>
            <w:r w:rsidRPr="000C763C">
              <w:rPr>
                <w:color w:val="000000"/>
              </w:rPr>
              <w:t>1.075</w:t>
            </w:r>
          </w:p>
        </w:tc>
      </w:tr>
      <w:tr w:rsidR="00653947" w:rsidRPr="000C763C" w:rsidTr="00506820">
        <w:trPr>
          <w:trHeight w:val="363"/>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40" w:lineRule="auto"/>
              <w:jc w:val="left"/>
              <w:rPr>
                <w:color w:val="000000" w:themeColor="text1"/>
              </w:rPr>
            </w:pPr>
          </w:p>
        </w:tc>
        <w:tc>
          <w:tcPr>
            <w:tcW w:w="139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rPr>
                <w:color w:val="000000" w:themeColor="text1"/>
              </w:rPr>
            </w:pPr>
            <w:proofErr w:type="spellStart"/>
            <w:r w:rsidRPr="000C763C">
              <w:rPr>
                <w:rFonts w:eastAsia="Malgun Gothic"/>
              </w:rPr>
              <w:t>σ</w:t>
            </w:r>
            <w:r w:rsidRPr="000C763C">
              <w:rPr>
                <w:rFonts w:eastAsia="Malgun Gothic"/>
                <w:vertAlign w:val="subscript"/>
              </w:rPr>
              <w:t>Intra</w:t>
            </w:r>
            <w:proofErr w:type="spellEnd"/>
          </w:p>
        </w:tc>
        <w:tc>
          <w:tcPr>
            <w:tcW w:w="129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rPr>
                <w:color w:val="000000"/>
              </w:rPr>
              <w:t>1.542</w:t>
            </w:r>
          </w:p>
        </w:tc>
        <w:tc>
          <w:tcPr>
            <w:tcW w:w="1299"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rPr>
                <w:color w:val="000000"/>
              </w:rPr>
              <w:t>1.610</w:t>
            </w:r>
          </w:p>
        </w:tc>
        <w:tc>
          <w:tcPr>
            <w:tcW w:w="1306"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keepNext/>
              <w:keepLines/>
              <w:spacing w:line="240" w:lineRule="auto"/>
              <w:jc w:val="center"/>
              <w:outlineLvl w:val="8"/>
            </w:pPr>
            <w:r w:rsidRPr="000C763C">
              <w:rPr>
                <w:color w:val="000000"/>
              </w:rPr>
              <w:t>1.347</w:t>
            </w:r>
          </w:p>
        </w:tc>
      </w:tr>
    </w:tbl>
    <w:p w:rsidR="00653947" w:rsidRPr="00FD4286" w:rsidRDefault="00653947" w:rsidP="00506820">
      <w:r w:rsidRPr="00FD4286">
        <w:t>Tables B.2 and B.3 report the margins calculated using these uncertainty values for the online bone and soft-tissue matching protocols respectively.</w:t>
      </w:r>
    </w:p>
    <w:p w:rsidR="00653947" w:rsidRPr="00FD4286" w:rsidRDefault="00653947" w:rsidP="00E200E5">
      <w:pPr>
        <w:pStyle w:val="Caption"/>
      </w:pPr>
      <w:r w:rsidRPr="00FD4286">
        <w:t>Table B.</w:t>
      </w:r>
      <w:r w:rsidRPr="00FD4286">
        <w:fldChar w:fldCharType="begin"/>
      </w:r>
      <w:r w:rsidRPr="00FD4286">
        <w:instrText xml:space="preserve"> SEQ Table \* ARABIC </w:instrText>
      </w:r>
      <w:r w:rsidRPr="00FD4286">
        <w:fldChar w:fldCharType="separate"/>
      </w:r>
      <w:proofErr w:type="gramStart"/>
      <w:r w:rsidRPr="00FD4286">
        <w:rPr>
          <w:noProof/>
        </w:rPr>
        <w:t>2</w:t>
      </w:r>
      <w:r w:rsidRPr="00FD4286">
        <w:fldChar w:fldCharType="end"/>
      </w:r>
      <w:r w:rsidRPr="00FD4286">
        <w:t xml:space="preserve"> Margin calculation</w:t>
      </w:r>
      <w:proofErr w:type="gramEnd"/>
      <w:r w:rsidRPr="00FD4286">
        <w:t xml:space="preserve"> for online bone matching protocol</w:t>
      </w:r>
    </w:p>
    <w:tbl>
      <w:tblPr>
        <w:tblStyle w:val="TableGrid"/>
        <w:tblW w:w="0" w:type="auto"/>
        <w:jc w:val="center"/>
        <w:tblLook w:val="04A0" w:firstRow="1" w:lastRow="0" w:firstColumn="1" w:lastColumn="0" w:noHBand="0" w:noVBand="1"/>
      </w:tblPr>
      <w:tblGrid>
        <w:gridCol w:w="942"/>
        <w:gridCol w:w="1340"/>
        <w:gridCol w:w="1402"/>
        <w:gridCol w:w="907"/>
        <w:gridCol w:w="907"/>
        <w:gridCol w:w="907"/>
        <w:gridCol w:w="1020"/>
        <w:gridCol w:w="950"/>
      </w:tblGrid>
      <w:tr w:rsidR="00506820" w:rsidRPr="000C763C" w:rsidTr="00506820">
        <w:trPr>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506820" w:rsidRPr="000C763C" w:rsidRDefault="00506820" w:rsidP="00506820">
            <w:pPr>
              <w:spacing w:line="276" w:lineRule="auto"/>
              <w:jc w:val="center"/>
              <w:rPr>
                <w:rFonts w:cs="Arial"/>
              </w:rPr>
            </w:pPr>
            <w:r w:rsidRPr="000C763C">
              <w:rPr>
                <w:rFonts w:cs="Arial"/>
              </w:rPr>
              <w:t>Axis</w:t>
            </w:r>
          </w:p>
        </w:tc>
        <w:tc>
          <w:tcPr>
            <w:tcW w:w="1340" w:type="dxa"/>
            <w:vMerge w:val="restart"/>
            <w:tcBorders>
              <w:top w:val="single" w:sz="4" w:space="0" w:color="auto"/>
              <w:left w:val="single" w:sz="4" w:space="0" w:color="auto"/>
              <w:bottom w:val="single" w:sz="4" w:space="0" w:color="auto"/>
              <w:right w:val="single" w:sz="4" w:space="0" w:color="auto"/>
            </w:tcBorders>
            <w:vAlign w:val="center"/>
            <w:hideMark/>
          </w:tcPr>
          <w:p w:rsidR="00506820" w:rsidRPr="000C763C" w:rsidRDefault="00506820" w:rsidP="00506820">
            <w:pPr>
              <w:spacing w:line="276" w:lineRule="auto"/>
              <w:jc w:val="center"/>
              <w:rPr>
                <w:rFonts w:cs="Arial"/>
              </w:rPr>
            </w:pPr>
            <w:r w:rsidRPr="000C763C">
              <w:rPr>
                <w:rFonts w:cs="Arial"/>
              </w:rPr>
              <w:t>Error Type</w:t>
            </w:r>
          </w:p>
        </w:tc>
        <w:tc>
          <w:tcPr>
            <w:tcW w:w="3175" w:type="dxa"/>
            <w:gridSpan w:val="3"/>
            <w:tcBorders>
              <w:top w:val="single" w:sz="4" w:space="0" w:color="auto"/>
              <w:left w:val="single" w:sz="4" w:space="0" w:color="auto"/>
              <w:bottom w:val="single" w:sz="4" w:space="0" w:color="auto"/>
              <w:right w:val="single" w:sz="4" w:space="0" w:color="auto"/>
            </w:tcBorders>
            <w:vAlign w:val="center"/>
            <w:hideMark/>
          </w:tcPr>
          <w:p w:rsidR="00506820" w:rsidRPr="000C763C" w:rsidRDefault="00506820" w:rsidP="00506820">
            <w:pPr>
              <w:spacing w:line="276" w:lineRule="auto"/>
              <w:jc w:val="center"/>
              <w:rPr>
                <w:rFonts w:cs="Arial"/>
              </w:rPr>
            </w:pPr>
            <w:r w:rsidRPr="000C763C">
              <w:rPr>
                <w:rFonts w:cs="Arial"/>
              </w:rPr>
              <w:t>(Uncertainty)</w:t>
            </w:r>
            <w:r w:rsidRPr="000C763C">
              <w:rPr>
                <w:rFonts w:cs="Arial"/>
                <w:vertAlign w:val="superscript"/>
              </w:rPr>
              <w:t>2</w:t>
            </w:r>
          </w:p>
        </w:tc>
        <w:tc>
          <w:tcPr>
            <w:tcW w:w="907" w:type="dxa"/>
            <w:vMerge w:val="restart"/>
            <w:tcBorders>
              <w:top w:val="single" w:sz="4" w:space="0" w:color="auto"/>
              <w:left w:val="single" w:sz="4" w:space="0" w:color="auto"/>
              <w:right w:val="single" w:sz="4" w:space="0" w:color="auto"/>
            </w:tcBorders>
            <w:vAlign w:val="center"/>
            <w:hideMark/>
          </w:tcPr>
          <w:p w:rsidR="00506820" w:rsidRPr="000C763C" w:rsidRDefault="00506820" w:rsidP="00506820">
            <w:pPr>
              <w:spacing w:line="276" w:lineRule="auto"/>
              <w:jc w:val="center"/>
              <w:rPr>
                <w:rFonts w:cs="Arial"/>
              </w:rPr>
            </w:pPr>
            <w:r w:rsidRPr="000C763C">
              <w:rPr>
                <w:rFonts w:cs="Arial"/>
              </w:rPr>
              <w:t>Sum</w:t>
            </w:r>
          </w:p>
        </w:tc>
        <w:tc>
          <w:tcPr>
            <w:tcW w:w="1020" w:type="dxa"/>
            <w:vMerge w:val="restart"/>
            <w:tcBorders>
              <w:top w:val="single" w:sz="4" w:space="0" w:color="auto"/>
              <w:left w:val="single" w:sz="4" w:space="0" w:color="auto"/>
              <w:right w:val="single" w:sz="18" w:space="0" w:color="auto"/>
            </w:tcBorders>
            <w:vAlign w:val="center"/>
            <w:hideMark/>
          </w:tcPr>
          <w:p w:rsidR="00506820" w:rsidRPr="000C763C" w:rsidRDefault="00506820" w:rsidP="00506820">
            <w:pPr>
              <w:spacing w:line="276" w:lineRule="auto"/>
              <w:jc w:val="center"/>
              <w:rPr>
                <w:rFonts w:ascii="Cambria Math" w:hAnsi="Cambria Math" w:cs="Arial"/>
                <w:oMath/>
              </w:rPr>
            </w:pPr>
            <m:oMathPara>
              <m:oMath>
                <m:rad>
                  <m:radPr>
                    <m:degHide m:val="1"/>
                    <m:ctrlPr>
                      <w:rPr>
                        <w:rFonts w:ascii="Cambria Math" w:hAnsi="Cambria Math" w:cs="Arial"/>
                        <w:i/>
                      </w:rPr>
                    </m:ctrlPr>
                  </m:radPr>
                  <m:deg/>
                  <m:e>
                    <m:r>
                      <m:rPr>
                        <m:sty m:val="p"/>
                      </m:rPr>
                      <w:rPr>
                        <w:rFonts w:ascii="Cambria Math" w:hAnsi="Cambria Math" w:cs="Arial"/>
                      </w:rPr>
                      <m:t>Sum</m:t>
                    </m:r>
                  </m:e>
                </m:rad>
              </m:oMath>
            </m:oMathPara>
          </w:p>
        </w:tc>
        <w:tc>
          <w:tcPr>
            <w:tcW w:w="950" w:type="dxa"/>
            <w:vMerge w:val="restart"/>
            <w:tcBorders>
              <w:top w:val="single" w:sz="18" w:space="0" w:color="auto"/>
              <w:left w:val="single" w:sz="18" w:space="0" w:color="auto"/>
              <w:right w:val="single" w:sz="18" w:space="0" w:color="auto"/>
            </w:tcBorders>
            <w:vAlign w:val="center"/>
            <w:hideMark/>
          </w:tcPr>
          <w:p w:rsidR="00506820" w:rsidRPr="000C763C" w:rsidRDefault="00506820" w:rsidP="00506820">
            <w:pPr>
              <w:spacing w:line="276" w:lineRule="auto"/>
              <w:jc w:val="center"/>
              <w:rPr>
                <w:rFonts w:cs="Arial"/>
              </w:rPr>
            </w:pPr>
            <w:r w:rsidRPr="000C763C">
              <w:rPr>
                <w:rFonts w:cs="Arial"/>
              </w:rPr>
              <w:t>Margin</w:t>
            </w:r>
          </w:p>
        </w:tc>
      </w:tr>
      <w:tr w:rsidR="00506820" w:rsidRPr="000C763C" w:rsidTr="005068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6820" w:rsidRPr="000C763C" w:rsidRDefault="00506820" w:rsidP="00506820">
            <w:pPr>
              <w:spacing w:line="276" w:lineRule="auto"/>
              <w:jc w:val="left"/>
              <w:rPr>
                <w:rFonts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6820" w:rsidRPr="000C763C" w:rsidRDefault="00506820" w:rsidP="00506820">
            <w:pPr>
              <w:spacing w:line="276" w:lineRule="auto"/>
              <w:jc w:val="left"/>
              <w:rPr>
                <w:rFonts w:cs="Arial"/>
              </w:rPr>
            </w:pPr>
          </w:p>
        </w:tc>
        <w:tc>
          <w:tcPr>
            <w:tcW w:w="1361" w:type="dxa"/>
            <w:tcBorders>
              <w:top w:val="single" w:sz="4" w:space="0" w:color="auto"/>
              <w:left w:val="single" w:sz="4" w:space="0" w:color="auto"/>
              <w:bottom w:val="single" w:sz="4" w:space="0" w:color="auto"/>
              <w:right w:val="single" w:sz="4" w:space="0" w:color="auto"/>
            </w:tcBorders>
            <w:vAlign w:val="center"/>
            <w:hideMark/>
          </w:tcPr>
          <w:p w:rsidR="00506820" w:rsidRPr="000C763C" w:rsidRDefault="00506820" w:rsidP="00506820">
            <w:pPr>
              <w:spacing w:line="276" w:lineRule="auto"/>
              <w:jc w:val="center"/>
              <w:rPr>
                <w:rFonts w:cs="Arial"/>
              </w:rPr>
            </w:pPr>
            <w:r w:rsidRPr="000C763C">
              <w:rPr>
                <w:rFonts w:cs="Arial"/>
              </w:rPr>
              <w:t>Delineation</w:t>
            </w:r>
          </w:p>
        </w:tc>
        <w:tc>
          <w:tcPr>
            <w:tcW w:w="907" w:type="dxa"/>
            <w:tcBorders>
              <w:top w:val="single" w:sz="4" w:space="0" w:color="auto"/>
              <w:left w:val="single" w:sz="4" w:space="0" w:color="auto"/>
              <w:bottom w:val="single" w:sz="4" w:space="0" w:color="auto"/>
              <w:right w:val="single" w:sz="4" w:space="0" w:color="auto"/>
            </w:tcBorders>
            <w:vAlign w:val="center"/>
            <w:hideMark/>
          </w:tcPr>
          <w:p w:rsidR="00506820" w:rsidRPr="000C763C" w:rsidRDefault="00506820" w:rsidP="00506820">
            <w:pPr>
              <w:spacing w:line="276" w:lineRule="auto"/>
              <w:jc w:val="center"/>
              <w:rPr>
                <w:rFonts w:cs="Arial"/>
              </w:rPr>
            </w:pPr>
            <w:r w:rsidRPr="000C763C">
              <w:rPr>
                <w:rFonts w:cs="Arial"/>
              </w:rPr>
              <w:t>Inter</w:t>
            </w:r>
          </w:p>
        </w:tc>
        <w:tc>
          <w:tcPr>
            <w:tcW w:w="907" w:type="dxa"/>
            <w:tcBorders>
              <w:top w:val="single" w:sz="4" w:space="0" w:color="auto"/>
              <w:left w:val="single" w:sz="4" w:space="0" w:color="auto"/>
              <w:bottom w:val="single" w:sz="4" w:space="0" w:color="auto"/>
              <w:right w:val="single" w:sz="4" w:space="0" w:color="auto"/>
            </w:tcBorders>
            <w:vAlign w:val="center"/>
            <w:hideMark/>
          </w:tcPr>
          <w:p w:rsidR="00506820" w:rsidRPr="000C763C" w:rsidRDefault="00506820" w:rsidP="00506820">
            <w:pPr>
              <w:spacing w:line="276" w:lineRule="auto"/>
              <w:jc w:val="center"/>
              <w:rPr>
                <w:rFonts w:cs="Arial"/>
              </w:rPr>
            </w:pPr>
            <w:r w:rsidRPr="000C763C">
              <w:rPr>
                <w:rFonts w:cs="Arial"/>
              </w:rPr>
              <w:t>Intra</w:t>
            </w:r>
          </w:p>
        </w:tc>
        <w:tc>
          <w:tcPr>
            <w:tcW w:w="907" w:type="dxa"/>
            <w:vMerge/>
            <w:tcBorders>
              <w:left w:val="single" w:sz="4" w:space="0" w:color="auto"/>
              <w:bottom w:val="single" w:sz="4" w:space="0" w:color="auto"/>
              <w:right w:val="single" w:sz="4" w:space="0" w:color="auto"/>
            </w:tcBorders>
            <w:vAlign w:val="center"/>
            <w:hideMark/>
          </w:tcPr>
          <w:p w:rsidR="00506820" w:rsidRPr="000C763C" w:rsidRDefault="00506820" w:rsidP="00506820">
            <w:pPr>
              <w:spacing w:line="276" w:lineRule="auto"/>
              <w:jc w:val="left"/>
              <w:rPr>
                <w:rFonts w:cs="Arial"/>
              </w:rPr>
            </w:pPr>
          </w:p>
        </w:tc>
        <w:tc>
          <w:tcPr>
            <w:tcW w:w="1020" w:type="dxa"/>
            <w:vMerge/>
            <w:tcBorders>
              <w:left w:val="single" w:sz="4" w:space="0" w:color="auto"/>
              <w:bottom w:val="single" w:sz="4" w:space="0" w:color="auto"/>
              <w:right w:val="single" w:sz="18" w:space="0" w:color="auto"/>
            </w:tcBorders>
            <w:vAlign w:val="center"/>
            <w:hideMark/>
          </w:tcPr>
          <w:p w:rsidR="00506820" w:rsidRPr="000C763C" w:rsidRDefault="00506820" w:rsidP="00506820">
            <w:pPr>
              <w:spacing w:line="276" w:lineRule="auto"/>
              <w:jc w:val="left"/>
              <w:rPr>
                <w:rFonts w:ascii="Cambria Math" w:hAnsi="Cambria Math" w:cs="Arial"/>
                <w:oMath/>
              </w:rPr>
            </w:pPr>
          </w:p>
        </w:tc>
        <w:tc>
          <w:tcPr>
            <w:tcW w:w="0" w:type="auto"/>
            <w:vMerge/>
            <w:tcBorders>
              <w:left w:val="single" w:sz="18" w:space="0" w:color="auto"/>
              <w:bottom w:val="single" w:sz="4" w:space="0" w:color="auto"/>
              <w:right w:val="single" w:sz="18" w:space="0" w:color="auto"/>
            </w:tcBorders>
            <w:vAlign w:val="center"/>
            <w:hideMark/>
          </w:tcPr>
          <w:p w:rsidR="00506820" w:rsidRPr="000C763C" w:rsidRDefault="00506820" w:rsidP="00506820">
            <w:pPr>
              <w:spacing w:line="276" w:lineRule="auto"/>
              <w:jc w:val="left"/>
              <w:rPr>
                <w:rFonts w:cs="Arial"/>
              </w:rPr>
            </w:pPr>
          </w:p>
        </w:tc>
      </w:tr>
      <w:tr w:rsidR="00653947" w:rsidRPr="000C763C" w:rsidTr="00506820">
        <w:trPr>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Ant-Post</w:t>
            </w:r>
          </w:p>
        </w:tc>
        <w:tc>
          <w:tcPr>
            <w:tcW w:w="134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Systematic</w:t>
            </w:r>
          </w:p>
        </w:tc>
        <w:tc>
          <w:tcPr>
            <w:tcW w:w="1361"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2.31</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3.60</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0.85</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6.76</w:t>
            </w:r>
          </w:p>
        </w:tc>
        <w:tc>
          <w:tcPr>
            <w:tcW w:w="1020" w:type="dxa"/>
            <w:tcBorders>
              <w:top w:val="single" w:sz="4" w:space="0" w:color="auto"/>
              <w:left w:val="single" w:sz="4"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2.60</w:t>
            </w:r>
          </w:p>
        </w:tc>
        <w:tc>
          <w:tcPr>
            <w:tcW w:w="950" w:type="dxa"/>
            <w:vMerge w:val="restart"/>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8.3</w:t>
            </w:r>
          </w:p>
        </w:tc>
      </w:tr>
      <w:tr w:rsidR="00653947" w:rsidRPr="000C763C" w:rsidTr="005068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left"/>
              <w:rPr>
                <w:rFonts w:cs="Arial"/>
              </w:rPr>
            </w:pPr>
          </w:p>
        </w:tc>
        <w:tc>
          <w:tcPr>
            <w:tcW w:w="134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Random</w:t>
            </w:r>
          </w:p>
        </w:tc>
        <w:tc>
          <w:tcPr>
            <w:tcW w:w="1361" w:type="dxa"/>
            <w:tcBorders>
              <w:top w:val="single" w:sz="4" w:space="0" w:color="auto"/>
              <w:left w:val="single" w:sz="4" w:space="0" w:color="auto"/>
              <w:bottom w:val="single" w:sz="4" w:space="0" w:color="auto"/>
              <w:right w:val="single" w:sz="4" w:space="0" w:color="auto"/>
            </w:tcBorders>
            <w:vAlign w:val="center"/>
          </w:tcPr>
          <w:p w:rsidR="00653947" w:rsidRPr="000C763C" w:rsidRDefault="00653947" w:rsidP="00506820">
            <w:pPr>
              <w:spacing w:line="276" w:lineRule="auto"/>
              <w:jc w:val="center"/>
              <w:rPr>
                <w:rFonts w:cs="Arial"/>
              </w:rPr>
            </w:pP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3.90</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2.38</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6.28</w:t>
            </w:r>
          </w:p>
        </w:tc>
        <w:tc>
          <w:tcPr>
            <w:tcW w:w="1020" w:type="dxa"/>
            <w:tcBorders>
              <w:top w:val="single" w:sz="4" w:space="0" w:color="auto"/>
              <w:left w:val="single" w:sz="4"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2.51</w:t>
            </w:r>
          </w:p>
        </w:tc>
        <w:tc>
          <w:tcPr>
            <w:tcW w:w="0" w:type="auto"/>
            <w:vMerge/>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left"/>
              <w:rPr>
                <w:rFonts w:cs="Arial"/>
              </w:rPr>
            </w:pPr>
          </w:p>
        </w:tc>
      </w:tr>
      <w:tr w:rsidR="00653947" w:rsidRPr="000C763C" w:rsidTr="00506820">
        <w:trPr>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 xml:space="preserve">Sup – </w:t>
            </w:r>
            <w:proofErr w:type="spellStart"/>
            <w:r w:rsidRPr="000C763C">
              <w:rPr>
                <w:rFonts w:cs="Arial"/>
              </w:rPr>
              <w:t>Inf</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Systematic</w:t>
            </w:r>
          </w:p>
        </w:tc>
        <w:tc>
          <w:tcPr>
            <w:tcW w:w="1361"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4.12</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4.42</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0.89</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9.43</w:t>
            </w:r>
          </w:p>
        </w:tc>
        <w:tc>
          <w:tcPr>
            <w:tcW w:w="1020" w:type="dxa"/>
            <w:tcBorders>
              <w:top w:val="single" w:sz="4" w:space="0" w:color="auto"/>
              <w:left w:val="single" w:sz="4"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3.07</w:t>
            </w:r>
          </w:p>
        </w:tc>
        <w:tc>
          <w:tcPr>
            <w:tcW w:w="950" w:type="dxa"/>
            <w:vMerge w:val="restart"/>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b/>
              </w:rPr>
            </w:pPr>
            <w:r w:rsidRPr="000C763C">
              <w:rPr>
                <w:rFonts w:cs="Arial"/>
                <w:b/>
              </w:rPr>
              <w:t>9.3</w:t>
            </w:r>
          </w:p>
        </w:tc>
      </w:tr>
      <w:tr w:rsidR="00653947" w:rsidRPr="000C763C" w:rsidTr="005068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left"/>
              <w:rPr>
                <w:rFonts w:cs="Arial"/>
              </w:rPr>
            </w:pPr>
          </w:p>
        </w:tc>
        <w:tc>
          <w:tcPr>
            <w:tcW w:w="134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Random</w:t>
            </w:r>
          </w:p>
        </w:tc>
        <w:tc>
          <w:tcPr>
            <w:tcW w:w="1361" w:type="dxa"/>
            <w:tcBorders>
              <w:top w:val="single" w:sz="4" w:space="0" w:color="auto"/>
              <w:left w:val="single" w:sz="4" w:space="0" w:color="auto"/>
              <w:bottom w:val="single" w:sz="4" w:space="0" w:color="auto"/>
              <w:right w:val="single" w:sz="4" w:space="0" w:color="auto"/>
            </w:tcBorders>
            <w:vAlign w:val="center"/>
          </w:tcPr>
          <w:p w:rsidR="00653947" w:rsidRPr="000C763C" w:rsidRDefault="00653947" w:rsidP="00506820">
            <w:pPr>
              <w:spacing w:line="276" w:lineRule="auto"/>
              <w:jc w:val="center"/>
              <w:rPr>
                <w:rFonts w:cs="Arial"/>
              </w:rPr>
            </w:pP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3.09</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2.59</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5.68</w:t>
            </w:r>
          </w:p>
        </w:tc>
        <w:tc>
          <w:tcPr>
            <w:tcW w:w="1020" w:type="dxa"/>
            <w:tcBorders>
              <w:top w:val="single" w:sz="4" w:space="0" w:color="auto"/>
              <w:left w:val="single" w:sz="4"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2.38</w:t>
            </w:r>
          </w:p>
        </w:tc>
        <w:tc>
          <w:tcPr>
            <w:tcW w:w="0" w:type="auto"/>
            <w:vMerge/>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left"/>
              <w:rPr>
                <w:rFonts w:cs="Arial"/>
              </w:rPr>
            </w:pPr>
          </w:p>
        </w:tc>
      </w:tr>
      <w:tr w:rsidR="00653947" w:rsidRPr="000C763C" w:rsidTr="00506820">
        <w:trPr>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Lateral</w:t>
            </w:r>
          </w:p>
        </w:tc>
        <w:tc>
          <w:tcPr>
            <w:tcW w:w="134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Systematic</w:t>
            </w:r>
          </w:p>
        </w:tc>
        <w:tc>
          <w:tcPr>
            <w:tcW w:w="1361"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2.82</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0.42</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1.16</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4.40</w:t>
            </w:r>
          </w:p>
        </w:tc>
        <w:tc>
          <w:tcPr>
            <w:tcW w:w="1020" w:type="dxa"/>
            <w:tcBorders>
              <w:top w:val="single" w:sz="4" w:space="0" w:color="auto"/>
              <w:left w:val="single" w:sz="4"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2.10</w:t>
            </w:r>
          </w:p>
        </w:tc>
        <w:tc>
          <w:tcPr>
            <w:tcW w:w="950" w:type="dxa"/>
            <w:vMerge w:val="restart"/>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6.4</w:t>
            </w:r>
          </w:p>
        </w:tc>
      </w:tr>
      <w:tr w:rsidR="00653947" w:rsidRPr="000C763C" w:rsidTr="005068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left"/>
              <w:rPr>
                <w:rFonts w:cs="Arial"/>
              </w:rPr>
            </w:pPr>
          </w:p>
        </w:tc>
        <w:tc>
          <w:tcPr>
            <w:tcW w:w="1340"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Random</w:t>
            </w:r>
          </w:p>
        </w:tc>
        <w:tc>
          <w:tcPr>
            <w:tcW w:w="1361" w:type="dxa"/>
            <w:tcBorders>
              <w:top w:val="single" w:sz="4" w:space="0" w:color="auto"/>
              <w:left w:val="single" w:sz="4" w:space="0" w:color="auto"/>
              <w:bottom w:val="single" w:sz="4" w:space="0" w:color="auto"/>
              <w:right w:val="single" w:sz="4" w:space="0" w:color="auto"/>
            </w:tcBorders>
            <w:vAlign w:val="center"/>
          </w:tcPr>
          <w:p w:rsidR="00653947" w:rsidRPr="000C763C" w:rsidRDefault="00653947" w:rsidP="00506820">
            <w:pPr>
              <w:spacing w:line="276" w:lineRule="auto"/>
              <w:jc w:val="center"/>
              <w:rPr>
                <w:rFonts w:cs="Arial"/>
              </w:rPr>
            </w:pP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0.78</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1.81</w:t>
            </w:r>
          </w:p>
        </w:tc>
        <w:tc>
          <w:tcPr>
            <w:tcW w:w="90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2.60</w:t>
            </w:r>
          </w:p>
        </w:tc>
        <w:tc>
          <w:tcPr>
            <w:tcW w:w="1020" w:type="dxa"/>
            <w:tcBorders>
              <w:top w:val="single" w:sz="4" w:space="0" w:color="auto"/>
              <w:left w:val="single" w:sz="4"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1.61</w:t>
            </w:r>
          </w:p>
        </w:tc>
        <w:tc>
          <w:tcPr>
            <w:tcW w:w="0" w:type="auto"/>
            <w:vMerge/>
            <w:tcBorders>
              <w:top w:val="single" w:sz="4" w:space="0" w:color="auto"/>
              <w:left w:val="single" w:sz="18" w:space="0" w:color="auto"/>
              <w:bottom w:val="single" w:sz="18" w:space="0" w:color="auto"/>
              <w:right w:val="single" w:sz="18" w:space="0" w:color="auto"/>
            </w:tcBorders>
            <w:vAlign w:val="center"/>
            <w:hideMark/>
          </w:tcPr>
          <w:p w:rsidR="00653947" w:rsidRPr="000C763C" w:rsidRDefault="00653947" w:rsidP="00506820">
            <w:pPr>
              <w:spacing w:line="276" w:lineRule="auto"/>
              <w:jc w:val="left"/>
              <w:rPr>
                <w:rFonts w:cs="Arial"/>
              </w:rPr>
            </w:pPr>
          </w:p>
        </w:tc>
      </w:tr>
    </w:tbl>
    <w:p w:rsidR="00506820" w:rsidRDefault="00506820" w:rsidP="00E200E5">
      <w:pPr>
        <w:pStyle w:val="Caption"/>
      </w:pPr>
    </w:p>
    <w:p w:rsidR="00653947" w:rsidRPr="00FD4286" w:rsidRDefault="00653947" w:rsidP="00E200E5">
      <w:pPr>
        <w:pStyle w:val="Caption"/>
      </w:pPr>
      <w:r w:rsidRPr="00FD4286">
        <w:t>Table B.</w:t>
      </w:r>
      <w:r w:rsidRPr="00FD4286">
        <w:fldChar w:fldCharType="begin"/>
      </w:r>
      <w:r w:rsidRPr="00FD4286">
        <w:instrText xml:space="preserve"> SEQ Table \* ARABIC </w:instrText>
      </w:r>
      <w:r w:rsidRPr="00FD4286">
        <w:fldChar w:fldCharType="separate"/>
      </w:r>
      <w:proofErr w:type="gramStart"/>
      <w:r w:rsidRPr="00FD4286">
        <w:rPr>
          <w:noProof/>
        </w:rPr>
        <w:t>3</w:t>
      </w:r>
      <w:r w:rsidRPr="00FD4286">
        <w:fldChar w:fldCharType="end"/>
      </w:r>
      <w:r w:rsidRPr="00FD4286">
        <w:t xml:space="preserve"> Margin calculation</w:t>
      </w:r>
      <w:proofErr w:type="gramEnd"/>
      <w:r w:rsidRPr="00FD4286">
        <w:t xml:space="preserve"> for online soft-tissue matching to PSV protocol</w:t>
      </w:r>
    </w:p>
    <w:tbl>
      <w:tblPr>
        <w:tblStyle w:val="TableGrid"/>
        <w:tblW w:w="0" w:type="auto"/>
        <w:jc w:val="center"/>
        <w:tblLook w:val="04A0" w:firstRow="1" w:lastRow="0" w:firstColumn="1" w:lastColumn="0" w:noHBand="0" w:noVBand="1"/>
      </w:tblPr>
      <w:tblGrid>
        <w:gridCol w:w="993"/>
        <w:gridCol w:w="1391"/>
        <w:gridCol w:w="1417"/>
        <w:gridCol w:w="1118"/>
        <w:gridCol w:w="1123"/>
        <w:gridCol w:w="1110"/>
        <w:gridCol w:w="972"/>
      </w:tblGrid>
      <w:tr w:rsidR="00653947" w:rsidRPr="000C763C" w:rsidTr="00F723DD">
        <w:trPr>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Axis</w:t>
            </w:r>
          </w:p>
        </w:tc>
        <w:tc>
          <w:tcPr>
            <w:tcW w:w="1391"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Error Type</w:t>
            </w:r>
          </w:p>
        </w:tc>
        <w:tc>
          <w:tcPr>
            <w:tcW w:w="2535" w:type="dxa"/>
            <w:gridSpan w:val="2"/>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(Uncertainty)</w:t>
            </w:r>
            <w:r w:rsidRPr="000C763C">
              <w:rPr>
                <w:rFonts w:cs="Arial"/>
                <w:vertAlign w:val="superscript"/>
              </w:rPr>
              <w:t>2</w:t>
            </w:r>
          </w:p>
        </w:tc>
        <w:tc>
          <w:tcPr>
            <w:tcW w:w="1123"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Sum</w:t>
            </w:r>
          </w:p>
        </w:tc>
        <w:tc>
          <w:tcPr>
            <w:tcW w:w="1110" w:type="dxa"/>
            <w:vMerge w:val="restart"/>
            <w:tcBorders>
              <w:top w:val="single" w:sz="4" w:space="0" w:color="auto"/>
              <w:left w:val="single" w:sz="4" w:space="0" w:color="auto"/>
              <w:bottom w:val="single" w:sz="4" w:space="0" w:color="auto"/>
              <w:right w:val="single" w:sz="18" w:space="0" w:color="auto"/>
            </w:tcBorders>
            <w:vAlign w:val="center"/>
            <w:hideMark/>
          </w:tcPr>
          <w:p w:rsidR="00653947" w:rsidRPr="000C763C" w:rsidRDefault="00E30925" w:rsidP="00506820">
            <w:pPr>
              <w:spacing w:line="276" w:lineRule="auto"/>
              <w:jc w:val="center"/>
              <w:rPr>
                <w:rFonts w:ascii="Cambria Math" w:hAnsi="Cambria Math" w:cs="Arial"/>
                <w:oMath/>
              </w:rPr>
            </w:pPr>
            <m:oMathPara>
              <m:oMath>
                <m:rad>
                  <m:radPr>
                    <m:degHide m:val="1"/>
                    <m:ctrlPr>
                      <w:rPr>
                        <w:rFonts w:ascii="Cambria Math" w:hAnsi="Cambria Math" w:cs="Arial"/>
                        <w:i/>
                      </w:rPr>
                    </m:ctrlPr>
                  </m:radPr>
                  <m:deg/>
                  <m:e>
                    <m:r>
                      <m:rPr>
                        <m:sty m:val="p"/>
                      </m:rPr>
                      <w:rPr>
                        <w:rFonts w:ascii="Cambria Math" w:hAnsi="Cambria Math" w:cs="Arial"/>
                      </w:rPr>
                      <m:t>Sum</m:t>
                    </m:r>
                  </m:e>
                </m:rad>
              </m:oMath>
            </m:oMathPara>
          </w:p>
        </w:tc>
        <w:tc>
          <w:tcPr>
            <w:tcW w:w="972" w:type="dxa"/>
            <w:vMerge w:val="restart"/>
            <w:tcBorders>
              <w:top w:val="single" w:sz="18"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Margin</w:t>
            </w:r>
          </w:p>
        </w:tc>
      </w:tr>
      <w:tr w:rsidR="00653947" w:rsidRPr="000C763C" w:rsidTr="00F723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left"/>
              <w:rPr>
                <w:rFonts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left"/>
              <w:rPr>
                <w:rFonts w:cs="Arial"/>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Delineation</w:t>
            </w:r>
          </w:p>
        </w:tc>
        <w:tc>
          <w:tcPr>
            <w:tcW w:w="1118"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Intra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left"/>
              <w:rPr>
                <w:rFonts w:cs="Arial"/>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653947" w:rsidRPr="000C763C" w:rsidRDefault="00653947" w:rsidP="00506820">
            <w:pPr>
              <w:spacing w:line="276" w:lineRule="auto"/>
              <w:jc w:val="left"/>
              <w:rPr>
                <w:rFonts w:ascii="Cambria Math" w:hAnsi="Cambria Math" w:cs="Arial"/>
                <w:oMath/>
              </w:rPr>
            </w:pPr>
          </w:p>
        </w:tc>
        <w:tc>
          <w:tcPr>
            <w:tcW w:w="0" w:type="auto"/>
            <w:vMerge/>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left"/>
              <w:rPr>
                <w:rFonts w:cs="Arial"/>
              </w:rPr>
            </w:pPr>
          </w:p>
        </w:tc>
      </w:tr>
      <w:tr w:rsidR="00653947" w:rsidRPr="000C763C" w:rsidTr="00F723DD">
        <w:trPr>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Ant-Post</w:t>
            </w:r>
          </w:p>
        </w:tc>
        <w:tc>
          <w:tcPr>
            <w:tcW w:w="1391"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Systematic</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2.31</w:t>
            </w:r>
          </w:p>
        </w:tc>
        <w:tc>
          <w:tcPr>
            <w:tcW w:w="1118"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0.85</w:t>
            </w:r>
          </w:p>
        </w:tc>
        <w:tc>
          <w:tcPr>
            <w:tcW w:w="1123" w:type="dxa"/>
            <w:tcBorders>
              <w:top w:val="single" w:sz="4" w:space="0" w:color="auto"/>
              <w:left w:val="single" w:sz="4" w:space="0" w:color="auto"/>
              <w:bottom w:val="single" w:sz="4" w:space="0" w:color="auto"/>
              <w:right w:val="single" w:sz="4" w:space="0" w:color="auto"/>
            </w:tcBorders>
            <w:hideMark/>
          </w:tcPr>
          <w:p w:rsidR="00653947" w:rsidRPr="000C763C" w:rsidRDefault="00653947" w:rsidP="00506820">
            <w:pPr>
              <w:spacing w:line="276" w:lineRule="auto"/>
              <w:jc w:val="center"/>
              <w:rPr>
                <w:rFonts w:cs="Arial"/>
              </w:rPr>
            </w:pPr>
            <w:r w:rsidRPr="000C763C">
              <w:rPr>
                <w:rFonts w:cs="Arial"/>
              </w:rPr>
              <w:t>3.16</w:t>
            </w:r>
          </w:p>
        </w:tc>
        <w:tc>
          <w:tcPr>
            <w:tcW w:w="1110" w:type="dxa"/>
            <w:tcBorders>
              <w:top w:val="single" w:sz="4" w:space="0" w:color="auto"/>
              <w:left w:val="single" w:sz="4" w:space="0" w:color="auto"/>
              <w:bottom w:val="single" w:sz="4" w:space="0" w:color="auto"/>
              <w:right w:val="single" w:sz="18" w:space="0" w:color="auto"/>
            </w:tcBorders>
            <w:hideMark/>
          </w:tcPr>
          <w:p w:rsidR="00653947" w:rsidRPr="000C763C" w:rsidRDefault="00653947" w:rsidP="00506820">
            <w:pPr>
              <w:spacing w:line="276" w:lineRule="auto"/>
              <w:jc w:val="center"/>
              <w:rPr>
                <w:rFonts w:cs="Arial"/>
              </w:rPr>
            </w:pPr>
            <w:r w:rsidRPr="000C763C">
              <w:rPr>
                <w:rFonts w:cs="Arial"/>
              </w:rPr>
              <w:t>1.78</w:t>
            </w:r>
          </w:p>
        </w:tc>
        <w:tc>
          <w:tcPr>
            <w:tcW w:w="972" w:type="dxa"/>
            <w:vMerge w:val="restart"/>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5.5</w:t>
            </w:r>
          </w:p>
        </w:tc>
      </w:tr>
      <w:tr w:rsidR="00653947" w:rsidRPr="000C763C" w:rsidTr="00F723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left"/>
              <w:rPr>
                <w:rFonts w:cs="Arial"/>
              </w:rPr>
            </w:pPr>
          </w:p>
        </w:tc>
        <w:tc>
          <w:tcPr>
            <w:tcW w:w="1391"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Random</w:t>
            </w:r>
          </w:p>
        </w:tc>
        <w:tc>
          <w:tcPr>
            <w:tcW w:w="1417" w:type="dxa"/>
            <w:tcBorders>
              <w:top w:val="single" w:sz="4" w:space="0" w:color="auto"/>
              <w:left w:val="single" w:sz="4" w:space="0" w:color="auto"/>
              <w:bottom w:val="single" w:sz="4" w:space="0" w:color="auto"/>
              <w:right w:val="single" w:sz="4" w:space="0" w:color="auto"/>
            </w:tcBorders>
            <w:vAlign w:val="center"/>
          </w:tcPr>
          <w:p w:rsidR="00653947" w:rsidRPr="000C763C" w:rsidRDefault="00653947" w:rsidP="00506820">
            <w:pPr>
              <w:spacing w:line="276" w:lineRule="auto"/>
              <w:jc w:val="center"/>
              <w:rPr>
                <w:rFonts w:cs="Arial"/>
              </w:rPr>
            </w:pPr>
          </w:p>
        </w:tc>
        <w:tc>
          <w:tcPr>
            <w:tcW w:w="1118"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2.38</w:t>
            </w:r>
          </w:p>
        </w:tc>
        <w:tc>
          <w:tcPr>
            <w:tcW w:w="1123" w:type="dxa"/>
            <w:tcBorders>
              <w:top w:val="single" w:sz="4" w:space="0" w:color="auto"/>
              <w:left w:val="single" w:sz="4" w:space="0" w:color="auto"/>
              <w:bottom w:val="single" w:sz="4" w:space="0" w:color="auto"/>
              <w:right w:val="single" w:sz="4" w:space="0" w:color="auto"/>
            </w:tcBorders>
            <w:hideMark/>
          </w:tcPr>
          <w:p w:rsidR="00653947" w:rsidRPr="000C763C" w:rsidRDefault="00653947" w:rsidP="00506820">
            <w:pPr>
              <w:spacing w:line="276" w:lineRule="auto"/>
              <w:jc w:val="center"/>
              <w:rPr>
                <w:rFonts w:cs="Arial"/>
              </w:rPr>
            </w:pPr>
            <w:r w:rsidRPr="000C763C">
              <w:rPr>
                <w:rFonts w:cs="Arial"/>
              </w:rPr>
              <w:t>2.38</w:t>
            </w:r>
          </w:p>
        </w:tc>
        <w:tc>
          <w:tcPr>
            <w:tcW w:w="1110" w:type="dxa"/>
            <w:tcBorders>
              <w:top w:val="single" w:sz="4" w:space="0" w:color="auto"/>
              <w:left w:val="single" w:sz="4" w:space="0" w:color="auto"/>
              <w:bottom w:val="single" w:sz="4" w:space="0" w:color="auto"/>
              <w:right w:val="single" w:sz="18" w:space="0" w:color="auto"/>
            </w:tcBorders>
            <w:hideMark/>
          </w:tcPr>
          <w:p w:rsidR="00653947" w:rsidRPr="000C763C" w:rsidRDefault="00653947" w:rsidP="00506820">
            <w:pPr>
              <w:spacing w:line="276" w:lineRule="auto"/>
              <w:jc w:val="center"/>
              <w:rPr>
                <w:rFonts w:cs="Arial"/>
              </w:rPr>
            </w:pPr>
            <w:r w:rsidRPr="000C763C">
              <w:rPr>
                <w:rFonts w:cs="Arial"/>
              </w:rPr>
              <w:t>1.54</w:t>
            </w:r>
          </w:p>
        </w:tc>
        <w:tc>
          <w:tcPr>
            <w:tcW w:w="0" w:type="auto"/>
            <w:vMerge/>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left"/>
              <w:rPr>
                <w:rFonts w:cs="Arial"/>
              </w:rPr>
            </w:pPr>
          </w:p>
        </w:tc>
      </w:tr>
      <w:tr w:rsidR="00653947" w:rsidRPr="000C763C" w:rsidTr="00F723DD">
        <w:trPr>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 xml:space="preserve">Sup – </w:t>
            </w:r>
            <w:proofErr w:type="spellStart"/>
            <w:r w:rsidRPr="000C763C">
              <w:rPr>
                <w:rFonts w:cs="Arial"/>
              </w:rPr>
              <w:t>Inf</w:t>
            </w:r>
            <w:proofErr w:type="spellEnd"/>
          </w:p>
        </w:tc>
        <w:tc>
          <w:tcPr>
            <w:tcW w:w="1391"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Systematic</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4.12</w:t>
            </w:r>
          </w:p>
        </w:tc>
        <w:tc>
          <w:tcPr>
            <w:tcW w:w="1118"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0.89</w:t>
            </w:r>
          </w:p>
        </w:tc>
        <w:tc>
          <w:tcPr>
            <w:tcW w:w="1123" w:type="dxa"/>
            <w:tcBorders>
              <w:top w:val="single" w:sz="4" w:space="0" w:color="auto"/>
              <w:left w:val="single" w:sz="4" w:space="0" w:color="auto"/>
              <w:bottom w:val="single" w:sz="4" w:space="0" w:color="auto"/>
              <w:right w:val="single" w:sz="4" w:space="0" w:color="auto"/>
            </w:tcBorders>
            <w:hideMark/>
          </w:tcPr>
          <w:p w:rsidR="00653947" w:rsidRPr="000C763C" w:rsidRDefault="00653947" w:rsidP="00506820">
            <w:pPr>
              <w:spacing w:line="276" w:lineRule="auto"/>
              <w:jc w:val="center"/>
              <w:rPr>
                <w:rFonts w:cs="Arial"/>
              </w:rPr>
            </w:pPr>
            <w:r w:rsidRPr="000C763C">
              <w:rPr>
                <w:rFonts w:cs="Arial"/>
              </w:rPr>
              <w:t>5.01</w:t>
            </w:r>
          </w:p>
        </w:tc>
        <w:tc>
          <w:tcPr>
            <w:tcW w:w="1110" w:type="dxa"/>
            <w:tcBorders>
              <w:top w:val="single" w:sz="4" w:space="0" w:color="auto"/>
              <w:left w:val="single" w:sz="4" w:space="0" w:color="auto"/>
              <w:bottom w:val="single" w:sz="4" w:space="0" w:color="auto"/>
              <w:right w:val="single" w:sz="18" w:space="0" w:color="auto"/>
            </w:tcBorders>
            <w:hideMark/>
          </w:tcPr>
          <w:p w:rsidR="00653947" w:rsidRPr="000C763C" w:rsidRDefault="00653947" w:rsidP="00506820">
            <w:pPr>
              <w:spacing w:line="276" w:lineRule="auto"/>
              <w:jc w:val="center"/>
              <w:rPr>
                <w:rFonts w:cs="Arial"/>
              </w:rPr>
            </w:pPr>
            <w:r w:rsidRPr="000C763C">
              <w:rPr>
                <w:rFonts w:cs="Arial"/>
              </w:rPr>
              <w:t>2.24</w:t>
            </w:r>
          </w:p>
        </w:tc>
        <w:tc>
          <w:tcPr>
            <w:tcW w:w="972" w:type="dxa"/>
            <w:vMerge w:val="restart"/>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b/>
              </w:rPr>
            </w:pPr>
            <w:r w:rsidRPr="000C763C">
              <w:rPr>
                <w:rFonts w:cs="Arial"/>
                <w:b/>
              </w:rPr>
              <w:t>6.7</w:t>
            </w:r>
          </w:p>
        </w:tc>
      </w:tr>
      <w:tr w:rsidR="00653947" w:rsidRPr="000C763C" w:rsidTr="00F723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left"/>
              <w:rPr>
                <w:rFonts w:cs="Arial"/>
              </w:rPr>
            </w:pPr>
          </w:p>
        </w:tc>
        <w:tc>
          <w:tcPr>
            <w:tcW w:w="1391"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Random</w:t>
            </w:r>
          </w:p>
        </w:tc>
        <w:tc>
          <w:tcPr>
            <w:tcW w:w="1417" w:type="dxa"/>
            <w:tcBorders>
              <w:top w:val="single" w:sz="4" w:space="0" w:color="auto"/>
              <w:left w:val="single" w:sz="4" w:space="0" w:color="auto"/>
              <w:bottom w:val="single" w:sz="4" w:space="0" w:color="auto"/>
              <w:right w:val="single" w:sz="4" w:space="0" w:color="auto"/>
            </w:tcBorders>
            <w:vAlign w:val="center"/>
          </w:tcPr>
          <w:p w:rsidR="00653947" w:rsidRPr="000C763C" w:rsidRDefault="00653947" w:rsidP="00506820">
            <w:pPr>
              <w:spacing w:line="276" w:lineRule="auto"/>
              <w:jc w:val="center"/>
              <w:rPr>
                <w:rFonts w:cs="Arial"/>
              </w:rPr>
            </w:pPr>
          </w:p>
        </w:tc>
        <w:tc>
          <w:tcPr>
            <w:tcW w:w="1118"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2.59</w:t>
            </w:r>
          </w:p>
        </w:tc>
        <w:tc>
          <w:tcPr>
            <w:tcW w:w="1123" w:type="dxa"/>
            <w:tcBorders>
              <w:top w:val="single" w:sz="4" w:space="0" w:color="auto"/>
              <w:left w:val="single" w:sz="4" w:space="0" w:color="auto"/>
              <w:bottom w:val="single" w:sz="4" w:space="0" w:color="auto"/>
              <w:right w:val="single" w:sz="4" w:space="0" w:color="auto"/>
            </w:tcBorders>
            <w:hideMark/>
          </w:tcPr>
          <w:p w:rsidR="00653947" w:rsidRPr="000C763C" w:rsidRDefault="00653947" w:rsidP="00506820">
            <w:pPr>
              <w:spacing w:line="276" w:lineRule="auto"/>
              <w:jc w:val="center"/>
              <w:rPr>
                <w:rFonts w:cs="Arial"/>
              </w:rPr>
            </w:pPr>
            <w:r w:rsidRPr="000C763C">
              <w:rPr>
                <w:rFonts w:cs="Arial"/>
              </w:rPr>
              <w:t>2.59</w:t>
            </w:r>
          </w:p>
        </w:tc>
        <w:tc>
          <w:tcPr>
            <w:tcW w:w="1110" w:type="dxa"/>
            <w:tcBorders>
              <w:top w:val="single" w:sz="4" w:space="0" w:color="auto"/>
              <w:left w:val="single" w:sz="4" w:space="0" w:color="auto"/>
              <w:bottom w:val="single" w:sz="4" w:space="0" w:color="auto"/>
              <w:right w:val="single" w:sz="18" w:space="0" w:color="auto"/>
            </w:tcBorders>
            <w:hideMark/>
          </w:tcPr>
          <w:p w:rsidR="00653947" w:rsidRPr="000C763C" w:rsidRDefault="00653947" w:rsidP="00506820">
            <w:pPr>
              <w:spacing w:line="276" w:lineRule="auto"/>
              <w:jc w:val="center"/>
              <w:rPr>
                <w:rFonts w:cs="Arial"/>
              </w:rPr>
            </w:pPr>
            <w:r w:rsidRPr="000C763C">
              <w:rPr>
                <w:rFonts w:cs="Arial"/>
              </w:rPr>
              <w:t>1.61</w:t>
            </w:r>
          </w:p>
        </w:tc>
        <w:tc>
          <w:tcPr>
            <w:tcW w:w="0" w:type="auto"/>
            <w:vMerge/>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left"/>
              <w:rPr>
                <w:rFonts w:cs="Arial"/>
              </w:rPr>
            </w:pPr>
          </w:p>
        </w:tc>
      </w:tr>
      <w:tr w:rsidR="00653947" w:rsidRPr="000C763C" w:rsidTr="00F723DD">
        <w:trPr>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Lateral</w:t>
            </w:r>
          </w:p>
        </w:tc>
        <w:tc>
          <w:tcPr>
            <w:tcW w:w="1391"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Systematic</w:t>
            </w:r>
          </w:p>
        </w:tc>
        <w:tc>
          <w:tcPr>
            <w:tcW w:w="1417"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2.82</w:t>
            </w:r>
          </w:p>
        </w:tc>
        <w:tc>
          <w:tcPr>
            <w:tcW w:w="1118"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1.16</w:t>
            </w:r>
          </w:p>
        </w:tc>
        <w:tc>
          <w:tcPr>
            <w:tcW w:w="1123" w:type="dxa"/>
            <w:tcBorders>
              <w:top w:val="single" w:sz="4" w:space="0" w:color="auto"/>
              <w:left w:val="single" w:sz="4" w:space="0" w:color="auto"/>
              <w:bottom w:val="single" w:sz="4" w:space="0" w:color="auto"/>
              <w:right w:val="single" w:sz="4" w:space="0" w:color="auto"/>
            </w:tcBorders>
            <w:hideMark/>
          </w:tcPr>
          <w:p w:rsidR="00653947" w:rsidRPr="000C763C" w:rsidRDefault="00653947" w:rsidP="00506820">
            <w:pPr>
              <w:spacing w:line="276" w:lineRule="auto"/>
              <w:jc w:val="center"/>
              <w:rPr>
                <w:rFonts w:cs="Arial"/>
              </w:rPr>
            </w:pPr>
            <w:r w:rsidRPr="000C763C">
              <w:rPr>
                <w:rFonts w:cs="Arial"/>
              </w:rPr>
              <w:t>3.98</w:t>
            </w:r>
          </w:p>
        </w:tc>
        <w:tc>
          <w:tcPr>
            <w:tcW w:w="1110" w:type="dxa"/>
            <w:tcBorders>
              <w:top w:val="single" w:sz="4" w:space="0" w:color="auto"/>
              <w:left w:val="single" w:sz="4" w:space="0" w:color="auto"/>
              <w:bottom w:val="single" w:sz="4" w:space="0" w:color="auto"/>
              <w:right w:val="single" w:sz="18" w:space="0" w:color="auto"/>
            </w:tcBorders>
            <w:hideMark/>
          </w:tcPr>
          <w:p w:rsidR="00653947" w:rsidRPr="000C763C" w:rsidRDefault="00653947" w:rsidP="00506820">
            <w:pPr>
              <w:spacing w:line="276" w:lineRule="auto"/>
              <w:jc w:val="center"/>
              <w:rPr>
                <w:rFonts w:cs="Arial"/>
              </w:rPr>
            </w:pPr>
            <w:r w:rsidRPr="000C763C">
              <w:rPr>
                <w:rFonts w:cs="Arial"/>
              </w:rPr>
              <w:t>1.99</w:t>
            </w:r>
          </w:p>
        </w:tc>
        <w:tc>
          <w:tcPr>
            <w:tcW w:w="972" w:type="dxa"/>
            <w:vMerge w:val="restart"/>
            <w:tcBorders>
              <w:top w:val="single" w:sz="4" w:space="0" w:color="auto"/>
              <w:left w:val="single" w:sz="18"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5.9</w:t>
            </w:r>
          </w:p>
        </w:tc>
      </w:tr>
      <w:tr w:rsidR="00653947" w:rsidRPr="000C763C" w:rsidTr="00F723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left"/>
              <w:rPr>
                <w:rFonts w:cs="Arial"/>
              </w:rPr>
            </w:pPr>
          </w:p>
        </w:tc>
        <w:tc>
          <w:tcPr>
            <w:tcW w:w="1391"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Random</w:t>
            </w:r>
          </w:p>
        </w:tc>
        <w:tc>
          <w:tcPr>
            <w:tcW w:w="1417" w:type="dxa"/>
            <w:tcBorders>
              <w:top w:val="single" w:sz="4" w:space="0" w:color="auto"/>
              <w:left w:val="single" w:sz="4" w:space="0" w:color="auto"/>
              <w:bottom w:val="single" w:sz="4" w:space="0" w:color="auto"/>
              <w:right w:val="single" w:sz="4" w:space="0" w:color="auto"/>
            </w:tcBorders>
            <w:vAlign w:val="center"/>
          </w:tcPr>
          <w:p w:rsidR="00653947" w:rsidRPr="000C763C" w:rsidRDefault="00653947" w:rsidP="00506820">
            <w:pPr>
              <w:spacing w:line="276" w:lineRule="auto"/>
              <w:jc w:val="center"/>
              <w:rPr>
                <w:rFonts w:cs="Arial"/>
              </w:rPr>
            </w:pPr>
          </w:p>
        </w:tc>
        <w:tc>
          <w:tcPr>
            <w:tcW w:w="1118"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1.81</w:t>
            </w:r>
          </w:p>
        </w:tc>
        <w:tc>
          <w:tcPr>
            <w:tcW w:w="1123" w:type="dxa"/>
            <w:tcBorders>
              <w:top w:val="single" w:sz="4" w:space="0" w:color="auto"/>
              <w:left w:val="single" w:sz="4" w:space="0" w:color="auto"/>
              <w:bottom w:val="single" w:sz="4" w:space="0" w:color="auto"/>
              <w:right w:val="single" w:sz="4" w:space="0" w:color="auto"/>
            </w:tcBorders>
            <w:vAlign w:val="center"/>
            <w:hideMark/>
          </w:tcPr>
          <w:p w:rsidR="00653947" w:rsidRPr="000C763C" w:rsidRDefault="00653947" w:rsidP="00506820">
            <w:pPr>
              <w:spacing w:line="276" w:lineRule="auto"/>
              <w:jc w:val="center"/>
              <w:rPr>
                <w:rFonts w:cs="Arial"/>
              </w:rPr>
            </w:pPr>
            <w:r w:rsidRPr="000C763C">
              <w:rPr>
                <w:rFonts w:cs="Arial"/>
              </w:rPr>
              <w:t>1.81</w:t>
            </w:r>
          </w:p>
        </w:tc>
        <w:tc>
          <w:tcPr>
            <w:tcW w:w="1110" w:type="dxa"/>
            <w:tcBorders>
              <w:top w:val="single" w:sz="4" w:space="0" w:color="auto"/>
              <w:left w:val="single" w:sz="4" w:space="0" w:color="auto"/>
              <w:bottom w:val="single" w:sz="4" w:space="0" w:color="auto"/>
              <w:right w:val="single" w:sz="18" w:space="0" w:color="auto"/>
            </w:tcBorders>
            <w:vAlign w:val="center"/>
            <w:hideMark/>
          </w:tcPr>
          <w:p w:rsidR="00653947" w:rsidRPr="000C763C" w:rsidRDefault="00653947" w:rsidP="00506820">
            <w:pPr>
              <w:spacing w:line="276" w:lineRule="auto"/>
              <w:jc w:val="center"/>
              <w:rPr>
                <w:rFonts w:cs="Arial"/>
              </w:rPr>
            </w:pPr>
            <w:r w:rsidRPr="000C763C">
              <w:rPr>
                <w:rFonts w:cs="Arial"/>
              </w:rPr>
              <w:t>1.35</w:t>
            </w:r>
          </w:p>
        </w:tc>
        <w:tc>
          <w:tcPr>
            <w:tcW w:w="0" w:type="auto"/>
            <w:vMerge/>
            <w:tcBorders>
              <w:top w:val="single" w:sz="4" w:space="0" w:color="auto"/>
              <w:left w:val="single" w:sz="18" w:space="0" w:color="auto"/>
              <w:bottom w:val="single" w:sz="18" w:space="0" w:color="auto"/>
              <w:right w:val="single" w:sz="18" w:space="0" w:color="auto"/>
            </w:tcBorders>
            <w:vAlign w:val="center"/>
            <w:hideMark/>
          </w:tcPr>
          <w:p w:rsidR="00653947" w:rsidRPr="000C763C" w:rsidRDefault="00653947" w:rsidP="00506820">
            <w:pPr>
              <w:spacing w:line="276" w:lineRule="auto"/>
              <w:jc w:val="left"/>
              <w:rPr>
                <w:rFonts w:cs="Arial"/>
              </w:rPr>
            </w:pPr>
          </w:p>
        </w:tc>
      </w:tr>
    </w:tbl>
    <w:p w:rsidR="00EF40A9" w:rsidRDefault="00E30925" w:rsidP="00506820"/>
    <w:sectPr w:rsidR="00EF40A9" w:rsidSect="001E0E8A">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30925">
      <w:pPr>
        <w:spacing w:line="240" w:lineRule="auto"/>
      </w:pPr>
      <w:r>
        <w:separator/>
      </w:r>
    </w:p>
  </w:endnote>
  <w:endnote w:type="continuationSeparator" w:id="0">
    <w:p w:rsidR="00000000" w:rsidRDefault="00E309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9F8" w:rsidRDefault="00744B71" w:rsidP="008B63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39F8" w:rsidRDefault="00E309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9F8" w:rsidRPr="008B6325" w:rsidRDefault="00744B71" w:rsidP="008B6325">
    <w:pPr>
      <w:pStyle w:val="Footer"/>
      <w:framePr w:wrap="around" w:vAnchor="text" w:hAnchor="margin" w:xAlign="center" w:y="1"/>
      <w:rPr>
        <w:rStyle w:val="PageNumber"/>
      </w:rPr>
    </w:pPr>
    <w:r w:rsidRPr="008B6325">
      <w:rPr>
        <w:rStyle w:val="PageNumber"/>
      </w:rPr>
      <w:fldChar w:fldCharType="begin"/>
    </w:r>
    <w:r w:rsidRPr="008B6325">
      <w:rPr>
        <w:rStyle w:val="PageNumber"/>
      </w:rPr>
      <w:instrText xml:space="preserve">PAGE  </w:instrText>
    </w:r>
    <w:r w:rsidRPr="008B6325">
      <w:rPr>
        <w:rStyle w:val="PageNumber"/>
      </w:rPr>
      <w:fldChar w:fldCharType="separate"/>
    </w:r>
    <w:r w:rsidR="00E30925">
      <w:rPr>
        <w:rStyle w:val="PageNumber"/>
        <w:noProof/>
      </w:rPr>
      <w:t>3</w:t>
    </w:r>
    <w:r w:rsidRPr="008B6325">
      <w:rPr>
        <w:rStyle w:val="PageNumber"/>
      </w:rPr>
      <w:fldChar w:fldCharType="end"/>
    </w:r>
  </w:p>
  <w:p w:rsidR="002939F8" w:rsidRDefault="00E309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30925">
      <w:pPr>
        <w:spacing w:line="240" w:lineRule="auto"/>
      </w:pPr>
      <w:r>
        <w:separator/>
      </w:r>
    </w:p>
  </w:footnote>
  <w:footnote w:type="continuationSeparator" w:id="0">
    <w:p w:rsidR="00000000" w:rsidRDefault="00E3092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947"/>
    <w:rsid w:val="000C763C"/>
    <w:rsid w:val="003D2EED"/>
    <w:rsid w:val="004D17B7"/>
    <w:rsid w:val="00506820"/>
    <w:rsid w:val="005476E4"/>
    <w:rsid w:val="005D04D7"/>
    <w:rsid w:val="00653947"/>
    <w:rsid w:val="00743927"/>
    <w:rsid w:val="00744B71"/>
    <w:rsid w:val="00972E7F"/>
    <w:rsid w:val="009971EF"/>
    <w:rsid w:val="009B3E9D"/>
    <w:rsid w:val="00AD29CA"/>
    <w:rsid w:val="00DA2A88"/>
    <w:rsid w:val="00E200E5"/>
    <w:rsid w:val="00E30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63C"/>
    <w:pPr>
      <w:spacing w:after="0" w:line="480" w:lineRule="auto"/>
      <w:jc w:val="both"/>
    </w:pPr>
    <w:rPr>
      <w:rFonts w:ascii="Cambria" w:eastAsiaTheme="minorEastAsia" w:hAnsi="Cambria"/>
      <w:sz w:val="24"/>
      <w:szCs w:val="24"/>
      <w:lang w:val="en-US"/>
    </w:rPr>
  </w:style>
  <w:style w:type="paragraph" w:styleId="Heading1">
    <w:name w:val="heading 1"/>
    <w:basedOn w:val="Normal"/>
    <w:next w:val="Normal"/>
    <w:link w:val="Heading1Char"/>
    <w:uiPriority w:val="9"/>
    <w:qFormat/>
    <w:rsid w:val="00653947"/>
    <w:pPr>
      <w:spacing w:before="480" w:line="276" w:lineRule="auto"/>
      <w:contextualSpacing/>
      <w:outlineLvl w:val="0"/>
    </w:pPr>
    <w:rPr>
      <w:rFonts w:asciiTheme="majorHAnsi" w:eastAsiaTheme="majorEastAsia" w:hAnsiTheme="majorHAnsi" w:cstheme="majorBidi"/>
      <w:b/>
      <w:bCs/>
      <w:sz w:val="28"/>
      <w:szCs w:val="28"/>
      <w:lang w:val="en-GB"/>
    </w:rPr>
  </w:style>
  <w:style w:type="paragraph" w:styleId="Heading2">
    <w:name w:val="heading 2"/>
    <w:basedOn w:val="Normal"/>
    <w:next w:val="Normal"/>
    <w:link w:val="Heading2Char"/>
    <w:uiPriority w:val="9"/>
    <w:unhideWhenUsed/>
    <w:qFormat/>
    <w:rsid w:val="00653947"/>
    <w:pPr>
      <w:spacing w:before="200" w:line="276" w:lineRule="auto"/>
      <w:outlineLvl w:val="1"/>
    </w:pPr>
    <w:rPr>
      <w:rFonts w:asciiTheme="majorHAnsi" w:eastAsiaTheme="majorEastAsia" w:hAnsiTheme="majorHAnsi" w:cstheme="majorBidi"/>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E200E5"/>
    <w:pPr>
      <w:spacing w:line="360" w:lineRule="auto"/>
    </w:pPr>
    <w:rPr>
      <w:rFonts w:cs="Arial"/>
      <w:b/>
      <w:bCs/>
      <w:sz w:val="18"/>
      <w:szCs w:val="18"/>
      <w:lang w:val="en-GB"/>
    </w:rPr>
  </w:style>
  <w:style w:type="character" w:customStyle="1" w:styleId="Heading1Char">
    <w:name w:val="Heading 1 Char"/>
    <w:basedOn w:val="DefaultParagraphFont"/>
    <w:link w:val="Heading1"/>
    <w:uiPriority w:val="9"/>
    <w:rsid w:val="0065394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53947"/>
    <w:rPr>
      <w:rFonts w:asciiTheme="majorHAnsi" w:eastAsiaTheme="majorEastAsia" w:hAnsiTheme="majorHAnsi" w:cstheme="majorBidi"/>
      <w:b/>
      <w:bCs/>
      <w:sz w:val="26"/>
      <w:szCs w:val="26"/>
    </w:rPr>
  </w:style>
  <w:style w:type="table" w:styleId="TableGrid">
    <w:name w:val="Table Grid"/>
    <w:basedOn w:val="TableNormal"/>
    <w:uiPriority w:val="59"/>
    <w:rsid w:val="0065394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53947"/>
    <w:pPr>
      <w:tabs>
        <w:tab w:val="center" w:pos="4320"/>
        <w:tab w:val="right" w:pos="8640"/>
      </w:tabs>
    </w:pPr>
  </w:style>
  <w:style w:type="character" w:customStyle="1" w:styleId="FooterChar">
    <w:name w:val="Footer Char"/>
    <w:basedOn w:val="DefaultParagraphFont"/>
    <w:link w:val="Footer"/>
    <w:uiPriority w:val="99"/>
    <w:rsid w:val="00653947"/>
    <w:rPr>
      <w:rFonts w:ascii="Helvetica" w:eastAsiaTheme="minorEastAsia" w:hAnsi="Helvetica"/>
      <w:sz w:val="24"/>
      <w:szCs w:val="24"/>
      <w:lang w:val="en-US"/>
    </w:rPr>
  </w:style>
  <w:style w:type="character" w:styleId="PageNumber">
    <w:name w:val="page number"/>
    <w:basedOn w:val="DefaultParagraphFont"/>
    <w:uiPriority w:val="99"/>
    <w:semiHidden/>
    <w:unhideWhenUsed/>
    <w:rsid w:val="00653947"/>
  </w:style>
  <w:style w:type="paragraph" w:styleId="BalloonText">
    <w:name w:val="Balloon Text"/>
    <w:basedOn w:val="Normal"/>
    <w:link w:val="BalloonTextChar"/>
    <w:uiPriority w:val="99"/>
    <w:semiHidden/>
    <w:unhideWhenUsed/>
    <w:rsid w:val="00653947"/>
    <w:rPr>
      <w:rFonts w:ascii="Tahoma" w:hAnsi="Tahoma" w:cs="Tahoma"/>
      <w:sz w:val="16"/>
      <w:szCs w:val="16"/>
    </w:rPr>
  </w:style>
  <w:style w:type="character" w:customStyle="1" w:styleId="BalloonTextChar">
    <w:name w:val="Balloon Text Char"/>
    <w:basedOn w:val="DefaultParagraphFont"/>
    <w:link w:val="BalloonText"/>
    <w:uiPriority w:val="99"/>
    <w:semiHidden/>
    <w:rsid w:val="00653947"/>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63C"/>
    <w:pPr>
      <w:spacing w:after="0" w:line="480" w:lineRule="auto"/>
      <w:jc w:val="both"/>
    </w:pPr>
    <w:rPr>
      <w:rFonts w:ascii="Cambria" w:eastAsiaTheme="minorEastAsia" w:hAnsi="Cambria"/>
      <w:sz w:val="24"/>
      <w:szCs w:val="24"/>
      <w:lang w:val="en-US"/>
    </w:rPr>
  </w:style>
  <w:style w:type="paragraph" w:styleId="Heading1">
    <w:name w:val="heading 1"/>
    <w:basedOn w:val="Normal"/>
    <w:next w:val="Normal"/>
    <w:link w:val="Heading1Char"/>
    <w:uiPriority w:val="9"/>
    <w:qFormat/>
    <w:rsid w:val="00653947"/>
    <w:pPr>
      <w:spacing w:before="480" w:line="276" w:lineRule="auto"/>
      <w:contextualSpacing/>
      <w:outlineLvl w:val="0"/>
    </w:pPr>
    <w:rPr>
      <w:rFonts w:asciiTheme="majorHAnsi" w:eastAsiaTheme="majorEastAsia" w:hAnsiTheme="majorHAnsi" w:cstheme="majorBidi"/>
      <w:b/>
      <w:bCs/>
      <w:sz w:val="28"/>
      <w:szCs w:val="28"/>
      <w:lang w:val="en-GB"/>
    </w:rPr>
  </w:style>
  <w:style w:type="paragraph" w:styleId="Heading2">
    <w:name w:val="heading 2"/>
    <w:basedOn w:val="Normal"/>
    <w:next w:val="Normal"/>
    <w:link w:val="Heading2Char"/>
    <w:uiPriority w:val="9"/>
    <w:unhideWhenUsed/>
    <w:qFormat/>
    <w:rsid w:val="00653947"/>
    <w:pPr>
      <w:spacing w:before="200" w:line="276" w:lineRule="auto"/>
      <w:outlineLvl w:val="1"/>
    </w:pPr>
    <w:rPr>
      <w:rFonts w:asciiTheme="majorHAnsi" w:eastAsiaTheme="majorEastAsia" w:hAnsiTheme="majorHAnsi" w:cstheme="majorBidi"/>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E200E5"/>
    <w:pPr>
      <w:spacing w:line="360" w:lineRule="auto"/>
    </w:pPr>
    <w:rPr>
      <w:rFonts w:cs="Arial"/>
      <w:b/>
      <w:bCs/>
      <w:sz w:val="18"/>
      <w:szCs w:val="18"/>
      <w:lang w:val="en-GB"/>
    </w:rPr>
  </w:style>
  <w:style w:type="character" w:customStyle="1" w:styleId="Heading1Char">
    <w:name w:val="Heading 1 Char"/>
    <w:basedOn w:val="DefaultParagraphFont"/>
    <w:link w:val="Heading1"/>
    <w:uiPriority w:val="9"/>
    <w:rsid w:val="0065394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53947"/>
    <w:rPr>
      <w:rFonts w:asciiTheme="majorHAnsi" w:eastAsiaTheme="majorEastAsia" w:hAnsiTheme="majorHAnsi" w:cstheme="majorBidi"/>
      <w:b/>
      <w:bCs/>
      <w:sz w:val="26"/>
      <w:szCs w:val="26"/>
    </w:rPr>
  </w:style>
  <w:style w:type="table" w:styleId="TableGrid">
    <w:name w:val="Table Grid"/>
    <w:basedOn w:val="TableNormal"/>
    <w:uiPriority w:val="59"/>
    <w:rsid w:val="0065394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53947"/>
    <w:pPr>
      <w:tabs>
        <w:tab w:val="center" w:pos="4320"/>
        <w:tab w:val="right" w:pos="8640"/>
      </w:tabs>
    </w:pPr>
  </w:style>
  <w:style w:type="character" w:customStyle="1" w:styleId="FooterChar">
    <w:name w:val="Footer Char"/>
    <w:basedOn w:val="DefaultParagraphFont"/>
    <w:link w:val="Footer"/>
    <w:uiPriority w:val="99"/>
    <w:rsid w:val="00653947"/>
    <w:rPr>
      <w:rFonts w:ascii="Helvetica" w:eastAsiaTheme="minorEastAsia" w:hAnsi="Helvetica"/>
      <w:sz w:val="24"/>
      <w:szCs w:val="24"/>
      <w:lang w:val="en-US"/>
    </w:rPr>
  </w:style>
  <w:style w:type="character" w:styleId="PageNumber">
    <w:name w:val="page number"/>
    <w:basedOn w:val="DefaultParagraphFont"/>
    <w:uiPriority w:val="99"/>
    <w:semiHidden/>
    <w:unhideWhenUsed/>
    <w:rsid w:val="00653947"/>
  </w:style>
  <w:style w:type="paragraph" w:styleId="BalloonText">
    <w:name w:val="Balloon Text"/>
    <w:basedOn w:val="Normal"/>
    <w:link w:val="BalloonTextChar"/>
    <w:uiPriority w:val="99"/>
    <w:semiHidden/>
    <w:unhideWhenUsed/>
    <w:rsid w:val="00653947"/>
    <w:rPr>
      <w:rFonts w:ascii="Tahoma" w:hAnsi="Tahoma" w:cs="Tahoma"/>
      <w:sz w:val="16"/>
      <w:szCs w:val="16"/>
    </w:rPr>
  </w:style>
  <w:style w:type="character" w:customStyle="1" w:styleId="BalloonTextChar">
    <w:name w:val="Balloon Text Char"/>
    <w:basedOn w:val="DefaultParagraphFont"/>
    <w:link w:val="BalloonText"/>
    <w:uiPriority w:val="99"/>
    <w:semiHidden/>
    <w:rsid w:val="00653947"/>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Raymond</dc:creator>
  <cp:lastModifiedBy>King, Raymond</cp:lastModifiedBy>
  <cp:revision>4</cp:revision>
  <dcterms:created xsi:type="dcterms:W3CDTF">2017-03-08T15:43:00Z</dcterms:created>
  <dcterms:modified xsi:type="dcterms:W3CDTF">2017-03-23T09:53:00Z</dcterms:modified>
</cp:coreProperties>
</file>