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741BB" w14:textId="6C4C493D" w:rsidR="00E87620" w:rsidRDefault="00AC2DF3" w:rsidP="00AC2DF3">
      <w:pPr>
        <w:rPr>
          <w:b/>
          <w:bCs/>
        </w:rPr>
      </w:pPr>
      <w:r w:rsidRPr="00AC2DF3">
        <w:rPr>
          <w:b/>
          <w:bCs/>
        </w:rPr>
        <w:t>Supplementary Material B</w:t>
      </w:r>
    </w:p>
    <w:p w14:paraId="278D47EC" w14:textId="699A2BB4" w:rsidR="00DF3686" w:rsidRDefault="00AC2DF3" w:rsidP="00AC2DF3">
      <w:r w:rsidRPr="00AC2DF3">
        <w:t>T</w:t>
      </w:r>
      <w:r w:rsidRPr="00AC2DF3">
        <w:rPr>
          <w:rFonts w:hint="eastAsia"/>
        </w:rPr>
        <w:t>he</w:t>
      </w:r>
      <w:r w:rsidRPr="00AC2DF3">
        <w:t xml:space="preserve"> </w:t>
      </w:r>
      <w:r w:rsidRPr="00AC2DF3">
        <w:rPr>
          <w:rFonts w:hint="eastAsia"/>
        </w:rPr>
        <w:t>resulting</w:t>
      </w:r>
      <w:r w:rsidRPr="00AC2DF3">
        <w:t xml:space="preserve"> </w:t>
      </w:r>
      <w:r w:rsidRPr="00AC2DF3">
        <w:rPr>
          <w:i/>
          <w:iCs/>
        </w:rPr>
        <w:t>P</w:t>
      </w:r>
      <w:r w:rsidRPr="00AC2DF3">
        <w:t xml:space="preserve"> </w:t>
      </w:r>
      <w:r w:rsidRPr="00AC2DF3">
        <w:rPr>
          <w:rFonts w:hint="eastAsia"/>
        </w:rPr>
        <w:t>values</w:t>
      </w:r>
      <w:r w:rsidRPr="00AC2DF3">
        <w:t xml:space="preserve"> </w:t>
      </w:r>
      <w:r w:rsidRPr="00AC2DF3">
        <w:rPr>
          <w:rFonts w:hint="eastAsia"/>
        </w:rPr>
        <w:t>of</w:t>
      </w:r>
      <w:r w:rsidRPr="00AC2DF3">
        <w:t xml:space="preserve"> </w:t>
      </w:r>
      <w:r w:rsidRPr="00AC2DF3">
        <w:rPr>
          <w:rFonts w:hint="eastAsia"/>
        </w:rPr>
        <w:t>paired</w:t>
      </w:r>
      <w:r w:rsidRPr="00AC2DF3">
        <w:t xml:space="preserve"> </w:t>
      </w:r>
      <w:r w:rsidRPr="00AC2DF3">
        <w:rPr>
          <w:rFonts w:hint="eastAsia"/>
        </w:rPr>
        <w:t>t</w:t>
      </w:r>
      <w:r w:rsidR="001D0602">
        <w:t>-</w:t>
      </w:r>
      <w:r w:rsidRPr="00AC2DF3">
        <w:rPr>
          <w:rFonts w:hint="eastAsia"/>
        </w:rPr>
        <w:t>test</w:t>
      </w:r>
      <w:r w:rsidRPr="00AC2DF3">
        <w:t xml:space="preserve"> </w:t>
      </w:r>
      <w:r>
        <w:t xml:space="preserve">for the </w:t>
      </w:r>
      <w:r w:rsidR="00A6453E" w:rsidRPr="00A6453E">
        <w:t>normal tissue complication probabilities</w:t>
      </w:r>
      <w:r w:rsidR="005F72EB">
        <w:t xml:space="preserve"> (NTCPs)</w:t>
      </w:r>
      <w:r w:rsidR="00A6453E" w:rsidRPr="00A6453E">
        <w:t xml:space="preserve"> </w:t>
      </w:r>
      <w:r w:rsidR="00A6453E">
        <w:t xml:space="preserve">of the </w:t>
      </w:r>
      <w:r>
        <w:t>rectum (left) and bladder (right)</w:t>
      </w:r>
      <w:r w:rsidRPr="00AC2DF3">
        <w:rPr>
          <w:rFonts w:hint="eastAsia"/>
        </w:rPr>
        <w:t>.</w:t>
      </w:r>
      <w:r>
        <w:t xml:space="preserve"> </w:t>
      </w:r>
      <w:r w:rsidR="00DF3686">
        <w:t xml:space="preserve">Notably, </w:t>
      </w:r>
      <w:r>
        <w:t xml:space="preserve">Black zones and white zones refer to </w:t>
      </w:r>
      <w:r w:rsidR="008B0C6B" w:rsidRPr="008B0C6B">
        <w:t>statistically significant</w:t>
      </w:r>
      <w:r w:rsidR="008B0C6B">
        <w:t xml:space="preserve"> (</w:t>
      </w:r>
      <w:r w:rsidRPr="00AC2DF3">
        <w:rPr>
          <w:i/>
          <w:iCs/>
        </w:rPr>
        <w:t>P</w:t>
      </w:r>
      <w:r>
        <w:t xml:space="preserve"> &lt; 0.05</w:t>
      </w:r>
      <w:r w:rsidR="008B0C6B">
        <w:t>)</w:t>
      </w:r>
      <w:r>
        <w:t xml:space="preserve"> and </w:t>
      </w:r>
      <w:r w:rsidR="008B0C6B" w:rsidRPr="008B0C6B">
        <w:t xml:space="preserve">statistically </w:t>
      </w:r>
      <w:r w:rsidR="008B0C6B">
        <w:t>in</w:t>
      </w:r>
      <w:r w:rsidR="008B0C6B" w:rsidRPr="008B0C6B">
        <w:t xml:space="preserve">significant </w:t>
      </w:r>
      <w:r w:rsidR="008B0C6B">
        <w:t>(</w:t>
      </w:r>
      <w:r w:rsidRPr="00AC2DF3">
        <w:rPr>
          <w:i/>
          <w:iCs/>
        </w:rPr>
        <w:t>P</w:t>
      </w:r>
      <w:r>
        <w:t xml:space="preserve"> &gt; 0.05</w:t>
      </w:r>
      <w:r w:rsidR="008B0C6B">
        <w:t>)</w:t>
      </w:r>
      <w:r>
        <w:t>, respectively.</w:t>
      </w:r>
    </w:p>
    <w:p w14:paraId="137C3765" w14:textId="7EB1C2C3" w:rsidR="00AC2DF3" w:rsidRDefault="00AC2DF3" w:rsidP="00AC2DF3">
      <w:pPr>
        <w:rPr>
          <w:b/>
          <w:bCs/>
        </w:rPr>
      </w:pPr>
      <w:r>
        <w:rPr>
          <w:b/>
          <w:bCs/>
          <w:noProof/>
        </w:rPr>
        <w:drawing>
          <wp:inline distT="0" distB="0" distL="0" distR="0" wp14:anchorId="4D52166E" wp14:editId="5931F336">
            <wp:extent cx="5274310" cy="230949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309495"/>
                    </a:xfrm>
                    <a:prstGeom prst="rect">
                      <a:avLst/>
                    </a:prstGeom>
                  </pic:spPr>
                </pic:pic>
              </a:graphicData>
            </a:graphic>
          </wp:inline>
        </w:drawing>
      </w:r>
    </w:p>
    <w:p w14:paraId="2E7343AD" w14:textId="045FD9DF" w:rsidR="00472EAE" w:rsidRDefault="00472EAE" w:rsidP="00472EAE">
      <w:r>
        <w:t>T</w:t>
      </w:r>
      <w:r w:rsidRPr="005F72EB">
        <w:t>he NTCPs of the rectum w</w:t>
      </w:r>
      <w:r w:rsidR="001D0602">
        <w:t>ere</w:t>
      </w:r>
      <w:r w:rsidRPr="005F72EB">
        <w:t xml:space="preserve"> highly influenced by couch shifts in the anterior-posterior direction.</w:t>
      </w:r>
      <w:r>
        <w:t xml:space="preserve"> For example, statistically differences were found between P01 and P02, P03, P05, P06, P08, P09, P11, P12, P14, P15, P17, P18, P20, P21, P23, P24, P26, P27. Collectively, P01 and these potential patient positions were different in </w:t>
      </w:r>
      <w:r w:rsidRPr="00DF3686">
        <w:t>the anterior-posterior direction</w:t>
      </w:r>
      <w:r>
        <w:t>.</w:t>
      </w:r>
    </w:p>
    <w:p w14:paraId="04899DB1" w14:textId="69B5451E" w:rsidR="00472EAE" w:rsidRPr="00AC2DF3" w:rsidRDefault="00472EAE" w:rsidP="00AC2DF3">
      <w:pPr>
        <w:rPr>
          <w:b/>
          <w:bCs/>
        </w:rPr>
      </w:pPr>
      <w:r>
        <w:t>T</w:t>
      </w:r>
      <w:r w:rsidRPr="00DF3686">
        <w:t xml:space="preserve">he </w:t>
      </w:r>
      <w:r>
        <w:t>NTCPs</w:t>
      </w:r>
      <w:r w:rsidRPr="00DF3686">
        <w:t xml:space="preserve"> of the bladder were highly influenced by both the couch shifts in the AP and superior-inferior (SI) directions</w:t>
      </w:r>
      <w:r>
        <w:t>.</w:t>
      </w:r>
      <w:r w:rsidRPr="00DF3686">
        <w:t xml:space="preserve"> </w:t>
      </w:r>
      <w:r w:rsidRPr="00472EAE">
        <w:t>For example, statistically differences were found between P01 and P0</w:t>
      </w:r>
      <w:r>
        <w:t>3</w:t>
      </w:r>
      <w:r w:rsidRPr="00472EAE">
        <w:t>, P0</w:t>
      </w:r>
      <w:r>
        <w:t>4</w:t>
      </w:r>
      <w:r w:rsidRPr="00472EAE">
        <w:t>, P05, P06, P0</w:t>
      </w:r>
      <w:r>
        <w:t>7</w:t>
      </w:r>
      <w:r w:rsidRPr="00472EAE">
        <w:t>, P0</w:t>
      </w:r>
      <w:r>
        <w:t>8</w:t>
      </w:r>
      <w:r w:rsidRPr="00472EAE">
        <w:t>, P</w:t>
      </w:r>
      <w:r>
        <w:t>09</w:t>
      </w:r>
      <w:r w:rsidRPr="00472EAE">
        <w:t>, P12, P1</w:t>
      </w:r>
      <w:r>
        <w:t>3</w:t>
      </w:r>
      <w:r w:rsidRPr="00472EAE">
        <w:t>, P1</w:t>
      </w:r>
      <w:r>
        <w:t>4</w:t>
      </w:r>
      <w:r w:rsidRPr="00472EAE">
        <w:t>, P1</w:t>
      </w:r>
      <w:r>
        <w:t>5</w:t>
      </w:r>
      <w:r w:rsidRPr="00472EAE">
        <w:t>, P1</w:t>
      </w:r>
      <w:r>
        <w:t>6</w:t>
      </w:r>
      <w:r w:rsidRPr="00472EAE">
        <w:t>, P</w:t>
      </w:r>
      <w:r>
        <w:t>17</w:t>
      </w:r>
      <w:r w:rsidRPr="00472EAE">
        <w:t>, P</w:t>
      </w:r>
      <w:r>
        <w:t>18</w:t>
      </w:r>
      <w:r w:rsidRPr="00472EAE">
        <w:t>, P</w:t>
      </w:r>
      <w:r>
        <w:t>21</w:t>
      </w:r>
      <w:r w:rsidRPr="00472EAE">
        <w:t>, P2</w:t>
      </w:r>
      <w:r>
        <w:t>2</w:t>
      </w:r>
      <w:r w:rsidRPr="00472EAE">
        <w:t>, P2</w:t>
      </w:r>
      <w:r>
        <w:t>3</w:t>
      </w:r>
      <w:r w:rsidRPr="00472EAE">
        <w:t>, P2</w:t>
      </w:r>
      <w:r>
        <w:t>4</w:t>
      </w:r>
      <w:r w:rsidRPr="00472EAE">
        <w:t>, P2</w:t>
      </w:r>
      <w:r>
        <w:t>5</w:t>
      </w:r>
      <w:r w:rsidRPr="00472EAE">
        <w:t>, P2</w:t>
      </w:r>
      <w:r>
        <w:t>6</w:t>
      </w:r>
      <w:r w:rsidRPr="00472EAE">
        <w:t>, P2</w:t>
      </w:r>
      <w:r>
        <w:t>7</w:t>
      </w:r>
      <w:r w:rsidRPr="00472EAE">
        <w:t>. Collectively, both the couch shifts in the AP and superior-inferior (SI) directions</w:t>
      </w:r>
      <w:r>
        <w:t xml:space="preserve"> have a statistically impact on the NTCPs of the bladder.</w:t>
      </w:r>
      <w:r w:rsidR="005028C7">
        <w:t xml:space="preserve"> Notably, in this study, the NTCPs of the bladder were </w:t>
      </w:r>
      <w:r w:rsidR="005028C7" w:rsidRPr="005028C7">
        <w:t>negligibly small</w:t>
      </w:r>
      <w:r w:rsidR="005028C7">
        <w:t>.</w:t>
      </w:r>
    </w:p>
    <w:sectPr w:rsidR="00472EAE" w:rsidRPr="00AC2D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19232" w14:textId="77777777" w:rsidR="00506C56" w:rsidRDefault="00506C56" w:rsidP="00E80180">
      <w:pPr>
        <w:spacing w:line="240" w:lineRule="auto"/>
      </w:pPr>
      <w:r>
        <w:separator/>
      </w:r>
    </w:p>
  </w:endnote>
  <w:endnote w:type="continuationSeparator" w:id="0">
    <w:p w14:paraId="563AB748" w14:textId="77777777" w:rsidR="00506C56" w:rsidRDefault="00506C56" w:rsidP="00E801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37CE1" w14:textId="77777777" w:rsidR="00506C56" w:rsidRDefault="00506C56" w:rsidP="00E80180">
      <w:pPr>
        <w:spacing w:line="240" w:lineRule="auto"/>
      </w:pPr>
      <w:r>
        <w:separator/>
      </w:r>
    </w:p>
  </w:footnote>
  <w:footnote w:type="continuationSeparator" w:id="0">
    <w:p w14:paraId="3C570FDE" w14:textId="77777777" w:rsidR="00506C56" w:rsidRDefault="00506C56" w:rsidP="00E8018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3E"/>
    <w:rsid w:val="00054D8F"/>
    <w:rsid w:val="001D0602"/>
    <w:rsid w:val="003B078A"/>
    <w:rsid w:val="00472EAE"/>
    <w:rsid w:val="005028C7"/>
    <w:rsid w:val="00506C56"/>
    <w:rsid w:val="005F72EB"/>
    <w:rsid w:val="006B0DA7"/>
    <w:rsid w:val="00717652"/>
    <w:rsid w:val="008B0C6B"/>
    <w:rsid w:val="00A503EE"/>
    <w:rsid w:val="00A6453E"/>
    <w:rsid w:val="00AC2DF3"/>
    <w:rsid w:val="00AE3FA3"/>
    <w:rsid w:val="00C321C3"/>
    <w:rsid w:val="00D0583E"/>
    <w:rsid w:val="00DC5096"/>
    <w:rsid w:val="00DF3686"/>
    <w:rsid w:val="00E80180"/>
    <w:rsid w:val="00E87620"/>
    <w:rsid w:val="00EF3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A093B"/>
  <w15:chartTrackingRefBased/>
  <w15:docId w15:val="{DDDFA75A-E541-4CCE-A739-859B5F08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FA3"/>
    <w:rPr>
      <w:rFonts w:ascii="Times New Roman" w:eastAsia="宋体" w:hAnsi="Times New Roman"/>
      <w:sz w:val="24"/>
    </w:rPr>
  </w:style>
  <w:style w:type="paragraph" w:styleId="1">
    <w:name w:val="heading 1"/>
    <w:basedOn w:val="a"/>
    <w:next w:val="a"/>
    <w:link w:val="10"/>
    <w:uiPriority w:val="9"/>
    <w:qFormat/>
    <w:rsid w:val="00AE3FA3"/>
    <w:pPr>
      <w:keepNext/>
      <w:keepLines/>
      <w:spacing w:beforeLines="100" w:before="100" w:afterLines="100" w:after="100"/>
      <w:jc w:val="center"/>
      <w:outlineLvl w:val="0"/>
    </w:pPr>
    <w:rPr>
      <w:b/>
      <w:bCs/>
      <w:kern w:val="44"/>
      <w:sz w:val="30"/>
      <w:szCs w:val="44"/>
    </w:rPr>
  </w:style>
  <w:style w:type="paragraph" w:styleId="2">
    <w:name w:val="heading 2"/>
    <w:basedOn w:val="a"/>
    <w:next w:val="a"/>
    <w:link w:val="20"/>
    <w:uiPriority w:val="9"/>
    <w:unhideWhenUsed/>
    <w:qFormat/>
    <w:rsid w:val="00AE3FA3"/>
    <w:pPr>
      <w:keepNext/>
      <w:keepLines/>
      <w:spacing w:beforeLines="100" w:before="100" w:afterLines="100" w:after="100"/>
      <w:jc w:val="center"/>
      <w:outlineLvl w:val="1"/>
    </w:pPr>
    <w:rPr>
      <w:rFonts w:cstheme="majorBidi"/>
      <w:b/>
      <w:bCs/>
      <w:sz w:val="30"/>
      <w:szCs w:val="32"/>
    </w:rPr>
  </w:style>
  <w:style w:type="paragraph" w:styleId="3">
    <w:name w:val="heading 3"/>
    <w:basedOn w:val="a"/>
    <w:next w:val="a"/>
    <w:link w:val="30"/>
    <w:uiPriority w:val="9"/>
    <w:unhideWhenUsed/>
    <w:qFormat/>
    <w:rsid w:val="00AE3FA3"/>
    <w:pPr>
      <w:keepNext/>
      <w:keepLines/>
      <w:spacing w:beforeLines="100" w:before="312" w:afterLines="100" w:after="312"/>
      <w:jc w:val="center"/>
      <w:outlineLvl w:val="2"/>
    </w:pPr>
    <w:rPr>
      <w:b/>
      <w:bCs/>
      <w:szCs w:val="24"/>
    </w:rPr>
  </w:style>
  <w:style w:type="paragraph" w:styleId="4">
    <w:name w:val="heading 4"/>
    <w:basedOn w:val="3"/>
    <w:next w:val="a"/>
    <w:link w:val="40"/>
    <w:uiPriority w:val="9"/>
    <w:unhideWhenUsed/>
    <w:qFormat/>
    <w:rsid w:val="00AE3FA3"/>
    <w:pPr>
      <w:jc w:val="left"/>
      <w:outlineLvl w:val="3"/>
    </w:pPr>
  </w:style>
  <w:style w:type="paragraph" w:styleId="5">
    <w:name w:val="heading 5"/>
    <w:basedOn w:val="4"/>
    <w:next w:val="a"/>
    <w:link w:val="50"/>
    <w:uiPriority w:val="9"/>
    <w:unhideWhenUsed/>
    <w:qFormat/>
    <w:rsid w:val="00AE3FA3"/>
    <w:pPr>
      <w:outlineLvl w:val="4"/>
    </w:pPr>
  </w:style>
  <w:style w:type="paragraph" w:styleId="6">
    <w:name w:val="heading 6"/>
    <w:basedOn w:val="5"/>
    <w:next w:val="a"/>
    <w:link w:val="60"/>
    <w:uiPriority w:val="9"/>
    <w:unhideWhenUsed/>
    <w:qFormat/>
    <w:rsid w:val="00AE3FA3"/>
    <w:pPr>
      <w:outlineLvl w:val="5"/>
    </w:pPr>
  </w:style>
  <w:style w:type="paragraph" w:styleId="7">
    <w:name w:val="heading 7"/>
    <w:basedOn w:val="6"/>
    <w:next w:val="a"/>
    <w:link w:val="70"/>
    <w:uiPriority w:val="9"/>
    <w:unhideWhenUsed/>
    <w:qFormat/>
    <w:rsid w:val="00AE3FA3"/>
    <w:pPr>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E3FA3"/>
    <w:rPr>
      <w:rFonts w:ascii="Times New Roman" w:eastAsia="宋体" w:hAnsi="Times New Roman"/>
      <w:b/>
      <w:bCs/>
      <w:kern w:val="44"/>
      <w:sz w:val="30"/>
      <w:szCs w:val="44"/>
    </w:rPr>
  </w:style>
  <w:style w:type="character" w:customStyle="1" w:styleId="20">
    <w:name w:val="标题 2 字符"/>
    <w:basedOn w:val="a0"/>
    <w:link w:val="2"/>
    <w:uiPriority w:val="9"/>
    <w:rsid w:val="00AE3FA3"/>
    <w:rPr>
      <w:rFonts w:ascii="Times New Roman" w:eastAsia="宋体" w:hAnsi="Times New Roman" w:cstheme="majorBidi"/>
      <w:b/>
      <w:bCs/>
      <w:sz w:val="30"/>
      <w:szCs w:val="32"/>
    </w:rPr>
  </w:style>
  <w:style w:type="character" w:customStyle="1" w:styleId="30">
    <w:name w:val="标题 3 字符"/>
    <w:basedOn w:val="a0"/>
    <w:link w:val="3"/>
    <w:uiPriority w:val="9"/>
    <w:rsid w:val="00AE3FA3"/>
    <w:rPr>
      <w:rFonts w:ascii="Times New Roman" w:eastAsia="宋体" w:hAnsi="Times New Roman"/>
      <w:b/>
      <w:bCs/>
      <w:sz w:val="24"/>
      <w:szCs w:val="24"/>
    </w:rPr>
  </w:style>
  <w:style w:type="character" w:customStyle="1" w:styleId="40">
    <w:name w:val="标题 4 字符"/>
    <w:basedOn w:val="a0"/>
    <w:link w:val="4"/>
    <w:uiPriority w:val="9"/>
    <w:rsid w:val="00AE3FA3"/>
    <w:rPr>
      <w:rFonts w:ascii="Times New Roman" w:eastAsia="宋体" w:hAnsi="Times New Roman"/>
      <w:b/>
      <w:bCs/>
      <w:sz w:val="24"/>
      <w:szCs w:val="24"/>
    </w:rPr>
  </w:style>
  <w:style w:type="character" w:customStyle="1" w:styleId="50">
    <w:name w:val="标题 5 字符"/>
    <w:basedOn w:val="a0"/>
    <w:link w:val="5"/>
    <w:uiPriority w:val="9"/>
    <w:rsid w:val="00AE3FA3"/>
    <w:rPr>
      <w:rFonts w:ascii="Times New Roman" w:eastAsia="宋体" w:hAnsi="Times New Roman"/>
      <w:b/>
      <w:bCs/>
      <w:sz w:val="24"/>
      <w:szCs w:val="24"/>
    </w:rPr>
  </w:style>
  <w:style w:type="character" w:customStyle="1" w:styleId="60">
    <w:name w:val="标题 6 字符"/>
    <w:basedOn w:val="a0"/>
    <w:link w:val="6"/>
    <w:uiPriority w:val="9"/>
    <w:rsid w:val="00AE3FA3"/>
    <w:rPr>
      <w:rFonts w:ascii="Times New Roman" w:eastAsia="宋体" w:hAnsi="Times New Roman"/>
      <w:b/>
      <w:bCs/>
      <w:sz w:val="24"/>
      <w:szCs w:val="24"/>
    </w:rPr>
  </w:style>
  <w:style w:type="character" w:customStyle="1" w:styleId="70">
    <w:name w:val="标题 7 字符"/>
    <w:basedOn w:val="a0"/>
    <w:link w:val="7"/>
    <w:uiPriority w:val="9"/>
    <w:rsid w:val="00AE3FA3"/>
    <w:rPr>
      <w:rFonts w:ascii="Times New Roman" w:eastAsia="宋体" w:hAnsi="Times New Roman"/>
      <w:b/>
      <w:bCs/>
      <w:sz w:val="24"/>
      <w:szCs w:val="24"/>
    </w:rPr>
  </w:style>
  <w:style w:type="paragraph" w:styleId="a3">
    <w:name w:val="header"/>
    <w:basedOn w:val="a"/>
    <w:link w:val="a4"/>
    <w:uiPriority w:val="99"/>
    <w:unhideWhenUsed/>
    <w:rsid w:val="00E80180"/>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E80180"/>
    <w:rPr>
      <w:rFonts w:ascii="Times New Roman" w:eastAsia="宋体" w:hAnsi="Times New Roman"/>
      <w:sz w:val="18"/>
      <w:szCs w:val="18"/>
    </w:rPr>
  </w:style>
  <w:style w:type="paragraph" w:styleId="a5">
    <w:name w:val="footer"/>
    <w:basedOn w:val="a"/>
    <w:link w:val="a6"/>
    <w:uiPriority w:val="99"/>
    <w:unhideWhenUsed/>
    <w:rsid w:val="00E80180"/>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E80180"/>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xiangbin</dc:creator>
  <cp:keywords/>
  <dc:description/>
  <cp:lastModifiedBy>Jone Rune</cp:lastModifiedBy>
  <cp:revision>6</cp:revision>
  <dcterms:created xsi:type="dcterms:W3CDTF">2021-09-01T00:44:00Z</dcterms:created>
  <dcterms:modified xsi:type="dcterms:W3CDTF">2022-02-09T02:02:00Z</dcterms:modified>
</cp:coreProperties>
</file>