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Supplementary Materials</w:t>
      </w:r>
    </w:p>
    <w:p>
      <w:pPr>
        <w:pStyle w:val="3"/>
        <w:bidi w:val="0"/>
        <w:jc w:val="left"/>
        <w:rPr>
          <w:rFonts w:hint="eastAsia" w:ascii="Times New Roman" w:hAnsi="Times New Roman" w:cs="Times New Roman"/>
          <w:sz w:val="21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1"/>
          <w:szCs w:val="20"/>
          <w:lang w:val="en-US" w:eastAsia="zh-CN"/>
        </w:rPr>
        <w:t>S1</w:t>
      </w:r>
      <w:r>
        <w:rPr>
          <w:rFonts w:hint="default" w:ascii="Times New Roman" w:hAnsi="Times New Roman" w:cs="Times New Roman"/>
          <w:sz w:val="21"/>
          <w:szCs w:val="20"/>
          <w:lang w:val="en-US" w:eastAsia="zh-CN"/>
        </w:rPr>
        <w:t xml:space="preserve">: Differences of clinicopathological characteristics between the training and </w:t>
      </w:r>
      <w:r>
        <w:rPr>
          <w:rFonts w:hint="eastAsia" w:ascii="Times New Roman" w:hAnsi="Times New Roman" w:cs="Times New Roman"/>
          <w:sz w:val="21"/>
          <w:szCs w:val="20"/>
          <w:lang w:val="en-US" w:eastAsia="zh-CN"/>
        </w:rPr>
        <w:t>test</w:t>
      </w:r>
      <w:r>
        <w:rPr>
          <w:rFonts w:hint="default" w:ascii="Times New Roman" w:hAnsi="Times New Roman" w:cs="Times New Roman"/>
          <w:sz w:val="21"/>
          <w:szCs w:val="20"/>
          <w:lang w:val="en-US" w:eastAsia="zh-CN"/>
        </w:rPr>
        <w:t xml:space="preserve"> sets.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1979"/>
        <w:gridCol w:w="1894"/>
        <w:gridCol w:w="1404"/>
        <w:gridCol w:w="883"/>
      </w:tblGrid>
      <w:tr>
        <w:trPr>
          <w:trHeight w:val="600" w:hRule="atLeast"/>
        </w:trPr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 set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(n=235)</w:t>
            </w: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set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(n=99)</w:t>
            </w:r>
          </w:p>
        </w:tc>
        <w:tc>
          <w:tcPr>
            <w:tcW w:w="8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(n=334)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116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(99.6%)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(98.0%)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 (99.1%)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(2.0%)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(0.9%)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≥56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 (57.9%)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(55.6%)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 (57.2%)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 (42.1%)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(44.4%)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 (42.8%)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Tumour location 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UOQ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 (51.1%)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(54.5%)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 (52.1%)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non-UOQ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 (48.9%)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(45.5%)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 (47.9%)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BSGI features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TNR(CC)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 (52.8%)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(49.5%)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(51.8%)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 (47.2%)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(50.5%)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 (48.2%)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TNR(MLO)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 (50.6%)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(43.4%)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 (48.5%)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 (49.4%)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 (56.6%)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 (51.5%)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Axillary mass satus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 (77.4%)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(71.7%)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 (75.7%)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 (22.6%)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(28.3%)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 (24.3%)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Ultrasonic features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echogenicity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(97.4%)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(97.0%)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 (97.3%)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(3.0%)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(2.7%)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Transverse diameter of tumour (mm)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≥22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 (46.8%)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(45.5%)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 (46.4%)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6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 (53.2%)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(54.5%)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 (53.6%)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6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Longitudinal diameter of tumour (mm)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6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 (46.4%)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＜13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 (53.6%)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margin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irregular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(99.6%)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(97.0%)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 (98.8%)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(3.0%)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CDFI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signal (0)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(14.5%)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(13.1%)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(14.1%)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spot (I)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(8.9%)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(6.1%)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(8.1%)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linear (II)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 (44.7%)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(48.5%)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 (45.8%)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abundant (III)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(31.9%)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(32.3%)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 (32.0%)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Tumour RI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(54.9%)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(54.5%)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 (54.8%)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&gt;0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(45.1%)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45(45.5%)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(45.2%)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Lymphatic echogenicity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cystic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(35.7%)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(32.3%)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 (34.7%)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hypoechoic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 (33.6%)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(30.3%)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 (32.6%)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hyperechoic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 (28.9%)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(37.4%)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 (31.4%)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Transverse diameter of lymph nodes (mm)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(35.7%)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(32.3%)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 (34.7%)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9.5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(14.0%)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(18.2%)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(15.3%)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≥9.5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 (50.3%)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(49.5%)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 (50.0%)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Longitudinal diameter of lymph nodes (mm)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(35.7%)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(32.3%)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 (34.7%)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＜5.1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(21.7%)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(25.3%)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(22.8%)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≥5.1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(42.6%)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(42.4%)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 (42.5%)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Absence of lymph node hilum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no or not described 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(98.3%)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(97.0%)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 (97.9%)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(3.0%)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Lymphatic CDFI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signal (0)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 (75.3%)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(72.7%)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 (74.6%)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spot (I)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(5.1%)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(5.1%)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(5.1%)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linear (II)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(13.2%)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(13.1%)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(13.2%)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abundant (III)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(9.1%)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(7.2%)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Lymphatic RI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 (95.7%)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 (92.9%)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 (94.9%)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&gt;0</w:t>
            </w:r>
            <w:bookmarkStart w:id="0" w:name="_GoBack"/>
            <w:bookmarkEnd w:id="0"/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(4.3%)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7(7.1%)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(5.1%)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Pathological features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Infiltration depth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 situ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(3.0%)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(6.1%)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(3.9%)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infiltrative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(94.9%)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(88.9%)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 (93.1%)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(5.1%)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Histologic type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ductal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(93.6%)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 (90.9%)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 (92.8%)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lobular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(3.0%)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(3.0%)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(3.0%)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(6.1%)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(4.2%)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SBR grade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(12.8%)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(17.2%)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(14.1%)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(5.1%)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(3.9%)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(41.3%)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(37.4%)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 (40.1%)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(42.6%)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(40.4%)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(41.9%)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Estrogen receptor status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(24.3%)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(32.3%)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 (26.6%)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 (75.7%)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(67.7%)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 (73.4%)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Progesterone receptor status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 (34.0%)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(44.4%)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 (37.1%)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 (66.0%)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(55.6%)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(62.9%)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Proliferation index (Ki-67)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14%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(22.1%)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(16.2%)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 (20.4%)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≥14%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 (77.9%)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 (83.8%)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 (79.6%)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Her-2 overexpression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 (73.2%)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 (73.7%)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 (73.4%)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 (26.8%)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(26.3%)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 (26.6%)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Molecular subtype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Luminal A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(18.3%)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(9.1%)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(15.6%)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Luminal B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(57.4%)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 (58.6%)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 (57.8%)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Her2 positive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(11.5%)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(18.2%)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(13.5%)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Triple negative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(12.8%)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(14.1%)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(13.2%)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lymphovascular invasion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(87.7%)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 (79.8%)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 (85.3%)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(12.3%)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(20.2%)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(14.7%)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Multifocality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(97.4%)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(98.0%)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 (97.6%)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(2.6%)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(2.0%)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(2.4%)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stage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(3.0%)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(6.1%)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(3.9%)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 (51.9%)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(51.5%)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(51.8%)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(41.7%)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(38.4%)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 (40.7%)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(3.4%)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(3.6%)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 stage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N0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 (60.9%)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 (60.6%)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(60.8%)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N1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(20.9%)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(21.2%)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(21.0%)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N2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(11.9%)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(10.1%)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(11.4%)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(6.3%)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(8.1%)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(6.8%)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Axillary lymph node metastasis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 (39.1%)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 (39.4%)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 (39.2%)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85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 (60.9%)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 (60.6%)</w:t>
            </w:r>
          </w:p>
        </w:tc>
        <w:tc>
          <w:tcPr>
            <w:tcW w:w="82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(60.8%)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</w:tbl>
    <w:p>
      <w:pPr>
        <w:pStyle w:val="3"/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UOQ: Upper-outer quadrant; BSGI: breast specific gamma image; TNR: tumour-to-normal lesion ratio; CC: craniocaudal; MLO: mediolateral oblique; CDFI: color Doppler flow imaging; SBR grade: Scarff-Bloom-Richardson grade.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5394960" cy="1868170"/>
            <wp:effectExtent l="0" t="0" r="15240" b="11430"/>
            <wp:docPr id="1" name="图片 1" descr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S1</w:t>
      </w:r>
      <w:r>
        <w:rPr>
          <w:rFonts w:hint="default" w:ascii="Times New Roman" w:hAnsi="Times New Roman" w:cs="Times New Roman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lang w:val="en-US" w:eastAsia="zh-CN"/>
        </w:rPr>
        <w:t>Variable</w:t>
      </w:r>
      <w:r>
        <w:rPr>
          <w:rFonts w:hint="default" w:ascii="Times New Roman" w:hAnsi="Times New Roman" w:cs="Times New Roman"/>
          <w:lang w:val="en-US" w:eastAsia="zh-CN"/>
        </w:rPr>
        <w:t>s selection</w:t>
      </w:r>
      <w:r>
        <w:rPr>
          <w:rFonts w:hint="eastAsia" w:ascii="Times New Roman" w:hAnsi="Times New Roman" w:cs="Times New Roman"/>
          <w:lang w:val="en-US" w:eastAsia="zh-CN"/>
        </w:rPr>
        <w:t xml:space="preserve"> with REF method</w:t>
      </w:r>
      <w:r>
        <w:rPr>
          <w:rFonts w:hint="default" w:ascii="Times New Roman" w:hAnsi="Times New Roman" w:cs="Times New Roman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hint="default" w:ascii="Times New Roman" w:hAnsi="Times New Roman" w:cs="Times New Roman"/>
          <w:lang w:val="en-US" w:eastAsia="zh-CN"/>
        </w:rPr>
        <w:t>A</w:t>
      </w:r>
      <w:r>
        <w:rPr>
          <w:rFonts w:hint="eastAsia" w:ascii="Times New Roman" w:hAnsi="Times New Roman" w:cs="Times New Roman"/>
          <w:lang w:val="en-US" w:eastAsia="zh-CN"/>
        </w:rPr>
        <w:t>)</w:t>
      </w:r>
      <w:r>
        <w:rPr>
          <w:rFonts w:hint="default" w:ascii="Times New Roman" w:hAnsi="Times New Roman" w:cs="Times New Roman"/>
          <w:lang w:val="en-US" w:eastAsia="zh-CN"/>
        </w:rPr>
        <w:t xml:space="preserve"> The line graph shows the relationship between the number of candidate </w:t>
      </w:r>
      <w:r>
        <w:rPr>
          <w:rFonts w:hint="eastAsia" w:ascii="Times New Roman" w:hAnsi="Times New Roman" w:cs="Times New Roman"/>
          <w:lang w:val="en-US" w:eastAsia="zh-CN"/>
        </w:rPr>
        <w:t>variable</w:t>
      </w:r>
      <w:r>
        <w:rPr>
          <w:rFonts w:hint="default" w:ascii="Times New Roman" w:hAnsi="Times New Roman" w:cs="Times New Roman"/>
          <w:lang w:val="en-US" w:eastAsia="zh-CN"/>
        </w:rPr>
        <w:t xml:space="preserve">s and the </w:t>
      </w:r>
      <w:r>
        <w:rPr>
          <w:rFonts w:hint="eastAsia" w:ascii="Times New Roman" w:hAnsi="Times New Roman" w:cs="Times New Roman"/>
          <w:lang w:val="en-US" w:eastAsia="zh-CN"/>
        </w:rPr>
        <w:t>accuracy</w:t>
      </w:r>
      <w:r>
        <w:rPr>
          <w:rFonts w:hint="default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 w:cs="Times New Roman"/>
          <w:lang w:val="en-US" w:eastAsia="zh-CN"/>
        </w:rPr>
        <w:t>each algorithm</w:t>
      </w:r>
      <w:r>
        <w:rPr>
          <w:rFonts w:hint="default" w:ascii="Times New Roman" w:hAnsi="Times New Roman" w:cs="Times New Roman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hint="default" w:ascii="Times New Roman" w:hAnsi="Times New Roman" w:cs="Times New Roman"/>
          <w:lang w:val="en-US" w:eastAsia="zh-CN"/>
        </w:rPr>
        <w:t>B</w:t>
      </w:r>
      <w:r>
        <w:rPr>
          <w:rFonts w:hint="eastAsia" w:ascii="Times New Roman" w:hAnsi="Times New Roman" w:cs="Times New Roman"/>
          <w:lang w:val="en-US" w:eastAsia="zh-CN"/>
        </w:rPr>
        <w:t>)</w:t>
      </w:r>
      <w:r>
        <w:rPr>
          <w:rFonts w:hint="default" w:ascii="Times New Roman" w:hAnsi="Times New Roman" w:cs="Times New Roman"/>
          <w:lang w:val="en-US" w:eastAsia="zh-CN"/>
        </w:rPr>
        <w:t xml:space="preserve"> The line graph shows the relationship between the number of candidate </w:t>
      </w:r>
      <w:r>
        <w:rPr>
          <w:rFonts w:hint="eastAsia" w:ascii="Times New Roman" w:hAnsi="Times New Roman" w:cs="Times New Roman"/>
          <w:lang w:val="en-US" w:eastAsia="zh-CN"/>
        </w:rPr>
        <w:t>variable</w:t>
      </w:r>
      <w:r>
        <w:rPr>
          <w:rFonts w:hint="default" w:ascii="Times New Roman" w:hAnsi="Times New Roman" w:cs="Times New Roman"/>
          <w:lang w:val="en-US" w:eastAsia="zh-CN"/>
        </w:rPr>
        <w:t>s and th</w:t>
      </w:r>
      <w:r>
        <w:rPr>
          <w:rFonts w:hint="eastAsia" w:ascii="Times New Roman" w:hAnsi="Times New Roman" w:cs="Times New Roman"/>
          <w:lang w:val="en-US" w:eastAsia="zh-CN"/>
        </w:rPr>
        <w:t>e Kappa values</w:t>
      </w:r>
      <w:r>
        <w:rPr>
          <w:rFonts w:hint="default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 w:cs="Times New Roman"/>
          <w:lang w:val="en-US" w:eastAsia="zh-CN"/>
        </w:rPr>
        <w:t>each algorithm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GLM: generalized linear model; RF: random forest; SVM: support vector machine; NNET: neural network; GBM: gradient boosting machine; XGB: </w:t>
      </w:r>
      <w:r>
        <w:rPr>
          <w:rFonts w:hint="default" w:ascii="Times New Roman" w:hAnsi="Times New Roman" w:cs="Times New Roman"/>
          <w:lang w:val="en-US" w:eastAsia="zh-CN"/>
        </w:rPr>
        <w:t>extreme boosting machine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numPr>
          <w:ilvl w:val="0"/>
          <w:numId w:val="0"/>
        </w:numPr>
        <w:rPr>
          <w:rFonts w:hint="default" w:ascii="Times New Roman" w:hAnsi="Times New Roman" w:eastAsia="Times New Roman"/>
          <w:color w:val="000000"/>
          <w:sz w:val="21"/>
          <w:szCs w:val="21"/>
          <w:lang w:eastAsia="zh-CN"/>
        </w:rPr>
      </w:pPr>
      <w:r>
        <w:rPr>
          <w:rFonts w:hint="default" w:ascii="Times New Roman" w:hAnsi="Times New Roman" w:eastAsia="Times New Roman"/>
          <w:color w:val="000000"/>
          <w:sz w:val="21"/>
          <w:szCs w:val="21"/>
          <w:lang w:eastAsia="zh-CN"/>
        </w:rPr>
        <w:t>Table S2: The best hyperparameters of different machine learning models in evalution of variables importance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1048"/>
        <w:gridCol w:w="1099"/>
        <w:gridCol w:w="969"/>
        <w:gridCol w:w="1443"/>
        <w:gridCol w:w="1053"/>
        <w:gridCol w:w="884"/>
        <w:gridCol w:w="1181"/>
      </w:tblGrid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 model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231F2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GLM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alpha: 0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lambda:0.5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RF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ntree: 500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mtry:1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SVM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sigma: 0.5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cost: 0.001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NNET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size: 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decay: 0.1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nums of trees:1000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interaction depth: 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shrinkage: 0.01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nums of minobsinnode: 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XGB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nrounds: 1000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max depth: 20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eta: 0.5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gamma: 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colsample by tree: 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 child weight: 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subsample:0.8</w:t>
            </w: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eastAsia="Times New Roman"/>
          <w:color w:val="000000"/>
          <w:sz w:val="20"/>
          <w:szCs w:val="24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ML: machine learning; GLM: generalized linear model; RF: random forest; SVM: support vector machine; NNET: neural network; GBM: gradient boosting machine; XGB: extreme boosting machine</w:t>
      </w:r>
      <w:r>
        <w:rPr>
          <w:rFonts w:hint="default" w:ascii="Times New Roman" w:hAnsi="Times New Roman" w:cs="Times New Roman"/>
          <w:lang w:eastAsia="zh-CN"/>
        </w:rPr>
        <w:t>.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F6B5B"/>
    <w:rsid w:val="27F7000C"/>
    <w:rsid w:val="78FF6B5B"/>
    <w:rsid w:val="FBC9F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pPr>
      <w:spacing w:after="80"/>
      <w:jc w:val="center"/>
    </w:pPr>
    <w:rPr>
      <w:iCs/>
      <w:color w:val="000000"/>
      <w:sz w:val="20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2022-05-19T07:51:00Z</dcterms:created>
  <dc:creator>wuqian</dc:creator>
  <cp:lastModifiedBy>吴茜</cp:lastModifiedBy>
  <dcterms:modified xsi:type="dcterms:W3CDTF">2024-01-05T17:14:24Z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92D7A0FB4E624543E8C0966542E8D945_42</vt:lpwstr>
  </property>
</Properties>
</file>