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D32" w:rsidRPr="00345D32" w:rsidRDefault="00345D32" w:rsidP="00345D32">
      <w:pPr>
        <w:widowControl/>
        <w:spacing w:before="100" w:beforeAutospacing="1" w:after="100" w:afterAutospacing="1"/>
        <w:outlineLvl w:val="2"/>
        <w:rPr>
          <w:rFonts w:ascii="Times New Roman" w:eastAsia="宋体" w:hAnsi="Times New Roman" w:cs="Times New Roman"/>
          <w:b/>
          <w:bCs/>
          <w:kern w:val="0"/>
          <w:sz w:val="27"/>
          <w:szCs w:val="27"/>
        </w:rPr>
      </w:pPr>
      <w:r w:rsidRPr="00345D32">
        <w:rPr>
          <w:rFonts w:ascii="Times New Roman" w:eastAsia="宋体" w:hAnsi="Times New Roman" w:cs="Times New Roman"/>
          <w:b/>
          <w:bCs/>
          <w:kern w:val="0"/>
          <w:sz w:val="27"/>
          <w:szCs w:val="27"/>
        </w:rPr>
        <w:t>Comparison of Dose Prediction Network Architectures</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b/>
          <w:bCs/>
          <w:kern w:val="0"/>
          <w:sz w:val="24"/>
          <w:szCs w:val="24"/>
        </w:rPr>
        <w:t>UNet</w:t>
      </w:r>
      <w:proofErr w:type="spellEnd"/>
      <w:r w:rsidRPr="00345D32">
        <w:rPr>
          <w:rFonts w:ascii="Times New Roman" w:eastAsia="宋体" w:hAnsi="Times New Roman" w:cs="Times New Roman"/>
          <w:b/>
          <w:bCs/>
          <w:kern w:val="0"/>
          <w:sz w:val="24"/>
          <w:szCs w:val="24"/>
        </w:rPr>
        <w:t>:</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kern w:val="0"/>
          <w:sz w:val="24"/>
          <w:szCs w:val="24"/>
        </w:rPr>
        <w:t>UNet</w:t>
      </w:r>
      <w:proofErr w:type="spellEnd"/>
      <w:r w:rsidRPr="00345D32">
        <w:rPr>
          <w:rFonts w:ascii="Times New Roman" w:eastAsia="宋体" w:hAnsi="Times New Roman" w:cs="Times New Roman"/>
          <w:kern w:val="0"/>
          <w:sz w:val="24"/>
          <w:szCs w:val="24"/>
        </w:rPr>
        <w:t xml:space="preserve"> uses </w:t>
      </w:r>
      <w:proofErr w:type="gramStart"/>
      <w:r w:rsidRPr="00345D32">
        <w:rPr>
          <w:rFonts w:ascii="Times New Roman" w:eastAsia="宋体" w:hAnsi="Times New Roman" w:cs="Times New Roman"/>
          <w:kern w:val="0"/>
          <w:sz w:val="24"/>
          <w:szCs w:val="24"/>
        </w:rPr>
        <w:t>a classic</w:t>
      </w:r>
      <w:proofErr w:type="gramEnd"/>
      <w:r w:rsidRPr="00345D32">
        <w:rPr>
          <w:rFonts w:ascii="Times New Roman" w:eastAsia="宋体" w:hAnsi="Times New Roman" w:cs="Times New Roman"/>
          <w:kern w:val="0"/>
          <w:sz w:val="24"/>
          <w:szCs w:val="24"/>
        </w:rPr>
        <w:t xml:space="preserve"> symmetric encoder-decoder architecture with skip connections to merge features at different scales. The encoder consists of multiple </w:t>
      </w:r>
      <w:proofErr w:type="spellStart"/>
      <w:r w:rsidRPr="00345D32">
        <w:rPr>
          <w:rFonts w:ascii="Times New Roman" w:eastAsia="宋体" w:hAnsi="Times New Roman" w:cs="Times New Roman"/>
          <w:kern w:val="0"/>
          <w:sz w:val="24"/>
          <w:szCs w:val="24"/>
        </w:rPr>
        <w:t>downsampling</w:t>
      </w:r>
      <w:proofErr w:type="spellEnd"/>
      <w:r w:rsidRPr="00345D32">
        <w:rPr>
          <w:rFonts w:ascii="Times New Roman" w:eastAsia="宋体" w:hAnsi="Times New Roman" w:cs="Times New Roman"/>
          <w:kern w:val="0"/>
          <w:sz w:val="24"/>
          <w:szCs w:val="24"/>
        </w:rPr>
        <w:t xml:space="preserve"> layers, where each layer uses stride convolutions for dimensionality reduction, followed by convolutional blocks (optionally with residual units) to extract features. The decoder progressively </w:t>
      </w:r>
      <w:proofErr w:type="spellStart"/>
      <w:r w:rsidRPr="00345D32">
        <w:rPr>
          <w:rFonts w:ascii="Times New Roman" w:eastAsia="宋体" w:hAnsi="Times New Roman" w:cs="Times New Roman"/>
          <w:kern w:val="0"/>
          <w:sz w:val="24"/>
          <w:szCs w:val="24"/>
        </w:rPr>
        <w:t>upsamples</w:t>
      </w:r>
      <w:proofErr w:type="spellEnd"/>
      <w:r w:rsidRPr="00345D32">
        <w:rPr>
          <w:rFonts w:ascii="Times New Roman" w:eastAsia="宋体" w:hAnsi="Times New Roman" w:cs="Times New Roman"/>
          <w:kern w:val="0"/>
          <w:sz w:val="24"/>
          <w:szCs w:val="24"/>
        </w:rPr>
        <w:t xml:space="preserve"> through transposed convolutions, combining features from the corresponding encoder layers to restore detail. This feature fusion, known as skip connections, ensures that low-level spatial information is directly passed to higher levels, addressing the issue of detail loss in deep networks. The input and output sizes must meet specific divisibility conditions (e.g., for stride=2, they must be multiples of 2</w:t>
      </w:r>
      <w:r w:rsidRPr="00345D32">
        <w:rPr>
          <w:rFonts w:ascii="Times New Roman" w:eastAsia="宋体" w:hAnsi="Times New Roman" w:cs="Times New Roman" w:hint="eastAsia"/>
          <w:kern w:val="0"/>
          <w:sz w:val="24"/>
          <w:szCs w:val="24"/>
          <w:vertAlign w:val="superscript"/>
        </w:rPr>
        <w:t>N</w:t>
      </w:r>
      <w:r w:rsidRPr="00345D32">
        <w:rPr>
          <w:rFonts w:ascii="Times New Roman" w:eastAsia="宋体" w:hAnsi="Times New Roman" w:cs="Times New Roman"/>
          <w:kern w:val="0"/>
          <w:sz w:val="24"/>
          <w:szCs w:val="24"/>
        </w:rPr>
        <w:t>), making it suitable for fixed-resolution medical image segmentation and dose prediction tasks. The model can incorporate residual units to improve gradient propagation efficiency.</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b/>
          <w:bCs/>
          <w:kern w:val="0"/>
          <w:sz w:val="24"/>
          <w:szCs w:val="24"/>
        </w:rPr>
        <w:t>FlexNet</w:t>
      </w:r>
      <w:proofErr w:type="spellEnd"/>
      <w:r w:rsidRPr="00345D32">
        <w:rPr>
          <w:rFonts w:ascii="Times New Roman" w:eastAsia="宋体" w:hAnsi="Times New Roman" w:cs="Times New Roman"/>
          <w:b/>
          <w:bCs/>
          <w:kern w:val="0"/>
          <w:sz w:val="24"/>
          <w:szCs w:val="24"/>
        </w:rPr>
        <w:t>:</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kern w:val="0"/>
          <w:sz w:val="24"/>
          <w:szCs w:val="24"/>
        </w:rPr>
        <w:t>FlexNet</w:t>
      </w:r>
      <w:proofErr w:type="spellEnd"/>
      <w:r w:rsidRPr="00345D32">
        <w:rPr>
          <w:rFonts w:ascii="Times New Roman" w:eastAsia="宋体" w:hAnsi="Times New Roman" w:cs="Times New Roman"/>
          <w:kern w:val="0"/>
          <w:sz w:val="24"/>
          <w:szCs w:val="24"/>
        </w:rPr>
        <w:t xml:space="preserve"> is a highly flexible architecture that supports anisotropic kernels and strides, adapting to multi-scale inputs. Its structure consists of an input block, multiple dynamic </w:t>
      </w:r>
      <w:proofErr w:type="spellStart"/>
      <w:r w:rsidRPr="00345D32">
        <w:rPr>
          <w:rFonts w:ascii="Times New Roman" w:eastAsia="宋体" w:hAnsi="Times New Roman" w:cs="Times New Roman"/>
          <w:kern w:val="0"/>
          <w:sz w:val="24"/>
          <w:szCs w:val="24"/>
        </w:rPr>
        <w:t>downsampling</w:t>
      </w:r>
      <w:proofErr w:type="spellEnd"/>
      <w:r w:rsidRPr="00345D32">
        <w:rPr>
          <w:rFonts w:ascii="Times New Roman" w:eastAsia="宋体" w:hAnsi="Times New Roman" w:cs="Times New Roman"/>
          <w:kern w:val="0"/>
          <w:sz w:val="24"/>
          <w:szCs w:val="24"/>
        </w:rPr>
        <w:t xml:space="preserve"> blocks, a bottleneck layer, and </w:t>
      </w:r>
      <w:proofErr w:type="spellStart"/>
      <w:r w:rsidRPr="00345D32">
        <w:rPr>
          <w:rFonts w:ascii="Times New Roman" w:eastAsia="宋体" w:hAnsi="Times New Roman" w:cs="Times New Roman"/>
          <w:kern w:val="0"/>
          <w:sz w:val="24"/>
          <w:szCs w:val="24"/>
        </w:rPr>
        <w:t>upsampling</w:t>
      </w:r>
      <w:proofErr w:type="spellEnd"/>
      <w:r w:rsidRPr="00345D32">
        <w:rPr>
          <w:rFonts w:ascii="Times New Roman" w:eastAsia="宋体" w:hAnsi="Times New Roman" w:cs="Times New Roman"/>
          <w:kern w:val="0"/>
          <w:sz w:val="24"/>
          <w:szCs w:val="24"/>
        </w:rPr>
        <w:t xml:space="preserve"> blocks, where the kernel size and stride of each layer can be independently configured. For example, in 3D data, different strides can be used in different directions. The network introduces a deep supervision mechanism, outputting multi-scale predictions from intermediate layers during training and optimizing them with weighted loss to enhance robustness. Additionally, residual connections are optional, and input sizes need to satisfy divisibility conditions across dimensions (e.g., strides</w:t>
      </w:r>
      <w:proofErr w:type="gramStart"/>
      <w:r w:rsidRPr="00345D32">
        <w:rPr>
          <w:rFonts w:ascii="Times New Roman" w:eastAsia="宋体" w:hAnsi="Times New Roman" w:cs="Times New Roman"/>
          <w:kern w:val="0"/>
          <w:sz w:val="24"/>
          <w:szCs w:val="24"/>
        </w:rPr>
        <w:t>=(</w:t>
      </w:r>
      <w:proofErr w:type="gramEnd"/>
      <w:r w:rsidRPr="00345D32">
        <w:rPr>
          <w:rFonts w:ascii="Times New Roman" w:eastAsia="宋体" w:hAnsi="Times New Roman" w:cs="Times New Roman"/>
          <w:kern w:val="0"/>
          <w:sz w:val="24"/>
          <w:szCs w:val="24"/>
        </w:rPr>
        <w:t>(1,2,4), 2) must divide 4×8×16). This design is particularly suitable for complex medical images (such as anisotropic CT/MRI) for dose prediction, with dynamic adjustment capabilities that significantly enhance model generalization.</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b/>
          <w:bCs/>
          <w:kern w:val="0"/>
          <w:sz w:val="24"/>
          <w:szCs w:val="24"/>
        </w:rPr>
        <w:t>HighResNet</w:t>
      </w:r>
      <w:proofErr w:type="spellEnd"/>
      <w:r w:rsidRPr="00345D32">
        <w:rPr>
          <w:rFonts w:ascii="Times New Roman" w:eastAsia="宋体" w:hAnsi="Times New Roman" w:cs="Times New Roman"/>
          <w:b/>
          <w:bCs/>
          <w:kern w:val="0"/>
          <w:sz w:val="24"/>
          <w:szCs w:val="24"/>
        </w:rPr>
        <w:t>:</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kern w:val="0"/>
          <w:sz w:val="24"/>
          <w:szCs w:val="24"/>
        </w:rPr>
        <w:t>HighResNet</w:t>
      </w:r>
      <w:proofErr w:type="spellEnd"/>
      <w:r w:rsidRPr="00345D32">
        <w:rPr>
          <w:rFonts w:ascii="Times New Roman" w:eastAsia="宋体" w:hAnsi="Times New Roman" w:cs="Times New Roman"/>
          <w:kern w:val="0"/>
          <w:sz w:val="24"/>
          <w:szCs w:val="24"/>
        </w:rPr>
        <w:t>, based on deep residual networks (</w:t>
      </w:r>
      <w:proofErr w:type="spellStart"/>
      <w:r w:rsidRPr="00345D32">
        <w:rPr>
          <w:rFonts w:ascii="Times New Roman" w:eastAsia="宋体" w:hAnsi="Times New Roman" w:cs="Times New Roman"/>
          <w:kern w:val="0"/>
          <w:sz w:val="24"/>
          <w:szCs w:val="24"/>
        </w:rPr>
        <w:t>ResNet</w:t>
      </w:r>
      <w:proofErr w:type="spellEnd"/>
      <w:r w:rsidRPr="00345D32">
        <w:rPr>
          <w:rFonts w:ascii="Times New Roman" w:eastAsia="宋体" w:hAnsi="Times New Roman" w:cs="Times New Roman"/>
          <w:kern w:val="0"/>
          <w:sz w:val="24"/>
          <w:szCs w:val="24"/>
        </w:rPr>
        <w:t xml:space="preserve">), is specifically designed for high-resolution 3D medical images. The network is composed of multiple stacked residual modules, each containing several convolutional layers and skip connections, gradually extracting complex features through repeated operations. To address channel mismatches, padding or projection strategies (such as zero-padding or 1×1 convolutions) are employed. After passing through several residual blocks, the input is processed through two 1×1 convolutions to output the dose distribution map. Its advantages lie in the deep structure and residual connections, which effectively mitigate gradient vanishing issues while preserving high-resolution details. It is ideal for 3D dose prediction tasks (such as radiation therapy planning), but the model </w:t>
      </w:r>
      <w:r w:rsidRPr="00345D32">
        <w:rPr>
          <w:rFonts w:ascii="Times New Roman" w:eastAsia="宋体" w:hAnsi="Times New Roman" w:cs="Times New Roman"/>
          <w:kern w:val="0"/>
          <w:sz w:val="24"/>
          <w:szCs w:val="24"/>
        </w:rPr>
        <w:lastRenderedPageBreak/>
        <w:t>requires high computational resources, necessitating a balance between depth and efficiency.</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r w:rsidRPr="00345D32">
        <w:rPr>
          <w:rFonts w:ascii="Times New Roman" w:eastAsia="宋体" w:hAnsi="Times New Roman" w:cs="Times New Roman"/>
          <w:b/>
          <w:bCs/>
          <w:kern w:val="0"/>
          <w:sz w:val="24"/>
          <w:szCs w:val="24"/>
        </w:rPr>
        <w:t>Application of Network Architectures in Dose Prediction:</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r w:rsidRPr="00345D32">
        <w:rPr>
          <w:rFonts w:ascii="Times New Roman" w:eastAsia="宋体" w:hAnsi="Times New Roman" w:cs="Times New Roman"/>
          <w:kern w:val="0"/>
          <w:sz w:val="24"/>
          <w:szCs w:val="24"/>
        </w:rPr>
        <w:t>The input layer integrates multi-modal data (CT images and contours) and encodes anatomical structures such as organs at risk as spatial masks, forming multi-channel inputs (e.g., CT voxel values + contour masks). The encoder-decoder architectures (</w:t>
      </w:r>
      <w:proofErr w:type="spellStart"/>
      <w:r w:rsidRPr="00345D32">
        <w:rPr>
          <w:rFonts w:ascii="Times New Roman" w:eastAsia="宋体" w:hAnsi="Times New Roman" w:cs="Times New Roman"/>
          <w:kern w:val="0"/>
          <w:sz w:val="24"/>
          <w:szCs w:val="24"/>
        </w:rPr>
        <w:t>UNet</w:t>
      </w:r>
      <w:proofErr w:type="spellEnd"/>
      <w:r w:rsidRPr="00345D32">
        <w:rPr>
          <w:rFonts w:ascii="Times New Roman" w:eastAsia="宋体" w:hAnsi="Times New Roman" w:cs="Times New Roman"/>
          <w:kern w:val="0"/>
          <w:sz w:val="24"/>
          <w:szCs w:val="24"/>
        </w:rPr>
        <w:t>/</w:t>
      </w:r>
      <w:proofErr w:type="spellStart"/>
      <w:r w:rsidRPr="00345D32">
        <w:rPr>
          <w:rFonts w:ascii="Times New Roman" w:eastAsia="宋体" w:hAnsi="Times New Roman" w:cs="Times New Roman"/>
          <w:kern w:val="0"/>
          <w:sz w:val="24"/>
          <w:szCs w:val="24"/>
        </w:rPr>
        <w:t>FlexNet</w:t>
      </w:r>
      <w:proofErr w:type="spellEnd"/>
      <w:r w:rsidRPr="00345D32">
        <w:rPr>
          <w:rFonts w:ascii="Times New Roman" w:eastAsia="宋体" w:hAnsi="Times New Roman" w:cs="Times New Roman"/>
          <w:kern w:val="0"/>
          <w:sz w:val="24"/>
          <w:szCs w:val="24"/>
        </w:rPr>
        <w:t>/</w:t>
      </w:r>
      <w:proofErr w:type="spellStart"/>
      <w:r w:rsidRPr="00345D32">
        <w:rPr>
          <w:rFonts w:ascii="Times New Roman" w:eastAsia="宋体" w:hAnsi="Times New Roman" w:cs="Times New Roman"/>
          <w:kern w:val="0"/>
          <w:sz w:val="24"/>
          <w:szCs w:val="24"/>
        </w:rPr>
        <w:t>HighResNet</w:t>
      </w:r>
      <w:proofErr w:type="spellEnd"/>
      <w:r w:rsidRPr="00345D32">
        <w:rPr>
          <w:rFonts w:ascii="Times New Roman" w:eastAsia="宋体" w:hAnsi="Times New Roman" w:cs="Times New Roman"/>
          <w:kern w:val="0"/>
          <w:sz w:val="24"/>
          <w:szCs w:val="24"/>
        </w:rPr>
        <w:t xml:space="preserve">) use cascaded </w:t>
      </w:r>
      <w:proofErr w:type="spellStart"/>
      <w:r w:rsidRPr="00345D32">
        <w:rPr>
          <w:rFonts w:ascii="Times New Roman" w:eastAsia="宋体" w:hAnsi="Times New Roman" w:cs="Times New Roman"/>
          <w:kern w:val="0"/>
          <w:sz w:val="24"/>
          <w:szCs w:val="24"/>
        </w:rPr>
        <w:t>downsampling</w:t>
      </w:r>
      <w:proofErr w:type="spellEnd"/>
      <w:r w:rsidRPr="00345D32">
        <w:rPr>
          <w:rFonts w:ascii="Times New Roman" w:eastAsia="宋体" w:hAnsi="Times New Roman" w:cs="Times New Roman"/>
          <w:kern w:val="0"/>
          <w:sz w:val="24"/>
          <w:szCs w:val="24"/>
        </w:rPr>
        <w:t xml:space="preserve"> layers (e.g., stride convolutions or anisotropic kernels) to extract multi-scale features: shallow layers capture local details (such as organ boundaries), while deep layers learn global dose distribution patterns (such as the relationship between dose gradients and organ constraints). The skip connection mechanism (</w:t>
      </w:r>
      <w:proofErr w:type="spellStart"/>
      <w:r w:rsidRPr="00345D32">
        <w:rPr>
          <w:rFonts w:ascii="Times New Roman" w:eastAsia="宋体" w:hAnsi="Times New Roman" w:cs="Times New Roman"/>
          <w:kern w:val="0"/>
          <w:sz w:val="24"/>
          <w:szCs w:val="24"/>
        </w:rPr>
        <w:t>UNet</w:t>
      </w:r>
      <w:proofErr w:type="spellEnd"/>
      <w:r w:rsidRPr="00345D32">
        <w:rPr>
          <w:rFonts w:ascii="Times New Roman" w:eastAsia="宋体" w:hAnsi="Times New Roman" w:cs="Times New Roman"/>
          <w:kern w:val="0"/>
          <w:sz w:val="24"/>
          <w:szCs w:val="24"/>
        </w:rPr>
        <w:t>/</w:t>
      </w:r>
      <w:proofErr w:type="spellStart"/>
      <w:r w:rsidRPr="00345D32">
        <w:rPr>
          <w:rFonts w:ascii="Times New Roman" w:eastAsia="宋体" w:hAnsi="Times New Roman" w:cs="Times New Roman"/>
          <w:kern w:val="0"/>
          <w:sz w:val="24"/>
          <w:szCs w:val="24"/>
        </w:rPr>
        <w:t>FlexNet</w:t>
      </w:r>
      <w:proofErr w:type="spellEnd"/>
      <w:r w:rsidRPr="00345D32">
        <w:rPr>
          <w:rFonts w:ascii="Times New Roman" w:eastAsia="宋体" w:hAnsi="Times New Roman" w:cs="Times New Roman"/>
          <w:kern w:val="0"/>
          <w:sz w:val="24"/>
          <w:szCs w:val="24"/>
        </w:rPr>
        <w:t>) or residual pathways (</w:t>
      </w:r>
      <w:proofErr w:type="spellStart"/>
      <w:r w:rsidRPr="00345D32">
        <w:rPr>
          <w:rFonts w:ascii="Times New Roman" w:eastAsia="宋体" w:hAnsi="Times New Roman" w:cs="Times New Roman"/>
          <w:kern w:val="0"/>
          <w:sz w:val="24"/>
          <w:szCs w:val="24"/>
        </w:rPr>
        <w:t>HighResNet</w:t>
      </w:r>
      <w:proofErr w:type="spellEnd"/>
      <w:r w:rsidRPr="00345D32">
        <w:rPr>
          <w:rFonts w:ascii="Times New Roman" w:eastAsia="宋体" w:hAnsi="Times New Roman" w:cs="Times New Roman"/>
          <w:kern w:val="0"/>
          <w:sz w:val="24"/>
          <w:szCs w:val="24"/>
        </w:rPr>
        <w:t xml:space="preserve">) fuse low-level features from the encoder with the </w:t>
      </w:r>
      <w:proofErr w:type="spellStart"/>
      <w:r w:rsidRPr="00345D32">
        <w:rPr>
          <w:rFonts w:ascii="Times New Roman" w:eastAsia="宋体" w:hAnsi="Times New Roman" w:cs="Times New Roman"/>
          <w:kern w:val="0"/>
          <w:sz w:val="24"/>
          <w:szCs w:val="24"/>
        </w:rPr>
        <w:t>upsampled</w:t>
      </w:r>
      <w:proofErr w:type="spellEnd"/>
      <w:r w:rsidRPr="00345D32">
        <w:rPr>
          <w:rFonts w:ascii="Times New Roman" w:eastAsia="宋体" w:hAnsi="Times New Roman" w:cs="Times New Roman"/>
          <w:kern w:val="0"/>
          <w:sz w:val="24"/>
          <w:szCs w:val="24"/>
        </w:rPr>
        <w:t xml:space="preserve"> results from the decoder to resolve detail loss in dose prediction (e.g., sharp dose transitions at tumor boundaries). The final output layer uses voxel-wise regression (rather than classification), generating continuous dose distribution maps through full convolution, and the loss function is typically a combination of dose differences (L1/L2 loss) and dose-volume histogram (DVH) constraints to optimize predictions for physical consistency.</w:t>
      </w:r>
    </w:p>
    <w:p w:rsidR="00345D32" w:rsidRPr="00345D32" w:rsidRDefault="00345D32" w:rsidP="00345D32">
      <w:pPr>
        <w:widowControl/>
        <w:spacing w:before="100" w:beforeAutospacing="1" w:after="100" w:afterAutospacing="1"/>
        <w:rPr>
          <w:rFonts w:ascii="Times New Roman" w:eastAsia="宋体" w:hAnsi="Times New Roman" w:cs="Times New Roman"/>
          <w:kern w:val="0"/>
          <w:sz w:val="24"/>
          <w:szCs w:val="24"/>
        </w:rPr>
      </w:pPr>
      <w:r w:rsidRPr="00345D32">
        <w:rPr>
          <w:rFonts w:ascii="Times New Roman" w:eastAsia="宋体" w:hAnsi="Times New Roman" w:cs="Times New Roman"/>
          <w:b/>
          <w:bCs/>
          <w:kern w:val="0"/>
          <w:sz w:val="24"/>
          <w:szCs w:val="24"/>
        </w:rPr>
        <w:t>Differentiation in Network Architecture:</w:t>
      </w:r>
    </w:p>
    <w:p w:rsidR="00345D32" w:rsidRPr="00345D32" w:rsidRDefault="00345D32" w:rsidP="00345D32">
      <w:pPr>
        <w:widowControl/>
        <w:numPr>
          <w:ilvl w:val="0"/>
          <w:numId w:val="1"/>
        </w:numPr>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b/>
          <w:bCs/>
          <w:kern w:val="0"/>
          <w:sz w:val="24"/>
          <w:szCs w:val="24"/>
        </w:rPr>
        <w:t>UNet</w:t>
      </w:r>
      <w:proofErr w:type="spellEnd"/>
      <w:r w:rsidRPr="00345D32">
        <w:rPr>
          <w:rFonts w:ascii="Times New Roman" w:eastAsia="宋体" w:hAnsi="Times New Roman" w:cs="Times New Roman"/>
          <w:kern w:val="0"/>
          <w:sz w:val="24"/>
          <w:szCs w:val="24"/>
        </w:rPr>
        <w:t xml:space="preserve"> enforces symmetry in its structure, ensuring equal input and output dimensions, and enhances feature reuse with residual units, making it suitable for standard-resolution simple dose prediction.</w:t>
      </w:r>
    </w:p>
    <w:p w:rsidR="00345D32" w:rsidRPr="00345D32" w:rsidRDefault="00345D32" w:rsidP="00345D32">
      <w:pPr>
        <w:widowControl/>
        <w:numPr>
          <w:ilvl w:val="0"/>
          <w:numId w:val="1"/>
        </w:numPr>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b/>
          <w:bCs/>
          <w:kern w:val="0"/>
          <w:sz w:val="24"/>
          <w:szCs w:val="24"/>
        </w:rPr>
        <w:t>FlexNet</w:t>
      </w:r>
      <w:proofErr w:type="spellEnd"/>
      <w:r w:rsidRPr="00345D32">
        <w:rPr>
          <w:rFonts w:ascii="Times New Roman" w:eastAsia="宋体" w:hAnsi="Times New Roman" w:cs="Times New Roman"/>
          <w:kern w:val="0"/>
          <w:sz w:val="24"/>
          <w:szCs w:val="24"/>
        </w:rPr>
        <w:t xml:space="preserve"> introduces dynamic kernels and deep supervision, supporting anisotropic inputs (e.g., non-uniform layer-thickness CT), optimizing multi-scale dose distributions via intermediate layer outputs, and offering higher versatility for medical image applications.</w:t>
      </w:r>
    </w:p>
    <w:p w:rsidR="00345D32" w:rsidRPr="00345D32" w:rsidRDefault="00345D32" w:rsidP="00345D32">
      <w:pPr>
        <w:widowControl/>
        <w:numPr>
          <w:ilvl w:val="0"/>
          <w:numId w:val="1"/>
        </w:numPr>
        <w:spacing w:before="100" w:beforeAutospacing="1" w:after="100" w:afterAutospacing="1"/>
        <w:rPr>
          <w:rFonts w:ascii="Times New Roman" w:eastAsia="宋体" w:hAnsi="Times New Roman" w:cs="Times New Roman"/>
          <w:kern w:val="0"/>
          <w:sz w:val="24"/>
          <w:szCs w:val="24"/>
        </w:rPr>
      </w:pPr>
      <w:proofErr w:type="spellStart"/>
      <w:r w:rsidRPr="00345D32">
        <w:rPr>
          <w:rFonts w:ascii="Times New Roman" w:eastAsia="宋体" w:hAnsi="Times New Roman" w:cs="Times New Roman"/>
          <w:b/>
          <w:bCs/>
          <w:kern w:val="0"/>
          <w:sz w:val="24"/>
          <w:szCs w:val="24"/>
        </w:rPr>
        <w:t>HighResNet</w:t>
      </w:r>
      <w:proofErr w:type="spellEnd"/>
      <w:r w:rsidRPr="00345D32">
        <w:rPr>
          <w:rFonts w:ascii="Times New Roman" w:eastAsia="宋体" w:hAnsi="Times New Roman" w:cs="Times New Roman"/>
          <w:kern w:val="0"/>
          <w:sz w:val="24"/>
          <w:szCs w:val="24"/>
        </w:rPr>
        <w:t xml:space="preserve"> is based on stacked 3D residual modules, using channel projection strategies to solve mismatch issues between contour masks and CT, making it ideal for high-resolution dose field modeling.</w:t>
      </w:r>
    </w:p>
    <w:p w:rsidR="00345D32" w:rsidRPr="00345D32" w:rsidRDefault="00345D32" w:rsidP="00345D32">
      <w:pPr>
        <w:widowControl/>
        <w:jc w:val="left"/>
        <w:rPr>
          <w:rFonts w:ascii="宋体" w:eastAsia="宋体" w:hAnsi="宋体" w:cs="宋体"/>
          <w:kern w:val="0"/>
          <w:sz w:val="24"/>
          <w:szCs w:val="24"/>
        </w:rPr>
      </w:pPr>
    </w:p>
    <w:p w:rsidR="00345D32" w:rsidRDefault="00345D32" w:rsidP="00345D32">
      <w:pPr>
        <w:widowControl/>
        <w:spacing w:before="100" w:beforeAutospacing="1" w:after="100" w:afterAutospacing="1"/>
        <w:jc w:val="left"/>
        <w:rPr>
          <w:rFonts w:ascii="Times New Roman" w:eastAsia="宋体" w:hAnsi="Times New Roman" w:cs="Times New Roman"/>
          <w:b/>
          <w:bCs/>
          <w:kern w:val="0"/>
          <w:sz w:val="24"/>
          <w:szCs w:val="24"/>
        </w:rPr>
      </w:pPr>
    </w:p>
    <w:p w:rsidR="00345D32" w:rsidRDefault="00345D32" w:rsidP="00345D32">
      <w:pPr>
        <w:widowControl/>
        <w:spacing w:before="100" w:beforeAutospacing="1" w:after="100" w:afterAutospacing="1"/>
        <w:jc w:val="left"/>
        <w:rPr>
          <w:rFonts w:ascii="Times New Roman" w:eastAsia="宋体" w:hAnsi="Times New Roman" w:cs="Times New Roman"/>
          <w:b/>
          <w:bCs/>
          <w:kern w:val="0"/>
          <w:sz w:val="24"/>
          <w:szCs w:val="24"/>
        </w:rPr>
      </w:pPr>
    </w:p>
    <w:p w:rsidR="00345D32" w:rsidRDefault="00345D32" w:rsidP="00345D32">
      <w:pPr>
        <w:widowControl/>
        <w:spacing w:before="100" w:beforeAutospacing="1" w:after="100" w:afterAutospacing="1"/>
        <w:jc w:val="left"/>
        <w:rPr>
          <w:rFonts w:ascii="Times New Roman" w:eastAsia="宋体" w:hAnsi="Times New Roman" w:cs="Times New Roman"/>
          <w:b/>
          <w:bCs/>
          <w:kern w:val="0"/>
          <w:sz w:val="24"/>
          <w:szCs w:val="24"/>
        </w:rPr>
      </w:pPr>
    </w:p>
    <w:p w:rsidR="00345D32" w:rsidRDefault="00345D32" w:rsidP="00345D32">
      <w:pPr>
        <w:widowControl/>
        <w:spacing w:before="100" w:beforeAutospacing="1" w:after="100" w:afterAutospacing="1"/>
        <w:jc w:val="left"/>
        <w:rPr>
          <w:rFonts w:ascii="Times New Roman" w:eastAsia="宋体" w:hAnsi="Times New Roman" w:cs="Times New Roman"/>
          <w:b/>
          <w:bCs/>
          <w:kern w:val="0"/>
          <w:sz w:val="24"/>
          <w:szCs w:val="24"/>
        </w:rPr>
      </w:pPr>
    </w:p>
    <w:p w:rsidR="00345D32" w:rsidRDefault="00345D32" w:rsidP="00345D32">
      <w:pPr>
        <w:widowControl/>
        <w:spacing w:before="100" w:beforeAutospacing="1" w:after="100" w:afterAutospacing="1"/>
        <w:jc w:val="left"/>
        <w:rPr>
          <w:rFonts w:ascii="Times New Roman" w:eastAsia="宋体" w:hAnsi="Times New Roman" w:cs="Times New Roman"/>
          <w:b/>
          <w:bCs/>
          <w:kern w:val="0"/>
          <w:sz w:val="24"/>
          <w:szCs w:val="24"/>
        </w:rPr>
      </w:pPr>
    </w:p>
    <w:p w:rsidR="00345D32" w:rsidRPr="00345D32" w:rsidRDefault="00345D32" w:rsidP="00345D32">
      <w:pPr>
        <w:widowControl/>
        <w:spacing w:before="100" w:beforeAutospacing="1" w:after="100" w:afterAutospacing="1"/>
        <w:jc w:val="left"/>
        <w:rPr>
          <w:rFonts w:ascii="Times New Roman" w:eastAsia="宋体" w:hAnsi="Times New Roman" w:cs="Times New Roman"/>
          <w:kern w:val="0"/>
          <w:sz w:val="24"/>
          <w:szCs w:val="24"/>
        </w:rPr>
      </w:pPr>
      <w:r w:rsidRPr="00345D32">
        <w:rPr>
          <w:rFonts w:ascii="Times New Roman" w:eastAsia="宋体" w:hAnsi="Times New Roman" w:cs="Times New Roman"/>
          <w:b/>
          <w:bCs/>
          <w:kern w:val="0"/>
          <w:sz w:val="24"/>
          <w:szCs w:val="24"/>
        </w:rPr>
        <w:lastRenderedPageBreak/>
        <w:t>Differences in Network Architecture and Application (Table):</w:t>
      </w:r>
    </w:p>
    <w:tbl>
      <w:tblPr>
        <w:tblW w:w="0" w:type="auto"/>
        <w:tblBorders>
          <w:top w:val="single" w:sz="6" w:space="0" w:color="DDDDDD"/>
          <w:left w:val="single" w:sz="6" w:space="0" w:color="DDDDDD"/>
          <w:bottom w:val="single" w:sz="6" w:space="0" w:color="DDDDDD"/>
          <w:right w:val="single" w:sz="6" w:space="0" w:color="DDDDDD"/>
        </w:tblBorders>
        <w:shd w:val="clear" w:color="auto" w:fill="F8F8F8"/>
        <w:tblCellMar>
          <w:top w:w="15" w:type="dxa"/>
          <w:left w:w="15" w:type="dxa"/>
          <w:bottom w:w="15" w:type="dxa"/>
          <w:right w:w="15" w:type="dxa"/>
        </w:tblCellMar>
        <w:tblLook w:val="04A0" w:firstRow="1" w:lastRow="0" w:firstColumn="1" w:lastColumn="0" w:noHBand="0" w:noVBand="1"/>
      </w:tblPr>
      <w:tblGrid>
        <w:gridCol w:w="1789"/>
        <w:gridCol w:w="2826"/>
        <w:gridCol w:w="2025"/>
        <w:gridCol w:w="2170"/>
      </w:tblGrid>
      <w:tr w:rsidR="00345D32" w:rsidTr="00345D32">
        <w:trPr>
          <w:tblHeader/>
        </w:trPr>
        <w:tc>
          <w:tcPr>
            <w:tcW w:w="1789"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52" w:type="dxa"/>
              <w:bottom w:w="105" w:type="dxa"/>
              <w:right w:w="252" w:type="dxa"/>
            </w:tcMar>
            <w:vAlign w:val="center"/>
          </w:tcPr>
          <w:p w:rsidR="00345D32" w:rsidRDefault="00345D32" w:rsidP="00535E57">
            <w:pPr>
              <w:jc w:val="center"/>
              <w:rPr>
                <w:rFonts w:ascii="微软雅黑" w:eastAsia="微软雅黑" w:hAnsi="微软雅黑" w:cs="微软雅黑"/>
                <w:sz w:val="18"/>
                <w:szCs w:val="21"/>
              </w:rPr>
            </w:pPr>
            <w:r w:rsidRPr="00345D32">
              <w:rPr>
                <w:rFonts w:ascii="微软雅黑" w:eastAsia="微软雅黑" w:hAnsi="微软雅黑" w:cs="微软雅黑"/>
                <w:sz w:val="18"/>
                <w:szCs w:val="21"/>
              </w:rPr>
              <w:t>Comparison Aspect</w:t>
            </w:r>
          </w:p>
        </w:tc>
        <w:tc>
          <w:tcPr>
            <w:tcW w:w="2826"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52" w:type="dxa"/>
              <w:bottom w:w="105" w:type="dxa"/>
              <w:right w:w="252" w:type="dxa"/>
            </w:tcMar>
            <w:vAlign w:val="center"/>
          </w:tcPr>
          <w:p w:rsidR="00345D32" w:rsidRDefault="00345D32" w:rsidP="00535E57">
            <w:pPr>
              <w:jc w:val="left"/>
              <w:rPr>
                <w:rFonts w:ascii="微软雅黑" w:eastAsia="微软雅黑" w:hAnsi="微软雅黑" w:cs="微软雅黑"/>
                <w:sz w:val="18"/>
                <w:szCs w:val="21"/>
              </w:rPr>
            </w:pPr>
            <w:proofErr w:type="spellStart"/>
            <w:r>
              <w:rPr>
                <w:rFonts w:ascii="微软雅黑" w:eastAsia="微软雅黑" w:hAnsi="微软雅黑" w:cs="微软雅黑"/>
                <w:sz w:val="18"/>
                <w:szCs w:val="21"/>
              </w:rPr>
              <w:t>UNet</w:t>
            </w:r>
            <w:proofErr w:type="spellEnd"/>
          </w:p>
        </w:tc>
        <w:tc>
          <w:tcPr>
            <w:tcW w:w="2025"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52" w:type="dxa"/>
              <w:bottom w:w="105" w:type="dxa"/>
              <w:right w:w="252" w:type="dxa"/>
            </w:tcMar>
            <w:vAlign w:val="center"/>
          </w:tcPr>
          <w:p w:rsidR="00345D32" w:rsidRDefault="00345D32" w:rsidP="00535E57">
            <w:pPr>
              <w:jc w:val="left"/>
              <w:rPr>
                <w:rFonts w:ascii="微软雅黑" w:eastAsia="微软雅黑" w:hAnsi="微软雅黑" w:cs="微软雅黑"/>
                <w:sz w:val="18"/>
                <w:szCs w:val="21"/>
              </w:rPr>
            </w:pPr>
            <w:proofErr w:type="spellStart"/>
            <w:r>
              <w:rPr>
                <w:rFonts w:ascii="微软雅黑" w:eastAsia="微软雅黑" w:hAnsi="微软雅黑" w:cs="微软雅黑"/>
                <w:sz w:val="18"/>
                <w:szCs w:val="21"/>
              </w:rPr>
              <w:t>FlexNet</w:t>
            </w:r>
            <w:proofErr w:type="spellEnd"/>
          </w:p>
        </w:tc>
        <w:tc>
          <w:tcPr>
            <w:tcW w:w="2170" w:type="dxa"/>
            <w:tcBorders>
              <w:top w:val="single" w:sz="6" w:space="0" w:color="DDDDDD"/>
              <w:left w:val="single" w:sz="6" w:space="0" w:color="DDDDDD"/>
              <w:bottom w:val="single" w:sz="6" w:space="0" w:color="DDDDDD"/>
              <w:right w:val="single" w:sz="6" w:space="0" w:color="DDDDDD"/>
            </w:tcBorders>
            <w:shd w:val="clear" w:color="auto" w:fill="E5E5E5"/>
            <w:tcMar>
              <w:top w:w="105" w:type="dxa"/>
              <w:left w:w="252" w:type="dxa"/>
              <w:bottom w:w="105" w:type="dxa"/>
              <w:right w:w="252" w:type="dxa"/>
            </w:tcMar>
            <w:vAlign w:val="center"/>
          </w:tcPr>
          <w:p w:rsidR="00345D32" w:rsidRDefault="00345D32" w:rsidP="00535E57">
            <w:pPr>
              <w:jc w:val="left"/>
              <w:rPr>
                <w:rFonts w:ascii="微软雅黑" w:eastAsia="微软雅黑" w:hAnsi="微软雅黑" w:cs="微软雅黑"/>
                <w:sz w:val="18"/>
                <w:szCs w:val="21"/>
              </w:rPr>
            </w:pPr>
            <w:proofErr w:type="spellStart"/>
            <w:r>
              <w:rPr>
                <w:rFonts w:ascii="微软雅黑" w:eastAsia="微软雅黑" w:hAnsi="微软雅黑" w:cs="微软雅黑"/>
                <w:sz w:val="18"/>
                <w:szCs w:val="21"/>
              </w:rPr>
              <w:t>HighResNet</w:t>
            </w:r>
            <w:proofErr w:type="spellEnd"/>
          </w:p>
        </w:tc>
      </w:tr>
      <w:tr w:rsidR="00345D32" w:rsidTr="00345D32">
        <w:tc>
          <w:tcPr>
            <w:tcW w:w="1789"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vAlign w:val="center"/>
          </w:tcPr>
          <w:p w:rsidR="00345D32" w:rsidRDefault="00345D32" w:rsidP="00535E57">
            <w:pPr>
              <w:jc w:val="center"/>
              <w:rPr>
                <w:rFonts w:ascii="微软雅黑" w:eastAsia="微软雅黑" w:hAnsi="微软雅黑" w:cs="微软雅黑"/>
                <w:sz w:val="18"/>
                <w:szCs w:val="21"/>
              </w:rPr>
            </w:pPr>
            <w:r w:rsidRPr="00345D32">
              <w:rPr>
                <w:rFonts w:ascii="微软雅黑" w:eastAsia="微软雅黑" w:hAnsi="微软雅黑" w:cs="微软雅黑"/>
                <w:sz w:val="18"/>
                <w:szCs w:val="21"/>
              </w:rPr>
              <w:t>Structural Flexibility</w:t>
            </w:r>
          </w:p>
        </w:tc>
        <w:tc>
          <w:tcPr>
            <w:tcW w:w="2826"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Pr="00D9535F" w:rsidRDefault="00345D32" w:rsidP="00345D32">
            <w:pPr>
              <w:jc w:val="left"/>
            </w:pPr>
            <w:r w:rsidRPr="00D9535F">
              <w:t xml:space="preserve">Fixed symmetric structure, only supports uniform </w:t>
            </w:r>
            <w:proofErr w:type="spellStart"/>
            <w:r w:rsidRPr="00D9535F">
              <w:t>downsampling</w:t>
            </w:r>
            <w:proofErr w:type="spellEnd"/>
            <w:r w:rsidRPr="00D9535F">
              <w:t>/</w:t>
            </w:r>
            <w:proofErr w:type="spellStart"/>
            <w:r w:rsidRPr="00D9535F">
              <w:t>upsampling</w:t>
            </w:r>
            <w:proofErr w:type="spellEnd"/>
          </w:p>
        </w:tc>
        <w:tc>
          <w:tcPr>
            <w:tcW w:w="2025"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Pr="00D9535F" w:rsidRDefault="00345D32" w:rsidP="00345D32">
            <w:pPr>
              <w:jc w:val="left"/>
            </w:pPr>
            <w:r w:rsidRPr="00D9535F">
              <w:t>Dynamically adjusts kernel size and stride, supports anisotropic operations, adaptable to complex inputs</w:t>
            </w:r>
          </w:p>
        </w:tc>
        <w:tc>
          <w:tcPr>
            <w:tcW w:w="2170"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Default="00345D32" w:rsidP="00345D32">
            <w:pPr>
              <w:jc w:val="left"/>
            </w:pPr>
            <w:r w:rsidRPr="00D9535F">
              <w:t>Fixed residual block stacking, relies on channel matching strategy, suitable for high-resolution 3D data</w:t>
            </w:r>
          </w:p>
        </w:tc>
      </w:tr>
      <w:tr w:rsidR="00345D32" w:rsidTr="00345D32">
        <w:tc>
          <w:tcPr>
            <w:tcW w:w="1789"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vAlign w:val="center"/>
          </w:tcPr>
          <w:p w:rsidR="00345D32" w:rsidRDefault="00345D32" w:rsidP="00535E57">
            <w:pPr>
              <w:jc w:val="center"/>
              <w:rPr>
                <w:rFonts w:ascii="微软雅黑" w:eastAsia="微软雅黑" w:hAnsi="微软雅黑" w:cs="微软雅黑"/>
                <w:sz w:val="18"/>
                <w:szCs w:val="21"/>
              </w:rPr>
            </w:pPr>
            <w:r w:rsidRPr="00345D32">
              <w:rPr>
                <w:rFonts w:ascii="微软雅黑" w:eastAsia="微软雅黑" w:hAnsi="微软雅黑" w:cs="微软雅黑"/>
                <w:sz w:val="18"/>
                <w:szCs w:val="21"/>
              </w:rPr>
              <w:t>Input-Output Constraints</w:t>
            </w:r>
          </w:p>
        </w:tc>
        <w:tc>
          <w:tcPr>
            <w:tcW w:w="2826"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tcPr>
          <w:p w:rsidR="00345D32" w:rsidRPr="00A6016E" w:rsidRDefault="005B35E7" w:rsidP="00345D32">
            <w:pPr>
              <w:jc w:val="left"/>
            </w:pPr>
            <w:r>
              <w:t>Input must be a multiple of 2</w:t>
            </w:r>
            <w:r w:rsidRPr="005B35E7">
              <w:rPr>
                <w:rFonts w:hint="eastAsia"/>
                <w:vertAlign w:val="superscript"/>
              </w:rPr>
              <w:t>N</w:t>
            </w:r>
            <w:bookmarkStart w:id="0" w:name="_GoBack"/>
            <w:bookmarkEnd w:id="0"/>
          </w:p>
        </w:tc>
        <w:tc>
          <w:tcPr>
            <w:tcW w:w="2025"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tcPr>
          <w:p w:rsidR="00345D32" w:rsidRPr="00A6016E" w:rsidRDefault="00345D32" w:rsidP="00345D32">
            <w:pPr>
              <w:jc w:val="left"/>
            </w:pPr>
            <w:r w:rsidRPr="00A6016E">
              <w:t>Input must satisfy divisibility conditions across all dimensions</w:t>
            </w:r>
          </w:p>
        </w:tc>
        <w:tc>
          <w:tcPr>
            <w:tcW w:w="2170"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tcPr>
          <w:p w:rsidR="00345D32" w:rsidRDefault="00345D32" w:rsidP="00345D32">
            <w:pPr>
              <w:jc w:val="left"/>
            </w:pPr>
            <w:r w:rsidRPr="00A6016E">
              <w:t>Input must meet compatibility after residual block stacking (e.g., repetition and channel matching)</w:t>
            </w:r>
          </w:p>
        </w:tc>
      </w:tr>
      <w:tr w:rsidR="00345D32" w:rsidTr="003D3359">
        <w:tc>
          <w:tcPr>
            <w:tcW w:w="1789"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vAlign w:val="center"/>
          </w:tcPr>
          <w:p w:rsidR="00345D32" w:rsidRDefault="00345D32" w:rsidP="00535E57">
            <w:pPr>
              <w:jc w:val="center"/>
              <w:rPr>
                <w:rFonts w:ascii="微软雅黑" w:eastAsia="微软雅黑" w:hAnsi="微软雅黑" w:cs="微软雅黑"/>
                <w:sz w:val="18"/>
                <w:szCs w:val="21"/>
              </w:rPr>
            </w:pPr>
            <w:r w:rsidRPr="00345D32">
              <w:rPr>
                <w:rFonts w:ascii="微软雅黑" w:eastAsia="微软雅黑" w:hAnsi="微软雅黑" w:cs="微软雅黑"/>
                <w:sz w:val="18"/>
                <w:szCs w:val="21"/>
              </w:rPr>
              <w:t>Application Scenarios</w:t>
            </w:r>
          </w:p>
        </w:tc>
        <w:tc>
          <w:tcPr>
            <w:tcW w:w="2826"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Pr="00840B7B" w:rsidRDefault="00345D32" w:rsidP="00345D32">
            <w:pPr>
              <w:jc w:val="left"/>
            </w:pPr>
            <w:r w:rsidRPr="00840B7B">
              <w:t>Suitable for standard 2D/3D dose prediction</w:t>
            </w:r>
          </w:p>
        </w:tc>
        <w:tc>
          <w:tcPr>
            <w:tcW w:w="2025"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Pr="00840B7B" w:rsidRDefault="00345D32" w:rsidP="00345D32">
            <w:pPr>
              <w:jc w:val="left"/>
            </w:pPr>
            <w:r w:rsidRPr="00840B7B">
              <w:t>Suitable for multi-modal, multi-resolution dose prediction</w:t>
            </w:r>
          </w:p>
        </w:tc>
        <w:tc>
          <w:tcPr>
            <w:tcW w:w="2170"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Default="00345D32" w:rsidP="00345D32">
            <w:pPr>
              <w:jc w:val="left"/>
            </w:pPr>
            <w:r w:rsidRPr="00840B7B">
              <w:t>Suitable for high-resolution 3D dose prediction</w:t>
            </w:r>
          </w:p>
        </w:tc>
      </w:tr>
      <w:tr w:rsidR="00345D32" w:rsidTr="00761DFF">
        <w:tc>
          <w:tcPr>
            <w:tcW w:w="1789"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vAlign w:val="center"/>
          </w:tcPr>
          <w:p w:rsidR="00345D32" w:rsidRDefault="00345D32" w:rsidP="00535E57">
            <w:pPr>
              <w:jc w:val="center"/>
              <w:rPr>
                <w:rFonts w:ascii="微软雅黑" w:eastAsia="微软雅黑" w:hAnsi="微软雅黑" w:cs="微软雅黑"/>
                <w:sz w:val="18"/>
                <w:szCs w:val="21"/>
              </w:rPr>
            </w:pPr>
            <w:r w:rsidRPr="00345D32">
              <w:rPr>
                <w:rFonts w:ascii="微软雅黑" w:eastAsia="微软雅黑" w:hAnsi="微软雅黑" w:cs="微软雅黑"/>
                <w:sz w:val="18"/>
                <w:szCs w:val="21"/>
              </w:rPr>
              <w:t>Training Optimization</w:t>
            </w:r>
          </w:p>
        </w:tc>
        <w:tc>
          <w:tcPr>
            <w:tcW w:w="2826"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tcPr>
          <w:p w:rsidR="00345D32" w:rsidRPr="00F23406" w:rsidRDefault="00345D32" w:rsidP="00345D32">
            <w:pPr>
              <w:jc w:val="left"/>
            </w:pPr>
            <w:r w:rsidRPr="00F23406">
              <w:t>Relies on skip connections to pass detail information, may be limited by fixed resolution</w:t>
            </w:r>
          </w:p>
        </w:tc>
        <w:tc>
          <w:tcPr>
            <w:tcW w:w="2025"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tcPr>
          <w:p w:rsidR="00345D32" w:rsidRPr="00F23406" w:rsidRDefault="00345D32" w:rsidP="00345D32">
            <w:pPr>
              <w:jc w:val="left"/>
            </w:pPr>
            <w:r w:rsidRPr="00F23406">
              <w:t>Deep supervision with weighted optimization from intermediate layers, making training more stable</w:t>
            </w:r>
          </w:p>
        </w:tc>
        <w:tc>
          <w:tcPr>
            <w:tcW w:w="2170" w:type="dxa"/>
            <w:tcBorders>
              <w:top w:val="single" w:sz="6" w:space="0" w:color="DDDDDD"/>
              <w:left w:val="single" w:sz="6" w:space="0" w:color="DDDDDD"/>
              <w:bottom w:val="single" w:sz="6" w:space="0" w:color="DDDDDD"/>
              <w:right w:val="single" w:sz="6" w:space="0" w:color="DDDDDD"/>
            </w:tcBorders>
            <w:shd w:val="clear" w:color="auto" w:fill="F2F2F2"/>
            <w:tcMar>
              <w:top w:w="105" w:type="dxa"/>
              <w:left w:w="252" w:type="dxa"/>
              <w:bottom w:w="105" w:type="dxa"/>
              <w:right w:w="252" w:type="dxa"/>
            </w:tcMar>
          </w:tcPr>
          <w:p w:rsidR="00345D32" w:rsidRDefault="00345D32" w:rsidP="00345D32">
            <w:pPr>
              <w:jc w:val="left"/>
            </w:pPr>
            <w:r w:rsidRPr="00F23406">
              <w:t>Residual connections accelerate deep network convergence, channel matching reduces information loss</w:t>
            </w:r>
          </w:p>
        </w:tc>
      </w:tr>
      <w:tr w:rsidR="00345D32" w:rsidTr="00EE632C">
        <w:tc>
          <w:tcPr>
            <w:tcW w:w="1789"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vAlign w:val="center"/>
          </w:tcPr>
          <w:p w:rsidR="00345D32" w:rsidRDefault="00345D32" w:rsidP="00535E57">
            <w:pPr>
              <w:jc w:val="center"/>
              <w:rPr>
                <w:rFonts w:ascii="微软雅黑" w:eastAsia="微软雅黑" w:hAnsi="微软雅黑" w:cs="微软雅黑"/>
                <w:sz w:val="18"/>
                <w:szCs w:val="21"/>
              </w:rPr>
            </w:pPr>
            <w:r w:rsidRPr="00345D32">
              <w:rPr>
                <w:rFonts w:ascii="微软雅黑" w:eastAsia="微软雅黑" w:hAnsi="微软雅黑" w:cs="微软雅黑"/>
                <w:sz w:val="18"/>
                <w:szCs w:val="21"/>
              </w:rPr>
              <w:t>Computational Complexity</w:t>
            </w:r>
          </w:p>
        </w:tc>
        <w:tc>
          <w:tcPr>
            <w:tcW w:w="2826"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Pr="00E6479E" w:rsidRDefault="00345D32" w:rsidP="00345D32">
            <w:pPr>
              <w:jc w:val="left"/>
            </w:pPr>
            <w:r w:rsidRPr="00E6479E">
              <w:t>Moderate (symmetric structure reduces parameter count)</w:t>
            </w:r>
          </w:p>
        </w:tc>
        <w:tc>
          <w:tcPr>
            <w:tcW w:w="2025"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Pr="00E6479E" w:rsidRDefault="00345D32" w:rsidP="00345D32">
            <w:pPr>
              <w:jc w:val="left"/>
            </w:pPr>
            <w:r w:rsidRPr="00E6479E">
              <w:t>Higher (dynamic kernels and deep supervision increase computational overhead)</w:t>
            </w:r>
          </w:p>
        </w:tc>
        <w:tc>
          <w:tcPr>
            <w:tcW w:w="2170" w:type="dxa"/>
            <w:tcBorders>
              <w:top w:val="single" w:sz="6" w:space="0" w:color="DDDDDD"/>
              <w:left w:val="single" w:sz="6" w:space="0" w:color="DDDDDD"/>
              <w:bottom w:val="single" w:sz="6" w:space="0" w:color="DDDDDD"/>
              <w:right w:val="single" w:sz="6" w:space="0" w:color="DDDDDD"/>
            </w:tcBorders>
            <w:shd w:val="clear" w:color="auto" w:fill="F8F8F8"/>
            <w:tcMar>
              <w:top w:w="105" w:type="dxa"/>
              <w:left w:w="252" w:type="dxa"/>
              <w:bottom w:w="105" w:type="dxa"/>
              <w:right w:w="252" w:type="dxa"/>
            </w:tcMar>
          </w:tcPr>
          <w:p w:rsidR="00345D32" w:rsidRDefault="00345D32" w:rsidP="00345D32">
            <w:pPr>
              <w:jc w:val="left"/>
            </w:pPr>
            <w:r w:rsidRPr="00E6479E">
              <w:t>Higher (deep residual blocks and 3D convolutions increase memory usage)</w:t>
            </w:r>
          </w:p>
        </w:tc>
      </w:tr>
    </w:tbl>
    <w:p w:rsidR="00345D32" w:rsidRPr="00345D32" w:rsidRDefault="00345D32" w:rsidP="00345D32">
      <w:pPr>
        <w:widowControl/>
        <w:jc w:val="left"/>
        <w:rPr>
          <w:rFonts w:ascii="Times New Roman" w:eastAsia="宋体" w:hAnsi="Times New Roman" w:cs="Times New Roman"/>
          <w:kern w:val="0"/>
          <w:sz w:val="24"/>
          <w:szCs w:val="24"/>
        </w:rPr>
      </w:pPr>
    </w:p>
    <w:p w:rsidR="001D3344" w:rsidRPr="00345D32" w:rsidRDefault="001D3344" w:rsidP="00345D32">
      <w:pPr>
        <w:rPr>
          <w:rFonts w:ascii="Times New Roman" w:hAnsi="Times New Roman" w:cs="Times New Roman"/>
        </w:rPr>
      </w:pPr>
    </w:p>
    <w:sectPr w:rsidR="001D3344" w:rsidRPr="00345D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D32" w:rsidRDefault="00345D32" w:rsidP="00345D32">
      <w:r>
        <w:separator/>
      </w:r>
    </w:p>
  </w:endnote>
  <w:endnote w:type="continuationSeparator" w:id="0">
    <w:p w:rsidR="00345D32" w:rsidRDefault="00345D32" w:rsidP="00345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D32" w:rsidRDefault="00345D32" w:rsidP="00345D32">
      <w:r>
        <w:separator/>
      </w:r>
    </w:p>
  </w:footnote>
  <w:footnote w:type="continuationSeparator" w:id="0">
    <w:p w:rsidR="00345D32" w:rsidRDefault="00345D32" w:rsidP="00345D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816314"/>
    <w:multiLevelType w:val="multilevel"/>
    <w:tmpl w:val="8912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235"/>
    <w:rsid w:val="001D3344"/>
    <w:rsid w:val="00345D32"/>
    <w:rsid w:val="003C0E9E"/>
    <w:rsid w:val="005B35E7"/>
    <w:rsid w:val="009C52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345D3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45D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45D32"/>
    <w:rPr>
      <w:sz w:val="18"/>
      <w:szCs w:val="18"/>
    </w:rPr>
  </w:style>
  <w:style w:type="paragraph" w:styleId="a4">
    <w:name w:val="footer"/>
    <w:basedOn w:val="a"/>
    <w:link w:val="Char0"/>
    <w:uiPriority w:val="99"/>
    <w:unhideWhenUsed/>
    <w:rsid w:val="00345D32"/>
    <w:pPr>
      <w:tabs>
        <w:tab w:val="center" w:pos="4153"/>
        <w:tab w:val="right" w:pos="8306"/>
      </w:tabs>
      <w:snapToGrid w:val="0"/>
      <w:jc w:val="left"/>
    </w:pPr>
    <w:rPr>
      <w:sz w:val="18"/>
      <w:szCs w:val="18"/>
    </w:rPr>
  </w:style>
  <w:style w:type="character" w:customStyle="1" w:styleId="Char0">
    <w:name w:val="页脚 Char"/>
    <w:basedOn w:val="a0"/>
    <w:link w:val="a4"/>
    <w:uiPriority w:val="99"/>
    <w:rsid w:val="00345D32"/>
    <w:rPr>
      <w:sz w:val="18"/>
      <w:szCs w:val="18"/>
    </w:rPr>
  </w:style>
  <w:style w:type="character" w:customStyle="1" w:styleId="3Char">
    <w:name w:val="标题 3 Char"/>
    <w:basedOn w:val="a0"/>
    <w:link w:val="3"/>
    <w:uiPriority w:val="9"/>
    <w:rsid w:val="00345D32"/>
    <w:rPr>
      <w:rFonts w:ascii="宋体" w:eastAsia="宋体" w:hAnsi="宋体" w:cs="宋体"/>
      <w:b/>
      <w:bCs/>
      <w:kern w:val="0"/>
      <w:sz w:val="27"/>
      <w:szCs w:val="27"/>
    </w:rPr>
  </w:style>
  <w:style w:type="paragraph" w:styleId="a5">
    <w:name w:val="Normal (Web)"/>
    <w:basedOn w:val="a"/>
    <w:uiPriority w:val="99"/>
    <w:semiHidden/>
    <w:unhideWhenUsed/>
    <w:rsid w:val="00345D3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345D32"/>
    <w:rPr>
      <w:b/>
      <w:bCs/>
    </w:rPr>
  </w:style>
  <w:style w:type="paragraph" w:styleId="a7">
    <w:name w:val="Balloon Text"/>
    <w:basedOn w:val="a"/>
    <w:link w:val="Char1"/>
    <w:uiPriority w:val="99"/>
    <w:semiHidden/>
    <w:unhideWhenUsed/>
    <w:rsid w:val="00345D32"/>
    <w:rPr>
      <w:sz w:val="18"/>
      <w:szCs w:val="18"/>
    </w:rPr>
  </w:style>
  <w:style w:type="character" w:customStyle="1" w:styleId="Char1">
    <w:name w:val="批注框文本 Char"/>
    <w:basedOn w:val="a0"/>
    <w:link w:val="a7"/>
    <w:uiPriority w:val="99"/>
    <w:semiHidden/>
    <w:rsid w:val="00345D3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345D3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45D3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45D32"/>
    <w:rPr>
      <w:sz w:val="18"/>
      <w:szCs w:val="18"/>
    </w:rPr>
  </w:style>
  <w:style w:type="paragraph" w:styleId="a4">
    <w:name w:val="footer"/>
    <w:basedOn w:val="a"/>
    <w:link w:val="Char0"/>
    <w:uiPriority w:val="99"/>
    <w:unhideWhenUsed/>
    <w:rsid w:val="00345D32"/>
    <w:pPr>
      <w:tabs>
        <w:tab w:val="center" w:pos="4153"/>
        <w:tab w:val="right" w:pos="8306"/>
      </w:tabs>
      <w:snapToGrid w:val="0"/>
      <w:jc w:val="left"/>
    </w:pPr>
    <w:rPr>
      <w:sz w:val="18"/>
      <w:szCs w:val="18"/>
    </w:rPr>
  </w:style>
  <w:style w:type="character" w:customStyle="1" w:styleId="Char0">
    <w:name w:val="页脚 Char"/>
    <w:basedOn w:val="a0"/>
    <w:link w:val="a4"/>
    <w:uiPriority w:val="99"/>
    <w:rsid w:val="00345D32"/>
    <w:rPr>
      <w:sz w:val="18"/>
      <w:szCs w:val="18"/>
    </w:rPr>
  </w:style>
  <w:style w:type="character" w:customStyle="1" w:styleId="3Char">
    <w:name w:val="标题 3 Char"/>
    <w:basedOn w:val="a0"/>
    <w:link w:val="3"/>
    <w:uiPriority w:val="9"/>
    <w:rsid w:val="00345D32"/>
    <w:rPr>
      <w:rFonts w:ascii="宋体" w:eastAsia="宋体" w:hAnsi="宋体" w:cs="宋体"/>
      <w:b/>
      <w:bCs/>
      <w:kern w:val="0"/>
      <w:sz w:val="27"/>
      <w:szCs w:val="27"/>
    </w:rPr>
  </w:style>
  <w:style w:type="paragraph" w:styleId="a5">
    <w:name w:val="Normal (Web)"/>
    <w:basedOn w:val="a"/>
    <w:uiPriority w:val="99"/>
    <w:semiHidden/>
    <w:unhideWhenUsed/>
    <w:rsid w:val="00345D3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345D32"/>
    <w:rPr>
      <w:b/>
      <w:bCs/>
    </w:rPr>
  </w:style>
  <w:style w:type="paragraph" w:styleId="a7">
    <w:name w:val="Balloon Text"/>
    <w:basedOn w:val="a"/>
    <w:link w:val="Char1"/>
    <w:uiPriority w:val="99"/>
    <w:semiHidden/>
    <w:unhideWhenUsed/>
    <w:rsid w:val="00345D32"/>
    <w:rPr>
      <w:sz w:val="18"/>
      <w:szCs w:val="18"/>
    </w:rPr>
  </w:style>
  <w:style w:type="character" w:customStyle="1" w:styleId="Char1">
    <w:name w:val="批注框文本 Char"/>
    <w:basedOn w:val="a0"/>
    <w:link w:val="a7"/>
    <w:uiPriority w:val="99"/>
    <w:semiHidden/>
    <w:rsid w:val="00345D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822526">
      <w:bodyDiv w:val="1"/>
      <w:marLeft w:val="0"/>
      <w:marRight w:val="0"/>
      <w:marTop w:val="0"/>
      <w:marBottom w:val="0"/>
      <w:divBdr>
        <w:top w:val="none" w:sz="0" w:space="0" w:color="auto"/>
        <w:left w:val="none" w:sz="0" w:space="0" w:color="auto"/>
        <w:bottom w:val="none" w:sz="0" w:space="0" w:color="auto"/>
        <w:right w:val="none" w:sz="0" w:space="0" w:color="auto"/>
      </w:divBdr>
    </w:div>
    <w:div w:id="961155972">
      <w:bodyDiv w:val="1"/>
      <w:marLeft w:val="0"/>
      <w:marRight w:val="0"/>
      <w:marTop w:val="0"/>
      <w:marBottom w:val="0"/>
      <w:divBdr>
        <w:top w:val="none" w:sz="0" w:space="0" w:color="auto"/>
        <w:left w:val="none" w:sz="0" w:space="0" w:color="auto"/>
        <w:bottom w:val="none" w:sz="0" w:space="0" w:color="auto"/>
        <w:right w:val="none" w:sz="0" w:space="0" w:color="auto"/>
      </w:divBdr>
    </w:div>
    <w:div w:id="106895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928</Words>
  <Characters>5290</Characters>
  <Application>Microsoft Office Word</Application>
  <DocSecurity>0</DocSecurity>
  <Lines>44</Lines>
  <Paragraphs>12</Paragraphs>
  <ScaleCrop>false</ScaleCrop>
  <Company/>
  <LinksUpToDate>false</LinksUpToDate>
  <CharactersWithSpaces>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4</cp:revision>
  <dcterms:created xsi:type="dcterms:W3CDTF">2025-02-24T14:06:00Z</dcterms:created>
  <dcterms:modified xsi:type="dcterms:W3CDTF">2025-02-25T02:01:00Z</dcterms:modified>
</cp:coreProperties>
</file>