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A9C95" w14:textId="25909927" w:rsidR="007E5E9E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0" w:name="_Ref179747725"/>
      <w:bookmarkStart w:id="1" w:name="_Toc180695954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1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. Detailed Overview of the Literature Search in </w:t>
      </w:r>
      <w:proofErr w:type="spellStart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Pubmed</w:t>
      </w:r>
      <w:bookmarkEnd w:id="0"/>
      <w:bookmarkEnd w:id="1"/>
      <w:proofErr w:type="spellEnd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665"/>
        <w:gridCol w:w="1985"/>
        <w:gridCol w:w="1984"/>
      </w:tblGrid>
      <w:tr w:rsidR="007A64C2" w:rsidRPr="00F10100" w14:paraId="0B859977" w14:textId="77777777" w:rsidTr="00B06727">
        <w:tc>
          <w:tcPr>
            <w:tcW w:w="5665" w:type="dxa"/>
            <w:shd w:val="clear" w:color="auto" w:fill="B4C6E7" w:themeFill="accent1" w:themeFillTint="66"/>
          </w:tcPr>
          <w:p w14:paraId="1E5A7724" w14:textId="70CD527B" w:rsidR="007A64C2" w:rsidRPr="00F10100" w:rsidRDefault="007A64C2" w:rsidP="003F3104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Search </w:t>
            </w:r>
            <w:r w:rsidR="00B067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q</w:t>
            </w: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uery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CDFCFCC" w14:textId="73494ECB" w:rsidR="007A64C2" w:rsidRPr="00F10100" w:rsidRDefault="007A64C2" w:rsidP="003F3104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Filters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0F996A09" w14:textId="4251881E" w:rsidR="007A64C2" w:rsidRPr="00F10100" w:rsidRDefault="007A64C2" w:rsidP="003F3104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Articles found</w:t>
            </w:r>
          </w:p>
        </w:tc>
      </w:tr>
      <w:tr w:rsidR="007A64C2" w:rsidRPr="00F10100" w14:paraId="5A5C0A53" w14:textId="77777777" w:rsidTr="00FD1FD2">
        <w:tc>
          <w:tcPr>
            <w:tcW w:w="5665" w:type="dxa"/>
          </w:tcPr>
          <w:p w14:paraId="61928A19" w14:textId="10B2E808" w:rsidR="007A64C2" w:rsidRPr="00F10100" w:rsidRDefault="0038194C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  <w:proofErr w:type="gramStart"/>
            <w:r w:rsidRPr="00F10100">
              <w:rPr>
                <w:rFonts w:cstheme="minorHAnsi"/>
                <w:sz w:val="22"/>
                <w:szCs w:val="22"/>
                <w:lang w:val="en-US"/>
              </w:rPr>
              <w:t>Ne</w:t>
            </w:r>
            <w:r w:rsidR="007A64C2" w:rsidRPr="00F10100">
              <w:rPr>
                <w:rFonts w:cstheme="minorHAnsi"/>
                <w:sz w:val="22"/>
                <w:szCs w:val="22"/>
                <w:lang w:val="en-US"/>
              </w:rPr>
              <w:t>ck[</w:t>
            </w:r>
            <w:proofErr w:type="gramEnd"/>
            <w:r w:rsidR="007A64C2" w:rsidRPr="00F10100">
              <w:rPr>
                <w:rFonts w:cstheme="minorHAnsi"/>
                <w:sz w:val="22"/>
                <w:szCs w:val="22"/>
                <w:lang w:val="en-US"/>
              </w:rPr>
              <w:t>Title/Abstract] OR neck[</w:t>
            </w:r>
            <w:proofErr w:type="spellStart"/>
            <w:r w:rsidR="007A64C2"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="007A64C2"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  <w:p w14:paraId="4DC8DAB1" w14:textId="77777777" w:rsidR="007A64C2" w:rsidRPr="00F10100" w:rsidRDefault="007A64C2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Terms] OR oropharynx[Title/Abstract] OR oropharynx[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skull[Title/Abstract] OR skull[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nasopharynx[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nasopharynx[Title/Abstract] OR face[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ear[Title/Abstract] OR ear[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face[Title/Abstract] OR scalp[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scalp[Title/Abstract] OR skull base[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skull base[Title/Abstract] OR parapharyngeal space 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parapharyngeal space [Title/Abstract] OR superficial musculoaponeurotic system[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superficial musculoaponeurotic system[Title/Abstract] OR hypopharynx[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hypopharynx[Title/Abstract] OR pharynx[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pharynx[Title/Abstract] OR brain[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brain[Title/Abstract] </w:t>
            </w:r>
          </w:p>
          <w:p w14:paraId="493D68F8" w14:textId="77777777" w:rsidR="00B66AA7" w:rsidRPr="00F10100" w:rsidRDefault="00B66AA7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57FA5F6D" w14:textId="77777777" w:rsidR="00B66AA7" w:rsidRPr="00F10100" w:rsidRDefault="007A64C2" w:rsidP="007A64C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OR</w:t>
            </w:r>
          </w:p>
          <w:p w14:paraId="2CA15242" w14:textId="53F0CD21" w:rsidR="007A64C2" w:rsidRPr="00F10100" w:rsidRDefault="007A64C2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  <w:p w14:paraId="6288D1DF" w14:textId="35E85212" w:rsidR="007A64C2" w:rsidRPr="00F10100" w:rsidRDefault="007A64C2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squamous cell </w:t>
            </w:r>
            <w:proofErr w:type="gramStart"/>
            <w:r w:rsidRPr="00F10100">
              <w:rPr>
                <w:rFonts w:cstheme="minorHAnsi"/>
                <w:sz w:val="22"/>
                <w:szCs w:val="22"/>
                <w:lang w:val="en-US"/>
              </w:rPr>
              <w:t>neoplasms[</w:t>
            </w:r>
            <w:proofErr w:type="gramEnd"/>
            <w:r w:rsidRPr="00F10100">
              <w:rPr>
                <w:rFonts w:cstheme="minorHAnsi"/>
                <w:sz w:val="22"/>
                <w:szCs w:val="22"/>
                <w:lang w:val="en-US"/>
              </w:rPr>
              <w:t>Title/Abstract] OR squamous cell neoplasms[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squamous cell carcinoma[Title/Abstract] OR squamous cell carcinoma[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head and neck neoplasms[Title/Abstract] OR head and neck neoplasms[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</w:t>
            </w:r>
          </w:p>
          <w:p w14:paraId="17F5F284" w14:textId="77777777" w:rsidR="00B66AA7" w:rsidRPr="00F10100" w:rsidRDefault="00B66AA7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65F60BBD" w14:textId="77777777" w:rsidR="007A64C2" w:rsidRPr="00F10100" w:rsidRDefault="007A64C2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AND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  <w:p w14:paraId="3AE273C5" w14:textId="77777777" w:rsidR="00B66AA7" w:rsidRPr="00F10100" w:rsidRDefault="00B66AA7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0C24C819" w14:textId="77777777" w:rsidR="007A64C2" w:rsidRPr="00F10100" w:rsidRDefault="007A64C2" w:rsidP="007A64C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cranial </w:t>
            </w:r>
            <w:proofErr w:type="gramStart"/>
            <w:r w:rsidRPr="00F10100">
              <w:rPr>
                <w:rFonts w:cstheme="minorHAnsi"/>
                <w:sz w:val="22"/>
                <w:szCs w:val="22"/>
                <w:lang w:val="en-US"/>
              </w:rPr>
              <w:t>irradiation[</w:t>
            </w:r>
            <w:proofErr w:type="gramEnd"/>
            <w:r w:rsidRPr="00F10100">
              <w:rPr>
                <w:rFonts w:cstheme="minorHAnsi"/>
                <w:sz w:val="22"/>
                <w:szCs w:val="22"/>
                <w:lang w:val="en-US"/>
              </w:rPr>
              <w:t>Title/Abstract] OR cranial irradiation[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radiotherapy</w:t>
            </w:r>
            <w:r w:rsidRPr="00F10100">
              <w:rPr>
                <w:rFonts w:cstheme="minorHAnsi"/>
                <w:sz w:val="32"/>
                <w:szCs w:val="32"/>
                <w:lang w:val="en-US"/>
              </w:rPr>
              <w:t xml:space="preserve"> 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[Title/Abstract] OR radiotherapy[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late effects of radiotherapy[Title/Abstract] OR complications of radiotherapy[Title/Abstract] OR </w:t>
            </w:r>
            <w:r w:rsidRPr="00F10100">
              <w:rPr>
                <w:rFonts w:cstheme="minorHAnsi"/>
                <w:sz w:val="22"/>
                <w:szCs w:val="22"/>
                <w:lang w:val="en-US" w:eastAsia="nl-NL"/>
              </w:rPr>
              <w:t>r</w:t>
            </w:r>
            <w:r w:rsidRPr="00310B36">
              <w:rPr>
                <w:rFonts w:cstheme="minorHAnsi"/>
                <w:sz w:val="22"/>
                <w:szCs w:val="22"/>
                <w:lang w:val="en-US" w:eastAsia="nl-NL"/>
              </w:rPr>
              <w:t xml:space="preserve">adiotherapy </w:t>
            </w:r>
            <w:r w:rsidRPr="00F10100">
              <w:rPr>
                <w:rFonts w:cstheme="minorHAnsi"/>
                <w:sz w:val="22"/>
                <w:szCs w:val="22"/>
                <w:lang w:val="en-US" w:eastAsia="nl-NL"/>
              </w:rPr>
              <w:t>d</w:t>
            </w:r>
            <w:r w:rsidRPr="00310B36">
              <w:rPr>
                <w:rFonts w:cstheme="minorHAnsi"/>
                <w:sz w:val="22"/>
                <w:szCs w:val="22"/>
                <w:lang w:val="en-US" w:eastAsia="nl-NL"/>
              </w:rPr>
              <w:t>osag</w:t>
            </w:r>
            <w:r w:rsidRPr="00F10100">
              <w:rPr>
                <w:rFonts w:cstheme="minorHAnsi"/>
                <w:sz w:val="22"/>
                <w:szCs w:val="22"/>
                <w:lang w:val="en-US" w:eastAsia="nl-NL"/>
              </w:rPr>
              <w:t>e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</w:t>
            </w: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B1A77C7" w14:textId="77777777" w:rsidR="00B66AA7" w:rsidRPr="00F10100" w:rsidRDefault="00B66AA7" w:rsidP="007A64C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</w:p>
          <w:p w14:paraId="4BA479B2" w14:textId="77777777" w:rsidR="007A64C2" w:rsidRPr="00F10100" w:rsidRDefault="007A64C2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AND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  <w:p w14:paraId="4F09980E" w14:textId="77777777" w:rsidR="00B66AA7" w:rsidRPr="00F10100" w:rsidRDefault="00B66AA7" w:rsidP="007A64C2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731DC8F3" w14:textId="7A1D286B" w:rsidR="007A64C2" w:rsidRPr="00F10100" w:rsidRDefault="007A64C2" w:rsidP="007A64C2">
            <w:pPr>
              <w:rPr>
                <w:rFonts w:cstheme="minorHAnsi"/>
                <w:sz w:val="32"/>
                <w:szCs w:val="3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hyperbaric oxygen treatment[Title/Abstract] OR hyperbaric oxygen treatment[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hyperbaric oxygen treatments[Title/Abstract] OR hyperbaric oxygen treatments[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hyperbaric oxygenation[Title/Abstract] OR hyperbaric oxygenation[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hyperbaric oxygenations[Title/Abstract] OR hyperbaric oxygenations[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</w:t>
            </w: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OR hyperbaric oxygen therapy[Title/Abstract] OR hyperbaric oxygen therapy[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 OR hyperbaric oxygen therapies[Title/Abstract] OR hyperbaric oxygen therapies[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Terms]</w:t>
            </w:r>
          </w:p>
          <w:p w14:paraId="6BEF9DE2" w14:textId="77777777" w:rsidR="007A64C2" w:rsidRPr="00F10100" w:rsidRDefault="007A64C2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1F5D1491" w14:textId="6D6F4AB9" w:rsidR="007A64C2" w:rsidRPr="00F10100" w:rsidRDefault="007A64C2" w:rsidP="003F3104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761A8E4A" w14:textId="3FEEBD15" w:rsidR="007A64C2" w:rsidRPr="00F10100" w:rsidRDefault="007A64C2" w:rsidP="007A64C2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Randomized Controlled Trial and English</w:t>
            </w:r>
          </w:p>
        </w:tc>
        <w:tc>
          <w:tcPr>
            <w:tcW w:w="1984" w:type="dxa"/>
          </w:tcPr>
          <w:p w14:paraId="50EACA34" w14:textId="1EF1FADB" w:rsidR="007A64C2" w:rsidRPr="00F10100" w:rsidRDefault="007A64C2" w:rsidP="008F391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38</w:t>
            </w:r>
            <w:r w:rsidR="006F0801">
              <w:rPr>
                <w:sz w:val="22"/>
                <w:szCs w:val="22"/>
                <w:lang w:val="en-US"/>
              </w:rPr>
              <w:t>9</w:t>
            </w:r>
          </w:p>
        </w:tc>
      </w:tr>
    </w:tbl>
    <w:p w14:paraId="60FEE8C7" w14:textId="1CED2DBD" w:rsidR="00055D56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2" w:name="_Ref179747903"/>
      <w:bookmarkStart w:id="3" w:name="_Toc180695955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2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. Detailed Overview of the Literature Search in Embase</w:t>
      </w:r>
      <w:bookmarkEnd w:id="2"/>
      <w:bookmarkEnd w:id="3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232"/>
        <w:gridCol w:w="2418"/>
        <w:gridCol w:w="1984"/>
      </w:tblGrid>
      <w:tr w:rsidR="007A64C2" w:rsidRPr="00F10100" w14:paraId="4E72DF83" w14:textId="77777777" w:rsidTr="00B06727">
        <w:tc>
          <w:tcPr>
            <w:tcW w:w="5232" w:type="dxa"/>
            <w:shd w:val="clear" w:color="auto" w:fill="B4C6E7" w:themeFill="accent1" w:themeFillTint="66"/>
          </w:tcPr>
          <w:p w14:paraId="38103A78" w14:textId="048E1DE1" w:rsidR="007A64C2" w:rsidRPr="00F10100" w:rsidRDefault="007A64C2" w:rsidP="00085DF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Search query</w:t>
            </w:r>
          </w:p>
        </w:tc>
        <w:tc>
          <w:tcPr>
            <w:tcW w:w="2418" w:type="dxa"/>
            <w:shd w:val="clear" w:color="auto" w:fill="B4C6E7" w:themeFill="accent1" w:themeFillTint="66"/>
          </w:tcPr>
          <w:p w14:paraId="30448D8F" w14:textId="7FB39B99" w:rsidR="007A64C2" w:rsidRPr="00F10100" w:rsidRDefault="007A64C2" w:rsidP="00085DF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Filters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619FE722" w14:textId="0DD49AD5" w:rsidR="007A64C2" w:rsidRPr="00F10100" w:rsidRDefault="007A64C2" w:rsidP="00085DF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Articles found</w:t>
            </w:r>
          </w:p>
        </w:tc>
      </w:tr>
      <w:tr w:rsidR="007A64C2" w:rsidRPr="00F10100" w14:paraId="1CDA8BD8" w14:textId="77777777" w:rsidTr="00FD1FD2">
        <w:tc>
          <w:tcPr>
            <w:tcW w:w="5232" w:type="dxa"/>
          </w:tcPr>
          <w:p w14:paraId="27F58E77" w14:textId="67CCF97C" w:rsidR="007A64C2" w:rsidRPr="00F10100" w:rsidRDefault="007A64C2" w:rsidP="00085DF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((('head and neck cancer'/exp OR 'head and neck cancer') AND head AND neck AND ('cancer'/exp OR cancer) AND 'radiation'/exp OR 'radiation') AND 'irradiation'/exp OR 'irradiation') AND ('hyperbaric oxygen therapy'/exp OR 'hyperbaric oxygen therapy')</w:t>
            </w:r>
          </w:p>
        </w:tc>
        <w:tc>
          <w:tcPr>
            <w:tcW w:w="2418" w:type="dxa"/>
          </w:tcPr>
          <w:p w14:paraId="40E6C4A2" w14:textId="149CE7EB" w:rsidR="007A64C2" w:rsidRPr="00F10100" w:rsidRDefault="007A64C2" w:rsidP="007A64C2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Human, observational study, prospective study, randomized controlled trial, retrospective study, and article</w:t>
            </w:r>
          </w:p>
        </w:tc>
        <w:tc>
          <w:tcPr>
            <w:tcW w:w="1984" w:type="dxa"/>
          </w:tcPr>
          <w:p w14:paraId="126737F6" w14:textId="63B30C6C" w:rsidR="007A64C2" w:rsidRPr="00F10100" w:rsidRDefault="007A64C2" w:rsidP="00085DF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208</w:t>
            </w:r>
          </w:p>
        </w:tc>
      </w:tr>
    </w:tbl>
    <w:p w14:paraId="799408E2" w14:textId="77777777" w:rsidR="00085DFC" w:rsidRPr="00F10100" w:rsidRDefault="00085DFC" w:rsidP="00085DFC">
      <w:pPr>
        <w:rPr>
          <w:rFonts w:cstheme="minorHAnsi"/>
          <w:sz w:val="22"/>
          <w:szCs w:val="22"/>
          <w:lang w:val="en-US"/>
        </w:rPr>
      </w:pPr>
    </w:p>
    <w:p w14:paraId="3ADB3F6B" w14:textId="7F011A66" w:rsidR="00055D56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4" w:name="_Ref179748008"/>
      <w:bookmarkStart w:id="5" w:name="_Toc180695956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3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. Detailed Overview of the Literature Search in Cochrane Library</w:t>
      </w:r>
      <w:bookmarkEnd w:id="4"/>
      <w:bookmarkEnd w:id="5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240"/>
        <w:gridCol w:w="2410"/>
        <w:gridCol w:w="1984"/>
      </w:tblGrid>
      <w:tr w:rsidR="007A64C2" w:rsidRPr="00F10100" w14:paraId="7FA1865E" w14:textId="77777777" w:rsidTr="00B06727">
        <w:tc>
          <w:tcPr>
            <w:tcW w:w="5240" w:type="dxa"/>
            <w:shd w:val="clear" w:color="auto" w:fill="B4C6E7" w:themeFill="accent1" w:themeFillTint="66"/>
          </w:tcPr>
          <w:p w14:paraId="63D3D757" w14:textId="6788C19F" w:rsidR="007A64C2" w:rsidRPr="00F10100" w:rsidRDefault="007A64C2" w:rsidP="0001319A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Search query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0B3B0BE8" w14:textId="3A679FD0" w:rsidR="007A64C2" w:rsidRPr="00F10100" w:rsidRDefault="007A64C2" w:rsidP="0001319A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Filters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50F91B84" w14:textId="48840184" w:rsidR="007A64C2" w:rsidRPr="00F10100" w:rsidRDefault="007A64C2" w:rsidP="0001319A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Articles found</w:t>
            </w:r>
          </w:p>
        </w:tc>
      </w:tr>
      <w:tr w:rsidR="007A64C2" w:rsidRPr="00F10100" w14:paraId="25A401C8" w14:textId="77777777" w:rsidTr="00FD1FD2">
        <w:tc>
          <w:tcPr>
            <w:tcW w:w="5240" w:type="dxa"/>
          </w:tcPr>
          <w:p w14:paraId="684822E4" w14:textId="77777777" w:rsidR="007A64C2" w:rsidRPr="00F10100" w:rsidRDefault="007A64C2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(‘’hyperbaric oxygen therapy’’</w:t>
            </w:r>
            <w:proofErr w:type="gramStart"/>
            <w:r w:rsidRPr="00F10100">
              <w:rPr>
                <w:rFonts w:cstheme="minorHAnsi"/>
                <w:sz w:val="22"/>
                <w:szCs w:val="22"/>
                <w:lang w:val="en-US"/>
              </w:rPr>
              <w:t>):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ti</w:t>
            </w:r>
            <w:proofErr w:type="gramEnd"/>
            <w:r w:rsidRPr="00F10100">
              <w:rPr>
                <w:rFonts w:cstheme="minorHAnsi"/>
                <w:sz w:val="22"/>
                <w:szCs w:val="22"/>
                <w:lang w:val="en-US"/>
              </w:rPr>
              <w:t>,ab,kw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Descriptor: [Hyperbaric Oxygenation] explode all trees AND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descriptor: [Head and neck neoplasms] explode all trees OR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MeSH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descriptor: [Squamous Cell Carcinoma of Head and Neck] explode all trees AND</w:t>
            </w:r>
            <w:r w:rsidRPr="00F10100">
              <w:rPr>
                <w:rFonts w:cstheme="minorHAnsi"/>
                <w:lang w:val="en-US"/>
              </w:rPr>
              <w:t xml:space="preserve"> 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("cranial irradiation"):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ti,ab,kw</w:t>
            </w:r>
            <w:proofErr w:type="spellEnd"/>
          </w:p>
          <w:p w14:paraId="72ACC82B" w14:textId="77777777" w:rsidR="007A64C2" w:rsidRPr="00F10100" w:rsidRDefault="007A64C2" w:rsidP="0001319A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27D9DC21" w14:textId="250CF0D2" w:rsidR="007A64C2" w:rsidRPr="00F10100" w:rsidRDefault="007A64C2" w:rsidP="007A64C2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Trials, no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pubmed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and no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embase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articles</w:t>
            </w:r>
          </w:p>
        </w:tc>
        <w:tc>
          <w:tcPr>
            <w:tcW w:w="1984" w:type="dxa"/>
          </w:tcPr>
          <w:p w14:paraId="69881BEB" w14:textId="08D72846" w:rsidR="007A64C2" w:rsidRPr="00F10100" w:rsidRDefault="007A64C2" w:rsidP="00A1338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6F0801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</w:tr>
    </w:tbl>
    <w:p w14:paraId="50B40D1A" w14:textId="77777777" w:rsidR="003257DA" w:rsidRDefault="003257DA" w:rsidP="0024591A">
      <w:pPr>
        <w:pStyle w:val="Kop1"/>
        <w:rPr>
          <w:rFonts w:asciiTheme="minorHAnsi" w:eastAsiaTheme="minorHAnsi" w:hAnsiTheme="minorHAnsi" w:cstheme="minorHAnsi"/>
          <w:color w:val="auto"/>
          <w:sz w:val="22"/>
          <w:szCs w:val="22"/>
          <w:lang w:val="en-US"/>
        </w:rPr>
      </w:pPr>
      <w:bookmarkStart w:id="6" w:name="_Ref179748086"/>
    </w:p>
    <w:p w14:paraId="112BDA49" w14:textId="64C42D5B" w:rsidR="00F3098D" w:rsidRPr="009E150A" w:rsidRDefault="003257DA" w:rsidP="00F3098D">
      <w:pPr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br w:type="page"/>
      </w:r>
      <w:bookmarkEnd w:id="6"/>
    </w:p>
    <w:p w14:paraId="7FB75455" w14:textId="50EE65CC" w:rsidR="00F3098D" w:rsidRPr="00F10100" w:rsidRDefault="00F3098D" w:rsidP="00725E4E">
      <w:pPr>
        <w:rPr>
          <w:rFonts w:cstheme="minorHAnsi"/>
          <w:b/>
          <w:bCs/>
          <w:sz w:val="22"/>
          <w:szCs w:val="22"/>
          <w:lang w:val="en-US"/>
        </w:rPr>
        <w:sectPr w:rsidR="00F3098D" w:rsidRPr="00F10100" w:rsidSect="00221436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Tabelraster"/>
        <w:tblpPr w:leftFromText="141" w:rightFromText="141" w:horzAnchor="margin" w:tblpXSpec="center" w:tblpY="365"/>
        <w:tblW w:w="15707" w:type="dxa"/>
        <w:tblLook w:val="04A0" w:firstRow="1" w:lastRow="0" w:firstColumn="1" w:lastColumn="0" w:noHBand="0" w:noVBand="1"/>
      </w:tblPr>
      <w:tblGrid>
        <w:gridCol w:w="1052"/>
        <w:gridCol w:w="1482"/>
        <w:gridCol w:w="1193"/>
        <w:gridCol w:w="1102"/>
        <w:gridCol w:w="1309"/>
        <w:gridCol w:w="1309"/>
        <w:gridCol w:w="1294"/>
        <w:gridCol w:w="1309"/>
        <w:gridCol w:w="1102"/>
        <w:gridCol w:w="1084"/>
        <w:gridCol w:w="1193"/>
        <w:gridCol w:w="1346"/>
        <w:gridCol w:w="932"/>
      </w:tblGrid>
      <w:tr w:rsidR="00725E4E" w:rsidRPr="00F10100" w14:paraId="76124349" w14:textId="5155698E" w:rsidTr="00B06727">
        <w:tc>
          <w:tcPr>
            <w:tcW w:w="1052" w:type="dxa"/>
            <w:shd w:val="clear" w:color="auto" w:fill="B4C6E7" w:themeFill="accent1" w:themeFillTint="66"/>
          </w:tcPr>
          <w:p w14:paraId="3B0CEEBC" w14:textId="48ED67F1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lastRenderedPageBreak/>
              <w:t>Study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7A2F8558" w14:textId="7A4E0562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true randomization used for assignment of participants to treatment groups?</w:t>
            </w:r>
          </w:p>
        </w:tc>
        <w:tc>
          <w:tcPr>
            <w:tcW w:w="1193" w:type="dxa"/>
            <w:shd w:val="clear" w:color="auto" w:fill="B4C6E7" w:themeFill="accent1" w:themeFillTint="66"/>
          </w:tcPr>
          <w:p w14:paraId="0C1B7303" w14:textId="7EBFB18C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allocation to treatment groups concealed?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1417FF40" w14:textId="3B4A4016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treatment groups similar at the baseline?</w:t>
            </w:r>
          </w:p>
        </w:tc>
        <w:tc>
          <w:tcPr>
            <w:tcW w:w="1309" w:type="dxa"/>
            <w:shd w:val="clear" w:color="auto" w:fill="B4C6E7" w:themeFill="accent1" w:themeFillTint="66"/>
          </w:tcPr>
          <w:p w14:paraId="77A806D3" w14:textId="4C4F30F0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participants blind to treatment assignment?</w:t>
            </w:r>
          </w:p>
        </w:tc>
        <w:tc>
          <w:tcPr>
            <w:tcW w:w="1309" w:type="dxa"/>
            <w:shd w:val="clear" w:color="auto" w:fill="B4C6E7" w:themeFill="accent1" w:themeFillTint="66"/>
          </w:tcPr>
          <w:p w14:paraId="041ABEEC" w14:textId="705C63DC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those delivering the treatment blind to treatment assignment?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111B175D" w14:textId="15A32E11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treatment groups treated identically other than the intervention of interest?</w:t>
            </w:r>
          </w:p>
        </w:tc>
        <w:tc>
          <w:tcPr>
            <w:tcW w:w="1309" w:type="dxa"/>
            <w:shd w:val="clear" w:color="auto" w:fill="B4C6E7" w:themeFill="accent1" w:themeFillTint="66"/>
          </w:tcPr>
          <w:p w14:paraId="575C0407" w14:textId="51C0A407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outcome assessors blind to treatment assignment?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0013780F" w14:textId="5F7EE8D4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outcomes measured in the same way for treatment groups?</w:t>
            </w:r>
          </w:p>
        </w:tc>
        <w:tc>
          <w:tcPr>
            <w:tcW w:w="1084" w:type="dxa"/>
            <w:shd w:val="clear" w:color="auto" w:fill="B4C6E7" w:themeFill="accent1" w:themeFillTint="66"/>
          </w:tcPr>
          <w:p w14:paraId="05F18010" w14:textId="1896F7CD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outcomes measured in a reliable way?</w:t>
            </w:r>
          </w:p>
        </w:tc>
        <w:tc>
          <w:tcPr>
            <w:tcW w:w="1193" w:type="dxa"/>
            <w:shd w:val="clear" w:color="auto" w:fill="B4C6E7" w:themeFill="accent1" w:themeFillTint="66"/>
          </w:tcPr>
          <w:p w14:paraId="1CCAAA87" w14:textId="475BAFA3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Was follow up complete and if not, were differences between groups in terms of their follow up adequately described and </w:t>
            </w:r>
            <w:proofErr w:type="spellStart"/>
            <w:r w:rsidRPr="00F10100">
              <w:rPr>
                <w:b/>
                <w:bCs/>
                <w:sz w:val="21"/>
                <w:szCs w:val="21"/>
                <w:lang w:val="en-US"/>
              </w:rPr>
              <w:t>analysed</w:t>
            </w:r>
            <w:proofErr w:type="spellEnd"/>
            <w:r w:rsidRPr="00F10100">
              <w:rPr>
                <w:b/>
                <w:bCs/>
                <w:sz w:val="21"/>
                <w:szCs w:val="21"/>
                <w:lang w:val="en-US"/>
              </w:rPr>
              <w:t>?</w:t>
            </w:r>
          </w:p>
        </w:tc>
        <w:tc>
          <w:tcPr>
            <w:tcW w:w="1346" w:type="dxa"/>
            <w:shd w:val="clear" w:color="auto" w:fill="B4C6E7" w:themeFill="accent1" w:themeFillTint="66"/>
          </w:tcPr>
          <w:p w14:paraId="4855FCA1" w14:textId="77777777" w:rsidR="00725E4E" w:rsidRPr="00F10100" w:rsidRDefault="00725E4E" w:rsidP="00725E4E">
            <w:pPr>
              <w:rPr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Were participants </w:t>
            </w:r>
            <w:proofErr w:type="spellStart"/>
            <w:r w:rsidRPr="00F10100">
              <w:rPr>
                <w:b/>
                <w:bCs/>
                <w:sz w:val="21"/>
                <w:szCs w:val="21"/>
                <w:lang w:val="en-US"/>
              </w:rPr>
              <w:t>analysed</w:t>
            </w:r>
            <w:proofErr w:type="spellEnd"/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 in the groups to which they were randomized?</w:t>
            </w:r>
          </w:p>
          <w:p w14:paraId="25FCAD78" w14:textId="77777777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32" w:type="dxa"/>
            <w:shd w:val="clear" w:color="auto" w:fill="B4C6E7" w:themeFill="accent1" w:themeFillTint="66"/>
          </w:tcPr>
          <w:p w14:paraId="69978D3D" w14:textId="265CF20D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Overall study quality</w:t>
            </w:r>
          </w:p>
        </w:tc>
      </w:tr>
      <w:tr w:rsidR="00725E4E" w:rsidRPr="00F10100" w14:paraId="4EDF1EB7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789D52B6" w14:textId="632BCFDD" w:rsidR="00725E4E" w:rsidRPr="00F10100" w:rsidRDefault="00725E4E" w:rsidP="00725E4E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RJ Shaw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A8D08D" w:themeFill="accent6" w:themeFillTint="99"/>
          </w:tcPr>
          <w:p w14:paraId="467B145E" w14:textId="30F64057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7AC9248D" w14:textId="74E4805A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118C1D3A" w14:textId="59CF8234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4749F20B" w14:textId="37FB7131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7AD75DC5" w14:textId="54BCC0B8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33353D3D" w14:textId="19C89326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1C7B0B94" w14:textId="2B09005D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3777EC02" w14:textId="5D39CB9F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0EA5C7E5" w14:textId="3F5DB3D6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08F25464" w14:textId="1FD59264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539C3CA5" w14:textId="2A771C75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A8D08D" w:themeFill="accent6" w:themeFillTint="99"/>
          </w:tcPr>
          <w:p w14:paraId="2BCF6840" w14:textId="46E85549" w:rsidR="00725E4E" w:rsidRPr="00F10100" w:rsidRDefault="00725E4E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High</w:t>
            </w:r>
          </w:p>
        </w:tc>
      </w:tr>
      <w:tr w:rsidR="005D4F2A" w:rsidRPr="00F10100" w14:paraId="1DB8981B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60AA268C" w14:textId="767C3D63" w:rsidR="005D4F2A" w:rsidRPr="00F10100" w:rsidRDefault="005D4F2A" w:rsidP="005D4F2A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LE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Forner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A8D08D" w:themeFill="accent6" w:themeFillTint="99"/>
          </w:tcPr>
          <w:p w14:paraId="7A95C16A" w14:textId="33906B97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5E2A09AD" w14:textId="143066D9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0DC20998" w14:textId="3A341E62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67F6B43A" w14:textId="417E5921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7E6D151F" w14:textId="27422C8B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39D0305C" w14:textId="63C55B56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02DC1B0F" w14:textId="6D033E00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5106B590" w14:textId="171A38F0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0970281D" w14:textId="7F98BBEA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2EBFA000" w14:textId="1133AA29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0869F413" w14:textId="3C20FD23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A8D08D" w:themeFill="accent6" w:themeFillTint="99"/>
          </w:tcPr>
          <w:p w14:paraId="63C528BC" w14:textId="402E9746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High</w:t>
            </w:r>
          </w:p>
        </w:tc>
      </w:tr>
      <w:tr w:rsidR="005D4F2A" w:rsidRPr="00F10100" w14:paraId="2C777533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725E00CF" w14:textId="5597F3AF" w:rsidR="005D4F2A" w:rsidRPr="00F10100" w:rsidRDefault="005D4F2A" w:rsidP="005D4F2A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DN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Teguh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A8D08D" w:themeFill="accent6" w:themeFillTint="99"/>
          </w:tcPr>
          <w:p w14:paraId="1B520541" w14:textId="074BA0EE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FFD966" w:themeFill="accent4" w:themeFillTint="99"/>
          </w:tcPr>
          <w:p w14:paraId="34A0526D" w14:textId="72146831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0586E1D7" w14:textId="2DB33548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22929819" w14:textId="57539B79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6CE1CA40" w14:textId="2DF69F48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2D18EAEB" w14:textId="3194457B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2FF901FA" w14:textId="79F739D0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7ECDAE08" w14:textId="5901E2C7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339A5D6C" w14:textId="3509E588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43FEBD18" w14:textId="309B7743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1EA918CA" w14:textId="0F50BA1B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A8D08D" w:themeFill="accent6" w:themeFillTint="99"/>
          </w:tcPr>
          <w:p w14:paraId="5828B368" w14:textId="566E1E7D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High</w:t>
            </w:r>
          </w:p>
        </w:tc>
      </w:tr>
      <w:tr w:rsidR="005D4F2A" w:rsidRPr="00F10100" w14:paraId="2C3F2487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0C0BE33E" w14:textId="78D1D844" w:rsidR="005D4F2A" w:rsidRPr="00F10100" w:rsidRDefault="005D4F2A" w:rsidP="005D4F2A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PJ Schoen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C45911" w:themeFill="accent2" w:themeFillShade="BF"/>
          </w:tcPr>
          <w:p w14:paraId="3F1966C3" w14:textId="29F05B50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193" w:type="dxa"/>
            <w:shd w:val="clear" w:color="auto" w:fill="FFD966" w:themeFill="accent4" w:themeFillTint="99"/>
          </w:tcPr>
          <w:p w14:paraId="4C882B3E" w14:textId="741326DC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1EEFD2A6" w14:textId="1DC6B4D1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7170FE12" w14:textId="67822F41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16CFFB97" w14:textId="42365854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43F39DDB" w14:textId="39E75506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73FBB7C4" w14:textId="247EF389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1AC5D8E9" w14:textId="503D4588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331F1C1E" w14:textId="78FB9A23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FFD966" w:themeFill="accent4" w:themeFillTint="99"/>
          </w:tcPr>
          <w:p w14:paraId="4B866A96" w14:textId="685ADF2D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7EB3E577" w14:textId="60BA68E4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C45911" w:themeFill="accent2" w:themeFillShade="BF"/>
          </w:tcPr>
          <w:p w14:paraId="5676F26D" w14:textId="33453214" w:rsidR="005D4F2A" w:rsidRPr="00F10100" w:rsidRDefault="005D4F2A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Low</w:t>
            </w:r>
          </w:p>
        </w:tc>
      </w:tr>
      <w:tr w:rsidR="002936D5" w:rsidRPr="00F10100" w14:paraId="44FE1920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22C44122" w14:textId="541F07A7" w:rsidR="002936D5" w:rsidRPr="00F10100" w:rsidRDefault="002936D5" w:rsidP="002936D5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J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Svalestad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A8D08D" w:themeFill="accent6" w:themeFillTint="99"/>
          </w:tcPr>
          <w:p w14:paraId="5E0380E1" w14:textId="1880527F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FFD966" w:themeFill="accent4" w:themeFillTint="99"/>
          </w:tcPr>
          <w:p w14:paraId="4774152C" w14:textId="6F1A1EE3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4B5D263B" w14:textId="345F01D8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4F9078D4" w14:textId="7CD58834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C45911" w:themeFill="accent2" w:themeFillShade="BF"/>
          </w:tcPr>
          <w:p w14:paraId="74783D38" w14:textId="14263E27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43D1963D" w14:textId="391A8A3B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5A7D769A" w14:textId="0F726509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1A3BE6FC" w14:textId="745466BB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071920C0" w14:textId="4CA67489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C45911" w:themeFill="accent2" w:themeFillShade="BF"/>
          </w:tcPr>
          <w:p w14:paraId="6A0A1900" w14:textId="6130052E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206DF822" w14:textId="025053FC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A8D08D" w:themeFill="accent6" w:themeFillTint="99"/>
          </w:tcPr>
          <w:p w14:paraId="35D4EFBE" w14:textId="2F54C2EA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High</w:t>
            </w:r>
          </w:p>
        </w:tc>
      </w:tr>
      <w:tr w:rsidR="002936D5" w:rsidRPr="00F10100" w14:paraId="31C718A0" w14:textId="77777777" w:rsidTr="00B06727">
        <w:tc>
          <w:tcPr>
            <w:tcW w:w="1052" w:type="dxa"/>
            <w:shd w:val="clear" w:color="auto" w:fill="B4C6E7" w:themeFill="accent1" w:themeFillTint="66"/>
          </w:tcPr>
          <w:p w14:paraId="7ECFF3ED" w14:textId="44EC48ED" w:rsidR="002936D5" w:rsidRPr="00F10100" w:rsidRDefault="002936D5" w:rsidP="002936D5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D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Annane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482" w:type="dxa"/>
            <w:shd w:val="clear" w:color="auto" w:fill="A8D08D" w:themeFill="accent6" w:themeFillTint="99"/>
          </w:tcPr>
          <w:p w14:paraId="0ACDB81F" w14:textId="013BE8AE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111D3BD4" w14:textId="1365AD5D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298D0132" w14:textId="48B74EAA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21739217" w14:textId="468268A7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69B8354C" w14:textId="503D6CB2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294" w:type="dxa"/>
            <w:shd w:val="clear" w:color="auto" w:fill="A8D08D" w:themeFill="accent6" w:themeFillTint="99"/>
          </w:tcPr>
          <w:p w14:paraId="5AE1A69C" w14:textId="41EB70D5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09" w:type="dxa"/>
            <w:shd w:val="clear" w:color="auto" w:fill="A8D08D" w:themeFill="accent6" w:themeFillTint="99"/>
          </w:tcPr>
          <w:p w14:paraId="1DC18E22" w14:textId="40645692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02" w:type="dxa"/>
            <w:shd w:val="clear" w:color="auto" w:fill="A8D08D" w:themeFill="accent6" w:themeFillTint="99"/>
          </w:tcPr>
          <w:p w14:paraId="25767190" w14:textId="6BD2E29A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4BEF7887" w14:textId="49093FC2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93" w:type="dxa"/>
            <w:shd w:val="clear" w:color="auto" w:fill="A8D08D" w:themeFill="accent6" w:themeFillTint="99"/>
          </w:tcPr>
          <w:p w14:paraId="3CEFBD5E" w14:textId="61013280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6" w:type="dxa"/>
            <w:shd w:val="clear" w:color="auto" w:fill="A8D08D" w:themeFill="accent6" w:themeFillTint="99"/>
          </w:tcPr>
          <w:p w14:paraId="54408F52" w14:textId="110EF90D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932" w:type="dxa"/>
            <w:shd w:val="clear" w:color="auto" w:fill="A8D08D" w:themeFill="accent6" w:themeFillTint="99"/>
          </w:tcPr>
          <w:p w14:paraId="4BC72444" w14:textId="61C6696A" w:rsidR="002936D5" w:rsidRPr="00F10100" w:rsidRDefault="002936D5" w:rsidP="002936D5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High</w:t>
            </w:r>
          </w:p>
        </w:tc>
      </w:tr>
    </w:tbl>
    <w:tbl>
      <w:tblPr>
        <w:tblStyle w:val="Tabelraster"/>
        <w:tblpPr w:leftFromText="141" w:rightFromText="141" w:vertAnchor="text" w:horzAnchor="page" w:tblpX="521" w:tblpY="-7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24591A" w:rsidRPr="006A24BE" w14:paraId="59FF4542" w14:textId="77777777" w:rsidTr="0024591A">
        <w:tc>
          <w:tcPr>
            <w:tcW w:w="13992" w:type="dxa"/>
            <w:shd w:val="clear" w:color="auto" w:fill="auto"/>
          </w:tcPr>
          <w:p w14:paraId="6EB26463" w14:textId="77777777" w:rsidR="0024591A" w:rsidRPr="00A62D43" w:rsidRDefault="0024591A" w:rsidP="0024591A">
            <w:pPr>
              <w:pStyle w:val="Kop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7" w:name="_Ref179748367"/>
          </w:p>
          <w:p w14:paraId="7B572A50" w14:textId="7C3B3D0F" w:rsidR="0024591A" w:rsidRPr="00A62D43" w:rsidRDefault="0024591A" w:rsidP="0024591A">
            <w:pPr>
              <w:pStyle w:val="Kop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8" w:name="_Toc180695958"/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Table </w: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instrText xml:space="preserve"> SEQ Table \* ARABIC </w:instrTex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. Result</w:t>
            </w:r>
            <w:r w:rsidR="005D2FE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of the Assessment of Risk of Bias in Included Randomized Controlled Trials Using the JBI Critical Appraisal Tool</w:t>
            </w:r>
            <w:bookmarkEnd w:id="7"/>
            <w:bookmarkEnd w:id="8"/>
          </w:p>
        </w:tc>
      </w:tr>
    </w:tbl>
    <w:p w14:paraId="372B4760" w14:textId="64A32677" w:rsidR="00725E4E" w:rsidRPr="00F10100" w:rsidRDefault="00725E4E" w:rsidP="00725E4E">
      <w:pPr>
        <w:rPr>
          <w:rFonts w:cstheme="minorHAnsi"/>
          <w:b/>
          <w:bCs/>
          <w:sz w:val="22"/>
          <w:szCs w:val="22"/>
          <w:lang w:val="en-US"/>
        </w:rPr>
        <w:sectPr w:rsidR="00725E4E" w:rsidRPr="00F10100" w:rsidSect="00725E4E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F6CD8FA" w14:textId="40494B60" w:rsidR="00B06727" w:rsidRPr="00B06727" w:rsidRDefault="00B06727" w:rsidP="00B06727">
      <w:pPr>
        <w:rPr>
          <w:b/>
          <w:bCs/>
          <w:sz w:val="22"/>
          <w:szCs w:val="22"/>
          <w:lang w:val="en-US"/>
        </w:rPr>
      </w:pPr>
    </w:p>
    <w:tbl>
      <w:tblPr>
        <w:tblStyle w:val="Tabelraster"/>
        <w:tblpPr w:leftFromText="141" w:rightFromText="141" w:vertAnchor="page" w:horzAnchor="margin" w:tblpXSpec="center" w:tblpY="1313"/>
        <w:tblW w:w="16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417"/>
        <w:gridCol w:w="1418"/>
        <w:gridCol w:w="1984"/>
        <w:gridCol w:w="1134"/>
        <w:gridCol w:w="1134"/>
        <w:gridCol w:w="1134"/>
        <w:gridCol w:w="1276"/>
        <w:gridCol w:w="1276"/>
        <w:gridCol w:w="850"/>
      </w:tblGrid>
      <w:tr w:rsidR="00FC3EED" w:rsidRPr="006A24BE" w14:paraId="2BF9FBD9" w14:textId="77777777" w:rsidTr="00FC3EED">
        <w:trPr>
          <w:gridAfter w:val="2"/>
          <w:wAfter w:w="2126" w:type="dxa"/>
        </w:trPr>
        <w:tc>
          <w:tcPr>
            <w:tcW w:w="14459" w:type="dxa"/>
            <w:gridSpan w:val="11"/>
            <w:shd w:val="clear" w:color="auto" w:fill="auto"/>
          </w:tcPr>
          <w:p w14:paraId="5B60CF35" w14:textId="07A25746" w:rsidR="00FC3EED" w:rsidRPr="00A62D43" w:rsidRDefault="00B06727" w:rsidP="0024591A">
            <w:pPr>
              <w:pStyle w:val="Kop1"/>
              <w:rPr>
                <w:rFonts w:asciiTheme="minorHAnsi" w:hAnsiTheme="minorHAnsi" w:cstheme="minorHAnsi"/>
                <w:b/>
                <w:bCs/>
                <w:lang w:val="en-US"/>
              </w:rPr>
            </w:pPr>
            <w:bookmarkStart w:id="9" w:name="_Ref179748407"/>
            <w:bookmarkStart w:id="10" w:name="_Toc180695959"/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Table </w: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instrText xml:space="preserve"> SEQ Table \* ARABIC </w:instrTex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24591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. Result</w:t>
            </w:r>
            <w:r w:rsidR="005D2FE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Pr="00A62D4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of the Assessment of Risk of Bias in Included Cohort Studies Using the JBI Critical Appraisal Tool</w:t>
            </w:r>
            <w:bookmarkEnd w:id="9"/>
            <w:bookmarkEnd w:id="10"/>
          </w:p>
        </w:tc>
      </w:tr>
      <w:tr w:rsidR="00FC3EED" w:rsidRPr="00F10100" w14:paraId="0A166C96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303F7446" w14:textId="77777777" w:rsidR="00FC3EED" w:rsidRPr="00F10100" w:rsidRDefault="00FC3EED" w:rsidP="00FC3EE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Study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D5C5D00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b/>
                <w:bCs/>
                <w:sz w:val="21"/>
                <w:szCs w:val="21"/>
                <w:lang w:val="en-US"/>
              </w:rPr>
              <w:t>Were the two groups similar and recruited from the same population?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B688BFD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the exposures measured similarly to assign people to both exposed and unexposed groups?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4CF2B38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the exposure measured in a valid and reliable way?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AB9FA07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10100">
              <w:rPr>
                <w:b/>
                <w:bCs/>
                <w:sz w:val="21"/>
                <w:szCs w:val="21"/>
                <w:lang w:val="en-US"/>
              </w:rPr>
              <w:t>Were</w:t>
            </w:r>
            <w:proofErr w:type="spellEnd"/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 confounding factors identified?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4BB9D3F5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strategies to deal with confounding factors stated?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330529C2" w14:textId="2F8BF59C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Were the groups/participants free of the outcome at the start of the study (or </w:t>
            </w:r>
            <w:proofErr w:type="gramStart"/>
            <w:r w:rsidRPr="00F10100">
              <w:rPr>
                <w:b/>
                <w:bCs/>
                <w:sz w:val="21"/>
                <w:szCs w:val="21"/>
                <w:lang w:val="en-US"/>
              </w:rPr>
              <w:t>at the moment</w:t>
            </w:r>
            <w:proofErr w:type="gramEnd"/>
            <w:r w:rsidRPr="00F10100">
              <w:rPr>
                <w:b/>
                <w:bCs/>
                <w:sz w:val="21"/>
                <w:szCs w:val="21"/>
                <w:lang w:val="en-US"/>
              </w:rPr>
              <w:t xml:space="preserve"> of exposure)?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81FC374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the outcomes measured in a valid and reliable way?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59A1A06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the follow up time reported and sufficient to be long enough for outcomes to occur?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3E52CB3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follow up complete, and if not, were the reasons to loss to follow up described and explored?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9F0A4AC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Were strategies to address incomplete follow up utilized?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FEA2591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b/>
                <w:bCs/>
                <w:sz w:val="21"/>
                <w:szCs w:val="21"/>
                <w:lang w:val="en-US"/>
              </w:rPr>
              <w:t>Was appropriate statistical analysis used?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24AFDF4E" w14:textId="77777777" w:rsidR="00FC3EED" w:rsidRPr="00F10100" w:rsidRDefault="00FC3EED" w:rsidP="00FC3EED">
            <w:pPr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b/>
                <w:bCs/>
                <w:sz w:val="21"/>
                <w:szCs w:val="21"/>
                <w:lang w:val="en-US"/>
              </w:rPr>
              <w:t>Overall study quality</w:t>
            </w:r>
          </w:p>
        </w:tc>
      </w:tr>
      <w:tr w:rsidR="00FC3EED" w:rsidRPr="00F10100" w14:paraId="59DAC8BD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2B7DB00A" w14:textId="6D7719CD" w:rsidR="00FC3EED" w:rsidRPr="00F10100" w:rsidRDefault="00FC3EED" w:rsidP="00FC3EED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 Helmers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0FD7371E" w14:textId="5DD734BE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276" w:type="dxa"/>
          </w:tcPr>
          <w:p w14:paraId="4E6A3850" w14:textId="21745DBD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BFF3AAA" w14:textId="1AFD1688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14:paraId="697A7149" w14:textId="15ADCC7A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418" w:type="dxa"/>
          </w:tcPr>
          <w:p w14:paraId="1958DC15" w14:textId="14CC3EBA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00FFCDF3" w14:textId="7DFE20FA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08C9F38" w14:textId="19440950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DC50D2C" w14:textId="62260A84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6B9730AA" w14:textId="15F80A33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</w:tcPr>
          <w:p w14:paraId="2232E83D" w14:textId="76605828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16043704" w14:textId="2F10543B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850" w:type="dxa"/>
            <w:shd w:val="clear" w:color="auto" w:fill="C45911" w:themeFill="accent2" w:themeFillShade="BF"/>
          </w:tcPr>
          <w:p w14:paraId="3ABF598A" w14:textId="6ECF6745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Low</w:t>
            </w:r>
          </w:p>
        </w:tc>
      </w:tr>
      <w:tr w:rsidR="00A32812" w:rsidRPr="00F10100" w14:paraId="0FDC4FD6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3953F10C" w14:textId="7B8FF75A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J Vidmar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645332E6" w14:textId="177A063F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66D47DB7" w14:textId="61CE948A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0E7BF5C" w14:textId="2E3EBA55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14:paraId="55A4D2C9" w14:textId="7BD1EEB4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418" w:type="dxa"/>
          </w:tcPr>
          <w:p w14:paraId="2F3742DC" w14:textId="51BA7643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760CCF0E" w14:textId="044FE4C4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47043D2" w14:textId="3376E3E2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1E6B352" w14:textId="728B0484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A7A1712" w14:textId="60AE9D50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C45911" w:themeFill="accent2" w:themeFillShade="BF"/>
          </w:tcPr>
          <w:p w14:paraId="48D3F5EA" w14:textId="052904A6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276" w:type="dxa"/>
          </w:tcPr>
          <w:p w14:paraId="068DECD3" w14:textId="3563D3ED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0DC313D3" w14:textId="03D6B1DF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High</w:t>
            </w:r>
          </w:p>
        </w:tc>
      </w:tr>
      <w:tr w:rsidR="00A32812" w:rsidRPr="00F10100" w14:paraId="2B1E859D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3BA20EAF" w14:textId="76B47A3B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K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Cankar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531A2272" w14:textId="5BC2AAEB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2CA84535" w14:textId="3FE9134F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E73DB45" w14:textId="12F1B2FE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14:paraId="4DAFB7D0" w14:textId="6283F243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418" w:type="dxa"/>
          </w:tcPr>
          <w:p w14:paraId="692B86EB" w14:textId="5E9FABA9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45E3D5D7" w14:textId="12D82057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08F653B" w14:textId="7FE5AA84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282B7741" w14:textId="0F74E3CC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34" w:type="dxa"/>
            <w:shd w:val="clear" w:color="auto" w:fill="C45911" w:themeFill="accent2" w:themeFillShade="BF"/>
          </w:tcPr>
          <w:p w14:paraId="268AC4E4" w14:textId="27E4935A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276" w:type="dxa"/>
          </w:tcPr>
          <w:p w14:paraId="34B03539" w14:textId="54AC0C40" w:rsidR="00A32812" w:rsidRPr="00F10100" w:rsidRDefault="00A32812" w:rsidP="00A32812">
            <w:pPr>
              <w:jc w:val="center"/>
              <w:rPr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66F68FBD" w14:textId="14F8868E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850" w:type="dxa"/>
            <w:shd w:val="clear" w:color="auto" w:fill="C45911" w:themeFill="accent2" w:themeFillShade="BF"/>
          </w:tcPr>
          <w:p w14:paraId="1BF5432B" w14:textId="390431DF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Low</w:t>
            </w:r>
          </w:p>
        </w:tc>
      </w:tr>
      <w:tr w:rsidR="00FC3EED" w:rsidRPr="00F10100" w14:paraId="004A2E06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4CF8AC54" w14:textId="24ECE4C2" w:rsidR="00FC3EED" w:rsidRPr="00F10100" w:rsidRDefault="00FC3EED" w:rsidP="00FC3EED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PM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Korambayil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7AF7F99D" w14:textId="2FD9A2BB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162FF9D8" w14:textId="73010B60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990860C" w14:textId="56DCC45D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14:paraId="48734523" w14:textId="5A71ECC7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418" w:type="dxa"/>
          </w:tcPr>
          <w:p w14:paraId="09303433" w14:textId="6997E733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194F2BE5" w14:textId="7F5E3CC2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D53BFD8" w14:textId="69A99FB6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60F3782A" w14:textId="08E8AA33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7755D406" w14:textId="01C95D68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</w:tcPr>
          <w:p w14:paraId="32B3D22E" w14:textId="1E2B6AC7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7930D0C" w14:textId="404F9A08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850" w:type="dxa"/>
            <w:shd w:val="clear" w:color="auto" w:fill="C45911" w:themeFill="accent2" w:themeFillShade="BF"/>
          </w:tcPr>
          <w:p w14:paraId="1F685323" w14:textId="2DE69F71" w:rsidR="00FC3EED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Low</w:t>
            </w:r>
          </w:p>
        </w:tc>
      </w:tr>
      <w:tr w:rsidR="00A32812" w:rsidRPr="00F10100" w14:paraId="78221377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38D45A85" w14:textId="2DF9F444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LA David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45A17EF4" w14:textId="08A9F1F3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  <w:shd w:val="clear" w:color="auto" w:fill="auto"/>
          </w:tcPr>
          <w:p w14:paraId="5F902850" w14:textId="18AD9A58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8675E74" w14:textId="1235EA77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14:paraId="709F565D" w14:textId="17CA4755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418" w:type="dxa"/>
          </w:tcPr>
          <w:p w14:paraId="2BC11FE7" w14:textId="00198721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2AF1ACF9" w14:textId="3355660D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4858DF3" w14:textId="066514E0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2A34D4F" w14:textId="6CA1C8EE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2DD9CC15" w14:textId="3A108A56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</w:tcPr>
          <w:p w14:paraId="17770930" w14:textId="07B1ADFB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4CA83BD2" w14:textId="1399619E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850" w:type="dxa"/>
            <w:shd w:val="clear" w:color="auto" w:fill="C45911" w:themeFill="accent2" w:themeFillShade="BF"/>
          </w:tcPr>
          <w:p w14:paraId="6D0BC8C5" w14:textId="01F1A1D0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Low</w:t>
            </w:r>
          </w:p>
        </w:tc>
      </w:tr>
      <w:tr w:rsidR="00A32812" w:rsidRPr="00F10100" w14:paraId="7F168CF4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4E51BDA2" w14:textId="0BABC452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S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Vudiniabol</w:t>
            </w:r>
            <w:r w:rsidRPr="00F10100">
              <w:rPr>
                <w:rFonts w:cstheme="minorHAnsi"/>
                <w:sz w:val="21"/>
                <w:szCs w:val="21"/>
                <w:lang w:val="en-US"/>
              </w:rPr>
              <w:t>a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0E4BE01" w14:textId="007FB49B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5259F126" w14:textId="7D794FFE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F850EE7" w14:textId="30206650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0E99946E" w14:textId="71E261A6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34DFF1A4" w14:textId="7F150D57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0E45E477" w14:textId="121B2377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A5A7270" w14:textId="07FD52C9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AE4F7EB" w14:textId="4D74CF61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D07EC47" w14:textId="02E25314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276" w:type="dxa"/>
          </w:tcPr>
          <w:p w14:paraId="64004E03" w14:textId="420468BC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7ABDAA6B" w14:textId="7853B0CF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593FC933" w14:textId="6A8C954A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High</w:t>
            </w:r>
          </w:p>
        </w:tc>
      </w:tr>
      <w:tr w:rsidR="00A32812" w:rsidRPr="00F10100" w14:paraId="659AE3D0" w14:textId="77777777" w:rsidTr="00B06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B4C6E7" w:themeFill="accent1" w:themeFillTint="66"/>
          </w:tcPr>
          <w:p w14:paraId="1F2A6E45" w14:textId="5CE27F8A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JJ Thorn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39D509D5" w14:textId="389E86BE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CE71622" w14:textId="6F26DCB7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848E375" w14:textId="40EE4C9F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6F4AAF75" w14:textId="10FE3838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14:paraId="1F39FEF0" w14:textId="284E06E1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0EF5F22A" w14:textId="73841A06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C57F8D9" w14:textId="107C7AC3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25F24A2A" w14:textId="08B2D5DB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Unclear</w:t>
            </w:r>
          </w:p>
        </w:tc>
        <w:tc>
          <w:tcPr>
            <w:tcW w:w="1134" w:type="dxa"/>
          </w:tcPr>
          <w:p w14:paraId="5B1402F9" w14:textId="5850EE4F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</w:tcPr>
          <w:p w14:paraId="29C302DE" w14:textId="33D343E9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N/A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951D484" w14:textId="403A2845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850" w:type="dxa"/>
            <w:shd w:val="clear" w:color="auto" w:fill="C45911" w:themeFill="accent2" w:themeFillShade="BF"/>
          </w:tcPr>
          <w:p w14:paraId="1352ABF0" w14:textId="0ED0FCA3" w:rsidR="00A32812" w:rsidRPr="00F10100" w:rsidRDefault="00A32812" w:rsidP="00A32812">
            <w:pPr>
              <w:jc w:val="center"/>
              <w:rPr>
                <w:sz w:val="21"/>
                <w:szCs w:val="21"/>
                <w:lang w:val="en-US"/>
              </w:rPr>
            </w:pPr>
            <w:r w:rsidRPr="00F10100">
              <w:rPr>
                <w:sz w:val="21"/>
                <w:szCs w:val="21"/>
                <w:lang w:val="en-US"/>
              </w:rPr>
              <w:t>Low</w:t>
            </w:r>
          </w:p>
        </w:tc>
      </w:tr>
    </w:tbl>
    <w:p w14:paraId="559F9227" w14:textId="77777777" w:rsidR="003257DA" w:rsidRDefault="003257DA" w:rsidP="00B06727">
      <w:pPr>
        <w:rPr>
          <w:rFonts w:cstheme="minorHAnsi"/>
          <w:b/>
          <w:bCs/>
          <w:sz w:val="22"/>
          <w:szCs w:val="22"/>
          <w:lang w:val="en-US"/>
        </w:rPr>
      </w:pPr>
      <w:bookmarkStart w:id="11" w:name="_Ref179748430"/>
    </w:p>
    <w:p w14:paraId="6A69B39E" w14:textId="77777777" w:rsidR="003257DA" w:rsidRDefault="003257DA">
      <w:pPr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br w:type="page"/>
      </w:r>
    </w:p>
    <w:p w14:paraId="4FD2ACE4" w14:textId="79FABE6A" w:rsidR="00BA7E3D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12" w:name="_Toc180695960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6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. Result</w:t>
      </w:r>
      <w:r w:rsidR="005D2FE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</w:t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of the Assessment of Risk of Bias in Included Case</w:t>
      </w:r>
      <w:r w:rsidR="00FE7323"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Series Using the JBI Critical Appraisal Tool</w:t>
      </w:r>
      <w:bookmarkEnd w:id="11"/>
      <w:bookmarkEnd w:id="12"/>
    </w:p>
    <w:p w14:paraId="15146816" w14:textId="0A1FC3F4" w:rsidR="00BA7E3D" w:rsidRPr="00F10100" w:rsidRDefault="00BA7E3D" w:rsidP="0001319A">
      <w:pPr>
        <w:rPr>
          <w:b/>
          <w:bCs/>
          <w:sz w:val="22"/>
          <w:szCs w:val="22"/>
          <w:lang w:val="en-US"/>
        </w:rPr>
      </w:pPr>
    </w:p>
    <w:tbl>
      <w:tblPr>
        <w:tblStyle w:val="Tabelraster"/>
        <w:tblpPr w:leftFromText="141" w:rightFromText="141" w:horzAnchor="margin" w:tblpXSpec="center" w:tblpY="365"/>
        <w:tblW w:w="15852" w:type="dxa"/>
        <w:tblLook w:val="04A0" w:firstRow="1" w:lastRow="0" w:firstColumn="1" w:lastColumn="0" w:noHBand="0" w:noVBand="1"/>
      </w:tblPr>
      <w:tblGrid>
        <w:gridCol w:w="1068"/>
        <w:gridCol w:w="1058"/>
        <w:gridCol w:w="1340"/>
        <w:gridCol w:w="1467"/>
        <w:gridCol w:w="1447"/>
        <w:gridCol w:w="1447"/>
        <w:gridCol w:w="1551"/>
        <w:gridCol w:w="1447"/>
        <w:gridCol w:w="1159"/>
        <w:gridCol w:w="1588"/>
        <w:gridCol w:w="1441"/>
        <w:gridCol w:w="839"/>
      </w:tblGrid>
      <w:tr w:rsidR="00A32812" w:rsidRPr="00F10100" w14:paraId="05F2582A" w14:textId="77777777" w:rsidTr="00B06727">
        <w:tc>
          <w:tcPr>
            <w:tcW w:w="1068" w:type="dxa"/>
            <w:shd w:val="clear" w:color="auto" w:fill="B4C6E7" w:themeFill="accent1" w:themeFillTint="66"/>
          </w:tcPr>
          <w:p w14:paraId="4AE9DF25" w14:textId="77777777" w:rsidR="00A32812" w:rsidRPr="00B06727" w:rsidRDefault="00A32812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B067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Study</w:t>
            </w:r>
          </w:p>
        </w:tc>
        <w:tc>
          <w:tcPr>
            <w:tcW w:w="1058" w:type="dxa"/>
            <w:shd w:val="clear" w:color="auto" w:fill="B4C6E7" w:themeFill="accent1" w:themeFillTint="66"/>
          </w:tcPr>
          <w:p w14:paraId="09226F67" w14:textId="6AD7298F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Were there clear criteria for inclusion in the case series?</w:t>
            </w:r>
          </w:p>
        </w:tc>
        <w:tc>
          <w:tcPr>
            <w:tcW w:w="1340" w:type="dxa"/>
            <w:shd w:val="clear" w:color="auto" w:fill="B4C6E7" w:themeFill="accent1" w:themeFillTint="66"/>
          </w:tcPr>
          <w:p w14:paraId="0918778C" w14:textId="15C8B102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Was the condition measured in a standard, reliable way for all participants included in the case series?</w:t>
            </w:r>
          </w:p>
        </w:tc>
        <w:tc>
          <w:tcPr>
            <w:tcW w:w="1467" w:type="dxa"/>
            <w:shd w:val="clear" w:color="auto" w:fill="B4C6E7" w:themeFill="accent1" w:themeFillTint="66"/>
          </w:tcPr>
          <w:p w14:paraId="0AAEE106" w14:textId="4C7B307F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Were valid methods used for identification of the condition for all participants included in the case series?</w:t>
            </w:r>
          </w:p>
        </w:tc>
        <w:tc>
          <w:tcPr>
            <w:tcW w:w="1447" w:type="dxa"/>
            <w:shd w:val="clear" w:color="auto" w:fill="B4C6E7" w:themeFill="accent1" w:themeFillTint="66"/>
          </w:tcPr>
          <w:p w14:paraId="71FB4844" w14:textId="266E6FA6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Did the case series have consecutive inclusion of participants?</w:t>
            </w:r>
          </w:p>
        </w:tc>
        <w:tc>
          <w:tcPr>
            <w:tcW w:w="1447" w:type="dxa"/>
            <w:shd w:val="clear" w:color="auto" w:fill="B4C6E7" w:themeFill="accent1" w:themeFillTint="66"/>
          </w:tcPr>
          <w:p w14:paraId="50105588" w14:textId="0A1F0105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Did the case series have complete inclusion of participants?</w:t>
            </w:r>
          </w:p>
        </w:tc>
        <w:tc>
          <w:tcPr>
            <w:tcW w:w="1551" w:type="dxa"/>
            <w:shd w:val="clear" w:color="auto" w:fill="B4C6E7" w:themeFill="accent1" w:themeFillTint="66"/>
          </w:tcPr>
          <w:p w14:paraId="1DAE33ED" w14:textId="50C042A6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Was there clear reporting of the demographics of the participants in the study?</w:t>
            </w:r>
          </w:p>
        </w:tc>
        <w:tc>
          <w:tcPr>
            <w:tcW w:w="1447" w:type="dxa"/>
            <w:shd w:val="clear" w:color="auto" w:fill="B4C6E7" w:themeFill="accent1" w:themeFillTint="66"/>
          </w:tcPr>
          <w:p w14:paraId="3F0AC5B1" w14:textId="38340E0E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Was there clear reporting of clinical information of the participants?</w:t>
            </w:r>
          </w:p>
        </w:tc>
        <w:tc>
          <w:tcPr>
            <w:tcW w:w="1159" w:type="dxa"/>
            <w:shd w:val="clear" w:color="auto" w:fill="B4C6E7" w:themeFill="accent1" w:themeFillTint="66"/>
          </w:tcPr>
          <w:p w14:paraId="1B4EF2CA" w14:textId="7B54B842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Were the outcomes or follow up results of cases clearly reported?</w:t>
            </w:r>
          </w:p>
        </w:tc>
        <w:tc>
          <w:tcPr>
            <w:tcW w:w="1588" w:type="dxa"/>
            <w:shd w:val="clear" w:color="auto" w:fill="B4C6E7" w:themeFill="accent1" w:themeFillTint="66"/>
          </w:tcPr>
          <w:p w14:paraId="3EC500E8" w14:textId="74A0B334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Was there clear reporting of the presenting site(s)/clinic(s) demographic information?</w:t>
            </w:r>
          </w:p>
        </w:tc>
        <w:tc>
          <w:tcPr>
            <w:tcW w:w="1441" w:type="dxa"/>
            <w:shd w:val="clear" w:color="auto" w:fill="B4C6E7" w:themeFill="accent1" w:themeFillTint="66"/>
          </w:tcPr>
          <w:p w14:paraId="26C08FBC" w14:textId="0282AFFF" w:rsidR="00A32812" w:rsidRPr="00B06727" w:rsidRDefault="00A32812" w:rsidP="00A3281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Was statistical analysis appropriate?</w:t>
            </w:r>
          </w:p>
        </w:tc>
        <w:tc>
          <w:tcPr>
            <w:tcW w:w="839" w:type="dxa"/>
            <w:shd w:val="clear" w:color="auto" w:fill="B4C6E7" w:themeFill="accent1" w:themeFillTint="66"/>
          </w:tcPr>
          <w:p w14:paraId="61C96346" w14:textId="77777777" w:rsidR="00A32812" w:rsidRPr="00B06727" w:rsidRDefault="00A32812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B06727">
              <w:rPr>
                <w:b/>
                <w:bCs/>
                <w:sz w:val="21"/>
                <w:szCs w:val="21"/>
                <w:lang w:val="en-US"/>
              </w:rPr>
              <w:t>Overall study quality</w:t>
            </w:r>
          </w:p>
        </w:tc>
      </w:tr>
      <w:tr w:rsidR="00132D36" w:rsidRPr="00F10100" w14:paraId="4E4D3DCA" w14:textId="77777777" w:rsidTr="00B06727">
        <w:tc>
          <w:tcPr>
            <w:tcW w:w="1068" w:type="dxa"/>
            <w:shd w:val="clear" w:color="auto" w:fill="B4C6E7" w:themeFill="accent1" w:themeFillTint="66"/>
          </w:tcPr>
          <w:p w14:paraId="3D2CEDAB" w14:textId="59672895" w:rsidR="00132D36" w:rsidRPr="00F10100" w:rsidRDefault="00132D36" w:rsidP="00132D36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MM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Curi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dxa"/>
            <w:shd w:val="clear" w:color="auto" w:fill="A8D08D" w:themeFill="accent6" w:themeFillTint="99"/>
          </w:tcPr>
          <w:p w14:paraId="7FA68B9D" w14:textId="4E3C3DB1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0" w:type="dxa"/>
            <w:shd w:val="clear" w:color="auto" w:fill="A8D08D" w:themeFill="accent6" w:themeFillTint="99"/>
          </w:tcPr>
          <w:p w14:paraId="334705B7" w14:textId="1D58893E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67" w:type="dxa"/>
            <w:shd w:val="clear" w:color="auto" w:fill="A8D08D" w:themeFill="accent6" w:themeFillTint="99"/>
          </w:tcPr>
          <w:p w14:paraId="46B304BD" w14:textId="58D055D8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5CC99688" w14:textId="4BAE44E2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3CA0D15F" w14:textId="720C4CDE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551" w:type="dxa"/>
            <w:shd w:val="clear" w:color="auto" w:fill="A8D08D" w:themeFill="accent6" w:themeFillTint="99"/>
          </w:tcPr>
          <w:p w14:paraId="008D0DEB" w14:textId="6076A32F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14:paraId="3E5BB322" w14:textId="58737283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59" w:type="dxa"/>
            <w:shd w:val="clear" w:color="auto" w:fill="A8D08D" w:themeFill="accent6" w:themeFillTint="99"/>
          </w:tcPr>
          <w:p w14:paraId="5EF3F31F" w14:textId="048D180B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588" w:type="dxa"/>
            <w:shd w:val="clear" w:color="auto" w:fill="A8D08D" w:themeFill="accent6" w:themeFillTint="99"/>
          </w:tcPr>
          <w:p w14:paraId="4FC2D469" w14:textId="3339A117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1" w:type="dxa"/>
            <w:shd w:val="clear" w:color="auto" w:fill="C45911" w:themeFill="accent2" w:themeFillShade="BF"/>
          </w:tcPr>
          <w:p w14:paraId="005BAC6C" w14:textId="1823DE3C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839" w:type="dxa"/>
            <w:shd w:val="clear" w:color="auto" w:fill="C45911" w:themeFill="accent2" w:themeFillShade="BF"/>
          </w:tcPr>
          <w:p w14:paraId="377F9C44" w14:textId="278ACE45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Low</w:t>
            </w:r>
          </w:p>
          <w:p w14:paraId="051D40D7" w14:textId="0B3FE556" w:rsidR="00132D36" w:rsidRPr="00F10100" w:rsidRDefault="00132D36" w:rsidP="00132D36">
            <w:pPr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132D36" w:rsidRPr="00F10100" w14:paraId="56DDE309" w14:textId="77777777" w:rsidTr="00B06727">
        <w:tc>
          <w:tcPr>
            <w:tcW w:w="1068" w:type="dxa"/>
            <w:shd w:val="clear" w:color="auto" w:fill="B4C6E7" w:themeFill="accent1" w:themeFillTint="66"/>
          </w:tcPr>
          <w:p w14:paraId="04484561" w14:textId="62CEB586" w:rsidR="00132D36" w:rsidRPr="00F10100" w:rsidRDefault="00132D36" w:rsidP="00132D36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W </w:t>
            </w: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Narozny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dxa"/>
            <w:shd w:val="clear" w:color="auto" w:fill="A8D08D" w:themeFill="accent6" w:themeFillTint="99"/>
          </w:tcPr>
          <w:p w14:paraId="639A494B" w14:textId="52D01B11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0" w:type="dxa"/>
            <w:shd w:val="clear" w:color="auto" w:fill="A8D08D" w:themeFill="accent6" w:themeFillTint="99"/>
          </w:tcPr>
          <w:p w14:paraId="30FA9EC9" w14:textId="6DA00E52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67" w:type="dxa"/>
            <w:shd w:val="clear" w:color="auto" w:fill="A8D08D" w:themeFill="accent6" w:themeFillTint="99"/>
          </w:tcPr>
          <w:p w14:paraId="19AA4503" w14:textId="5F3CF2DB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34263C36" w14:textId="19CBF983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39E0BF55" w14:textId="2C1E7ABD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551" w:type="dxa"/>
            <w:shd w:val="clear" w:color="auto" w:fill="A8D08D" w:themeFill="accent6" w:themeFillTint="99"/>
          </w:tcPr>
          <w:p w14:paraId="7E18DFF0" w14:textId="5294A3B0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14:paraId="1B540602" w14:textId="7E832A94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59" w:type="dxa"/>
            <w:shd w:val="clear" w:color="auto" w:fill="A8D08D" w:themeFill="accent6" w:themeFillTint="99"/>
          </w:tcPr>
          <w:p w14:paraId="01772C1C" w14:textId="2E6C2873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588" w:type="dxa"/>
            <w:shd w:val="clear" w:color="auto" w:fill="A8D08D" w:themeFill="accent6" w:themeFillTint="99"/>
          </w:tcPr>
          <w:p w14:paraId="53E3D62F" w14:textId="0D6A8D31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1" w:type="dxa"/>
            <w:shd w:val="clear" w:color="auto" w:fill="C45911" w:themeFill="accent2" w:themeFillShade="BF"/>
          </w:tcPr>
          <w:p w14:paraId="669CA2C3" w14:textId="5BF4FC2B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839" w:type="dxa"/>
            <w:shd w:val="clear" w:color="auto" w:fill="C45911" w:themeFill="accent2" w:themeFillShade="BF"/>
          </w:tcPr>
          <w:p w14:paraId="4ED83108" w14:textId="10F923B3" w:rsidR="00132D36" w:rsidRPr="00F10100" w:rsidRDefault="00132D36" w:rsidP="00132D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Low</w:t>
            </w:r>
          </w:p>
        </w:tc>
      </w:tr>
      <w:tr w:rsidR="00A32812" w:rsidRPr="00F10100" w14:paraId="4952174B" w14:textId="77777777" w:rsidTr="00B06727">
        <w:tc>
          <w:tcPr>
            <w:tcW w:w="1068" w:type="dxa"/>
            <w:shd w:val="clear" w:color="auto" w:fill="B4C6E7" w:themeFill="accent1" w:themeFillTint="66"/>
          </w:tcPr>
          <w:p w14:paraId="195BB606" w14:textId="143014CD" w:rsidR="00A32812" w:rsidRPr="00F10100" w:rsidRDefault="00A32812" w:rsidP="00A3281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J Epstein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dxa"/>
            <w:shd w:val="clear" w:color="auto" w:fill="A8D08D" w:themeFill="accent6" w:themeFillTint="99"/>
          </w:tcPr>
          <w:p w14:paraId="6E62D147" w14:textId="53E39795" w:rsidR="00A32812" w:rsidRPr="00F10100" w:rsidRDefault="00A32812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0" w:type="dxa"/>
            <w:shd w:val="clear" w:color="auto" w:fill="A8D08D" w:themeFill="accent6" w:themeFillTint="99"/>
          </w:tcPr>
          <w:p w14:paraId="60038D79" w14:textId="613D78B8" w:rsidR="00A32812" w:rsidRPr="00F10100" w:rsidRDefault="00A32812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67" w:type="dxa"/>
            <w:shd w:val="clear" w:color="auto" w:fill="A8D08D" w:themeFill="accent6" w:themeFillTint="99"/>
          </w:tcPr>
          <w:p w14:paraId="03573E64" w14:textId="0E4D1924" w:rsidR="00A32812" w:rsidRPr="00F10100" w:rsidRDefault="00A32812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4501373A" w14:textId="4ED30B16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5AB08F0D" w14:textId="3F7126B1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551" w:type="dxa"/>
            <w:shd w:val="clear" w:color="auto" w:fill="C45911" w:themeFill="accent2" w:themeFillShade="BF"/>
          </w:tcPr>
          <w:p w14:paraId="426CBD8A" w14:textId="2039A576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14:paraId="60B02C79" w14:textId="377CDF59" w:rsidR="00A32812" w:rsidRPr="00F10100" w:rsidRDefault="00A32812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59" w:type="dxa"/>
            <w:shd w:val="clear" w:color="auto" w:fill="A8D08D" w:themeFill="accent6" w:themeFillTint="99"/>
          </w:tcPr>
          <w:p w14:paraId="61A719E3" w14:textId="03C63828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588" w:type="dxa"/>
            <w:shd w:val="clear" w:color="auto" w:fill="C45911" w:themeFill="accent2" w:themeFillShade="BF"/>
          </w:tcPr>
          <w:p w14:paraId="629903F0" w14:textId="60E0DB56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1" w:type="dxa"/>
            <w:shd w:val="clear" w:color="auto" w:fill="C45911" w:themeFill="accent2" w:themeFillShade="BF"/>
          </w:tcPr>
          <w:p w14:paraId="2338EC4D" w14:textId="3C07A050" w:rsidR="00A32812" w:rsidRPr="00F10100" w:rsidRDefault="00132D36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839" w:type="dxa"/>
            <w:shd w:val="clear" w:color="auto" w:fill="C45911" w:themeFill="accent2" w:themeFillShade="BF"/>
          </w:tcPr>
          <w:p w14:paraId="4EB67923" w14:textId="2520F3C2" w:rsidR="00A32812" w:rsidRPr="00F10100" w:rsidRDefault="00A32812" w:rsidP="00A3281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Low</w:t>
            </w:r>
          </w:p>
        </w:tc>
      </w:tr>
      <w:tr w:rsidR="00FB29E2" w:rsidRPr="00F10100" w14:paraId="4679FB90" w14:textId="77777777" w:rsidTr="00B06727">
        <w:tc>
          <w:tcPr>
            <w:tcW w:w="1068" w:type="dxa"/>
            <w:shd w:val="clear" w:color="auto" w:fill="B4C6E7" w:themeFill="accent1" w:themeFillTint="66"/>
          </w:tcPr>
          <w:p w14:paraId="6D548171" w14:textId="78E3E7E4" w:rsidR="00FB29E2" w:rsidRPr="00F10100" w:rsidRDefault="00FB29E2" w:rsidP="00FB29E2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FJ Dieleman et al</w:t>
            </w:r>
            <w:r w:rsidR="00B62B5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dxa"/>
            <w:shd w:val="clear" w:color="auto" w:fill="A8D08D" w:themeFill="accent6" w:themeFillTint="99"/>
          </w:tcPr>
          <w:p w14:paraId="5DF6CD27" w14:textId="391B7970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340" w:type="dxa"/>
            <w:shd w:val="clear" w:color="auto" w:fill="A8D08D" w:themeFill="accent6" w:themeFillTint="99"/>
          </w:tcPr>
          <w:p w14:paraId="602929CE" w14:textId="521BA567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67" w:type="dxa"/>
            <w:shd w:val="clear" w:color="auto" w:fill="A8D08D" w:themeFill="accent6" w:themeFillTint="99"/>
          </w:tcPr>
          <w:p w14:paraId="2635BF78" w14:textId="09A537B7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76FF2D31" w14:textId="29239D6A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C45911" w:themeFill="accent2" w:themeFillShade="BF"/>
          </w:tcPr>
          <w:p w14:paraId="36759F65" w14:textId="1C31433A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551" w:type="dxa"/>
            <w:shd w:val="clear" w:color="auto" w:fill="C45911" w:themeFill="accent2" w:themeFillShade="BF"/>
          </w:tcPr>
          <w:p w14:paraId="5970C36D" w14:textId="1F873D24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14:paraId="56060F5A" w14:textId="1FC3107F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159" w:type="dxa"/>
            <w:shd w:val="clear" w:color="auto" w:fill="A8D08D" w:themeFill="accent6" w:themeFillTint="99"/>
          </w:tcPr>
          <w:p w14:paraId="4187D8F8" w14:textId="1547D0A1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1588" w:type="dxa"/>
            <w:shd w:val="clear" w:color="auto" w:fill="C45911" w:themeFill="accent2" w:themeFillShade="BF"/>
          </w:tcPr>
          <w:p w14:paraId="139B83CE" w14:textId="1875C739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No</w:t>
            </w:r>
          </w:p>
        </w:tc>
        <w:tc>
          <w:tcPr>
            <w:tcW w:w="1441" w:type="dxa"/>
            <w:shd w:val="clear" w:color="auto" w:fill="A8D08D" w:themeFill="accent6" w:themeFillTint="99"/>
          </w:tcPr>
          <w:p w14:paraId="501C23EB" w14:textId="4F482BCE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Yes</w:t>
            </w:r>
          </w:p>
        </w:tc>
        <w:tc>
          <w:tcPr>
            <w:tcW w:w="839" w:type="dxa"/>
            <w:shd w:val="clear" w:color="auto" w:fill="C45911" w:themeFill="accent2" w:themeFillShade="BF"/>
          </w:tcPr>
          <w:p w14:paraId="6553448E" w14:textId="74E7528A" w:rsidR="00FB29E2" w:rsidRPr="00F10100" w:rsidRDefault="00FB29E2" w:rsidP="00FB29E2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F10100">
              <w:rPr>
                <w:rFonts w:cstheme="minorHAnsi"/>
                <w:sz w:val="21"/>
                <w:szCs w:val="21"/>
                <w:lang w:val="en-US"/>
              </w:rPr>
              <w:t>Low</w:t>
            </w:r>
          </w:p>
        </w:tc>
      </w:tr>
    </w:tbl>
    <w:p w14:paraId="7F17B428" w14:textId="603F7E1E" w:rsidR="00A32812" w:rsidRPr="00F10100" w:rsidRDefault="00A32812" w:rsidP="0001319A">
      <w:pPr>
        <w:rPr>
          <w:b/>
          <w:bCs/>
          <w:sz w:val="22"/>
          <w:szCs w:val="22"/>
          <w:lang w:val="en-US"/>
        </w:rPr>
        <w:sectPr w:rsidR="00A32812" w:rsidRPr="00F10100" w:rsidSect="00BA7E3D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FEC5058" w14:textId="3E6B782A" w:rsidR="00017F03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13" w:name="_Ref179748652"/>
      <w:bookmarkStart w:id="14" w:name="_Toc180695961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7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. Overview of the Study Design, Year, Outcomes, and Significance Level of the Included Studies</w:t>
      </w:r>
      <w:bookmarkEnd w:id="13"/>
      <w:bookmarkEnd w:id="14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295"/>
        <w:gridCol w:w="1437"/>
        <w:gridCol w:w="4634"/>
        <w:gridCol w:w="2268"/>
      </w:tblGrid>
      <w:tr w:rsidR="00E26728" w:rsidRPr="00F10100" w14:paraId="00CA682D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69F22402" w14:textId="4BA9BB97" w:rsidR="00017F03" w:rsidRPr="00F10100" w:rsidRDefault="00017F03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Study </w:t>
            </w:r>
            <w:r w:rsidR="00E26728">
              <w:rPr>
                <w:rFonts w:cstheme="minorHAnsi"/>
                <w:b/>
                <w:bCs/>
                <w:sz w:val="22"/>
                <w:szCs w:val="22"/>
                <w:lang w:val="en-US"/>
              </w:rPr>
              <w:t>(Y</w:t>
            </w: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ear</w:t>
            </w:r>
            <w:r w:rsidR="00E26728">
              <w:rPr>
                <w:rFonts w:cstheme="minorHAnsi"/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  <w:shd w:val="clear" w:color="auto" w:fill="B4C6E7" w:themeFill="accent1" w:themeFillTint="66"/>
          </w:tcPr>
          <w:p w14:paraId="095C5F95" w14:textId="38CFB211" w:rsidR="00017F03" w:rsidRPr="00F10100" w:rsidRDefault="00017F03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Study type</w:t>
            </w:r>
          </w:p>
        </w:tc>
        <w:tc>
          <w:tcPr>
            <w:tcW w:w="4634" w:type="dxa"/>
            <w:shd w:val="clear" w:color="auto" w:fill="B4C6E7" w:themeFill="accent1" w:themeFillTint="66"/>
          </w:tcPr>
          <w:p w14:paraId="37CB9E76" w14:textId="41B8C420" w:rsidR="00017F03" w:rsidRPr="00F10100" w:rsidRDefault="00017F03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Outcomes 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98AEBB6" w14:textId="6C70ECC9" w:rsidR="00017F03" w:rsidRPr="00F10100" w:rsidRDefault="00017F03" w:rsidP="0036274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Significance level</w:t>
            </w:r>
          </w:p>
        </w:tc>
      </w:tr>
      <w:tr w:rsidR="00E26728" w:rsidRPr="006A24BE" w14:paraId="63A7670F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700B3686" w14:textId="38B7DFAA" w:rsidR="00017F03" w:rsidRPr="00F10100" w:rsidRDefault="00017F03" w:rsidP="0036274C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Shaw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60339A" w:rsidRPr="00F10100">
              <w:rPr>
                <w:rFonts w:cstheme="minorHAnsi"/>
                <w:sz w:val="22"/>
                <w:szCs w:val="22"/>
                <w:lang w:val="en-US"/>
              </w:rPr>
              <w:t>2019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7937AB03" w14:textId="04AD632E" w:rsidR="00017F03" w:rsidRPr="00F10100" w:rsidRDefault="0060339A" w:rsidP="0036274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Randomized controlled trial</w:t>
            </w:r>
          </w:p>
        </w:tc>
        <w:tc>
          <w:tcPr>
            <w:tcW w:w="4634" w:type="dxa"/>
          </w:tcPr>
          <w:p w14:paraId="5AED2ACD" w14:textId="219720BA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6.4% of patients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developed ORN at six months, compared to 5.7% in the control group (OR 1.13; 95% CI: 0.14-8.92)</w:t>
            </w:r>
          </w:p>
          <w:p w14:paraId="1C58653F" w14:textId="77777777" w:rsidR="00154499" w:rsidRPr="00F10100" w:rsidRDefault="00154499" w:rsidP="00E32D22">
            <w:pPr>
              <w:rPr>
                <w:sz w:val="22"/>
                <w:szCs w:val="22"/>
                <w:lang w:val="en-US"/>
              </w:rPr>
            </w:pPr>
          </w:p>
          <w:p w14:paraId="0CA6C19A" w14:textId="77777777" w:rsidR="00E32D22" w:rsidRPr="00F10100" w:rsidRDefault="00E32D22" w:rsidP="00FD1FD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OR was 0.72 (95% CI: 0.06-6.66) for patients undergoing dental extractions</w:t>
            </w:r>
          </w:p>
          <w:p w14:paraId="3B6C33C3" w14:textId="77777777" w:rsidR="00154499" w:rsidRPr="00F10100" w:rsidRDefault="00154499" w:rsidP="00FD1FD2">
            <w:pPr>
              <w:rPr>
                <w:lang w:val="en-US"/>
              </w:rPr>
            </w:pPr>
          </w:p>
          <w:p w14:paraId="483A64BC" w14:textId="50EEC4A4" w:rsidR="00154499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10% of patients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had mandibular bone sequestration (MBS) versus 15% in the non-HBO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(OR 0.67; 95% CI: 0.16-2.55)</w:t>
            </w:r>
          </w:p>
          <w:p w14:paraId="4A02FD15" w14:textId="77777777" w:rsidR="00154499" w:rsidRPr="00F10100" w:rsidRDefault="00154499" w:rsidP="00E32D22">
            <w:pPr>
              <w:rPr>
                <w:sz w:val="22"/>
                <w:szCs w:val="22"/>
                <w:lang w:val="en-US"/>
              </w:rPr>
            </w:pPr>
          </w:p>
          <w:p w14:paraId="6E27569A" w14:textId="77777777" w:rsidR="00E32D22" w:rsidRPr="00F10100" w:rsidRDefault="00E32D22" w:rsidP="00FD1FD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Pain scores were very low at 0.1 (SD 0.23) for 81 fully healed patients and 0.1 (SD 0.22) for the 11 patients with MBS</w:t>
            </w:r>
          </w:p>
          <w:p w14:paraId="6695FF30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1F11CC42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A mean pain score of 0.3 (SD 0.3) was noted for the 6 patients with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Notani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grade 1, 2, or 3 ORN </w:t>
            </w:r>
          </w:p>
          <w:p w14:paraId="6E952830" w14:textId="658896A6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Implant survival rates reached 95% at 24 months (95% CI: 74%-99%) and 83% at 48 months (95% CI: 48%-95%)</w:t>
            </w:r>
          </w:p>
          <w:p w14:paraId="773192A2" w14:textId="77777777" w:rsidR="00154499" w:rsidRPr="00F10100" w:rsidRDefault="00154499" w:rsidP="00E32D22">
            <w:pPr>
              <w:rPr>
                <w:sz w:val="22"/>
                <w:szCs w:val="22"/>
                <w:lang w:val="en-US"/>
              </w:rPr>
            </w:pPr>
          </w:p>
          <w:p w14:paraId="2AC014B8" w14:textId="17E38B72" w:rsidR="00E32D22" w:rsidRPr="00F10100" w:rsidRDefault="00E32D22" w:rsidP="006A781F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The </w:t>
            </w:r>
            <w:r w:rsidR="00072B9D" w:rsidRPr="00F10100">
              <w:rPr>
                <w:sz w:val="22"/>
                <w:szCs w:val="22"/>
                <w:lang w:val="en-US"/>
              </w:rPr>
              <w:t>HR</w:t>
            </w:r>
            <w:r w:rsidRPr="00F10100">
              <w:rPr>
                <w:sz w:val="22"/>
                <w:szCs w:val="22"/>
                <w:lang w:val="en-US"/>
              </w:rPr>
              <w:t xml:space="preserve"> for implant failure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versus the non-HBO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was 1.39 (95% CI: 0.16-12.09), adjusted for patient clustering </w:t>
            </w:r>
          </w:p>
          <w:p w14:paraId="19A51DE1" w14:textId="6B705B26" w:rsidR="006A781F" w:rsidRPr="00F10100" w:rsidRDefault="006A781F" w:rsidP="006A781F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13% of patients developed additional malignancies</w:t>
            </w:r>
          </w:p>
          <w:p w14:paraId="3BFA6ADF" w14:textId="77777777" w:rsidR="00154499" w:rsidRPr="00F10100" w:rsidRDefault="00154499" w:rsidP="006A781F">
            <w:pPr>
              <w:rPr>
                <w:sz w:val="22"/>
                <w:szCs w:val="22"/>
                <w:lang w:val="en-US"/>
              </w:rPr>
            </w:pPr>
          </w:p>
          <w:p w14:paraId="75BBBF5C" w14:textId="0B75D581" w:rsidR="006A781F" w:rsidRPr="00F10100" w:rsidRDefault="006A781F" w:rsidP="006A781F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Recurrence </w:t>
            </w:r>
            <w:r w:rsidR="00072B9D" w:rsidRPr="00F10100">
              <w:rPr>
                <w:sz w:val="22"/>
                <w:szCs w:val="22"/>
                <w:lang w:val="en-US"/>
              </w:rPr>
              <w:t>of HNC</w:t>
            </w:r>
            <w:r w:rsidRPr="00F10100">
              <w:rPr>
                <w:sz w:val="22"/>
                <w:szCs w:val="22"/>
                <w:lang w:val="en-US"/>
              </w:rPr>
              <w:t xml:space="preserve"> was seen in 4%, new cancer at a different site in 6%, and unclear origin in 3%</w:t>
            </w:r>
          </w:p>
          <w:p w14:paraId="06B537DC" w14:textId="77777777" w:rsidR="00536FD1" w:rsidRPr="00F10100" w:rsidRDefault="00536FD1" w:rsidP="006A781F">
            <w:pPr>
              <w:rPr>
                <w:sz w:val="22"/>
                <w:szCs w:val="22"/>
                <w:lang w:val="en-US"/>
              </w:rPr>
            </w:pPr>
          </w:p>
          <w:p w14:paraId="67A892E4" w14:textId="0F6955AE" w:rsidR="00FD1FD2" w:rsidRPr="00F10100" w:rsidRDefault="006A781F" w:rsidP="006A781F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Malignancy rates were 15%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and 11% in the control group, with no significant difference between the two </w:t>
            </w:r>
          </w:p>
        </w:tc>
        <w:tc>
          <w:tcPr>
            <w:tcW w:w="2268" w:type="dxa"/>
          </w:tcPr>
          <w:p w14:paraId="480FE1C4" w14:textId="19364D6C" w:rsidR="00017F03" w:rsidRPr="00F10100" w:rsidRDefault="00FD1FD2" w:rsidP="0036274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2-sided Fisher’s exact </w:t>
            </w:r>
            <w:r w:rsidR="00B62B50">
              <w:rPr>
                <w:sz w:val="22"/>
                <w:szCs w:val="22"/>
                <w:lang w:val="en-US"/>
              </w:rPr>
              <w:t>p</w:t>
            </w:r>
            <w:r w:rsidRPr="00F10100">
              <w:rPr>
                <w:sz w:val="22"/>
                <w:szCs w:val="22"/>
                <w:lang w:val="en-US"/>
              </w:rPr>
              <w:t xml:space="preserve"> &gt; 0.99</w:t>
            </w:r>
          </w:p>
          <w:p w14:paraId="07D77708" w14:textId="77777777" w:rsidR="00FD1FD2" w:rsidRPr="00F10100" w:rsidRDefault="00FD1FD2" w:rsidP="0036274C">
            <w:pPr>
              <w:rPr>
                <w:sz w:val="22"/>
                <w:szCs w:val="22"/>
                <w:lang w:val="en-US"/>
              </w:rPr>
            </w:pPr>
          </w:p>
          <w:p w14:paraId="1E4D363B" w14:textId="77777777" w:rsidR="00154499" w:rsidRPr="00F10100" w:rsidRDefault="00154499" w:rsidP="0036274C">
            <w:pPr>
              <w:rPr>
                <w:sz w:val="22"/>
                <w:szCs w:val="22"/>
                <w:lang w:val="en-US"/>
              </w:rPr>
            </w:pPr>
          </w:p>
          <w:p w14:paraId="739104F5" w14:textId="155FB344" w:rsidR="00FD1FD2" w:rsidRPr="00F10100" w:rsidRDefault="00FD1FD2" w:rsidP="0036274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2-sided Fisher’s exact </w:t>
            </w:r>
            <w:r w:rsidR="00B62B50">
              <w:rPr>
                <w:sz w:val="22"/>
                <w:szCs w:val="22"/>
                <w:lang w:val="en-US"/>
              </w:rPr>
              <w:t>p</w:t>
            </w:r>
            <w:r w:rsidRPr="00F10100">
              <w:rPr>
                <w:sz w:val="22"/>
                <w:szCs w:val="22"/>
                <w:lang w:val="en-US"/>
              </w:rPr>
              <w:t xml:space="preserve"> &gt; 0.99</w:t>
            </w:r>
          </w:p>
          <w:p w14:paraId="50152A1B" w14:textId="77777777" w:rsidR="00154499" w:rsidRPr="00F10100" w:rsidRDefault="00154499" w:rsidP="0036274C">
            <w:pPr>
              <w:rPr>
                <w:sz w:val="22"/>
                <w:szCs w:val="22"/>
                <w:lang w:val="en-US"/>
              </w:rPr>
            </w:pPr>
          </w:p>
          <w:p w14:paraId="709853A9" w14:textId="533104C6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2-sided Fisher’s exact </w:t>
            </w:r>
            <w:r w:rsidR="00B62B50">
              <w:rPr>
                <w:sz w:val="22"/>
                <w:szCs w:val="22"/>
                <w:lang w:val="en-US"/>
              </w:rPr>
              <w:t>p</w:t>
            </w:r>
            <w:r w:rsidRPr="00F10100">
              <w:rPr>
                <w:sz w:val="22"/>
                <w:szCs w:val="22"/>
                <w:lang w:val="en-US"/>
              </w:rPr>
              <w:t xml:space="preserve"> = 0.5642</w:t>
            </w:r>
          </w:p>
          <w:p w14:paraId="421A1AA1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051B524A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54FDB302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7AF3C22B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104C9EAA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6090008E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69444906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049AF9A0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37EC3C84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5F4EBD79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79FF1441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5172CAC8" w14:textId="77777777" w:rsidR="00154499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230F7AA6" w14:textId="77777777" w:rsidR="00145F4B" w:rsidRPr="00F10100" w:rsidRDefault="00145F4B" w:rsidP="00FD1FD2">
            <w:pPr>
              <w:rPr>
                <w:sz w:val="22"/>
                <w:szCs w:val="22"/>
                <w:lang w:val="en-US"/>
              </w:rPr>
            </w:pPr>
          </w:p>
          <w:p w14:paraId="491817F5" w14:textId="457A7B5F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0.765</w:t>
            </w:r>
          </w:p>
        </w:tc>
      </w:tr>
      <w:tr w:rsidR="00E26728" w:rsidRPr="00F10100" w14:paraId="0654B305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282985B7" w14:textId="4E2442A1" w:rsidR="00017F03" w:rsidRPr="00F10100" w:rsidRDefault="00017F03" w:rsidP="0036274C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Forne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r</w:t>
            </w:r>
            <w:proofErr w:type="spellEnd"/>
            <w:r w:rsidR="00B06727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="0060339A" w:rsidRPr="00F10100">
              <w:rPr>
                <w:rFonts w:cstheme="minorHAnsi"/>
                <w:sz w:val="22"/>
                <w:szCs w:val="22"/>
                <w:lang w:val="en-US"/>
              </w:rPr>
              <w:t>2022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BFB7A19" w14:textId="7EE35BA0" w:rsidR="00017F03" w:rsidRPr="00F10100" w:rsidRDefault="0060339A" w:rsidP="0060339A">
            <w:pPr>
              <w:rPr>
                <w:sz w:val="22"/>
                <w:szCs w:val="22"/>
                <w:lang w:val="en-US"/>
              </w:rPr>
            </w:pPr>
            <w:proofErr w:type="spellStart"/>
            <w:r w:rsidRPr="00F10100">
              <w:rPr>
                <w:sz w:val="22"/>
                <w:szCs w:val="22"/>
                <w:lang w:val="en-US"/>
              </w:rPr>
              <w:t>Multicentre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trial consisting of pooled data from two separate randomi</w:t>
            </w:r>
            <w:r w:rsidR="00FD1FD2" w:rsidRPr="00F10100">
              <w:rPr>
                <w:sz w:val="22"/>
                <w:szCs w:val="22"/>
                <w:lang w:val="en-US"/>
              </w:rPr>
              <w:t>z</w:t>
            </w:r>
            <w:r w:rsidRPr="00F10100">
              <w:rPr>
                <w:sz w:val="22"/>
                <w:szCs w:val="22"/>
                <w:lang w:val="en-US"/>
              </w:rPr>
              <w:t>ed controlled trials</w:t>
            </w:r>
          </w:p>
        </w:tc>
        <w:tc>
          <w:tcPr>
            <w:tcW w:w="4634" w:type="dxa"/>
          </w:tcPr>
          <w:p w14:paraId="5DCB5CFA" w14:textId="5708AFB4" w:rsidR="00154499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51% of patients treated with surgery alone (18 out of 35) achieved healing one year after surgery, compared to 70% in the surgery plus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(21 out of 30)</w:t>
            </w:r>
          </w:p>
          <w:p w14:paraId="6E0A7C1A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5FD51643" w14:textId="35DF0CC3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The OR for healing with surgery </w:t>
            </w:r>
            <w:r w:rsidR="00BE1682">
              <w:rPr>
                <w:sz w:val="22"/>
                <w:szCs w:val="22"/>
                <w:lang w:val="en-US"/>
              </w:rPr>
              <w:t>and</w:t>
            </w:r>
            <w:r w:rsidRPr="00F10100">
              <w:rPr>
                <w:sz w:val="22"/>
                <w:szCs w:val="22"/>
                <w:lang w:val="en-US"/>
              </w:rPr>
              <w:t xml:space="preserve">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was 2.2 (95% CI: 0.7–7.0).</w:t>
            </w:r>
          </w:p>
          <w:p w14:paraId="2A0B7FB4" w14:textId="234F87BD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8.6% was the baseline difference for xerostomia (DAHANCA) between surgery alone and surgery +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(95% CI: -12.8%-30.0%)</w:t>
            </w:r>
          </w:p>
          <w:p w14:paraId="7B6D61B3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219AD344" w14:textId="126CAB25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lastRenderedPageBreak/>
              <w:t>Xerostomia measured by EORTC H&amp;N35 showed a difference of 20.0% (95% CI: -1.6%-41.6%)</w:t>
            </w:r>
          </w:p>
          <w:p w14:paraId="6FE56656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7611AFB1" w14:textId="6DF76222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frequency of unstimulated whole saliva flow rate &lt;0.1 ml/min was 4.3% (95% CI: -10.0%-18.6%)</w:t>
            </w:r>
          </w:p>
          <w:p w14:paraId="19FC12AF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755085CB" w14:textId="4BA78E7A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Dysphagia assessed by EORTC H&amp;N35 had a difference of 19.6% (95% CI: -3.9%-43.1%)</w:t>
            </w:r>
          </w:p>
          <w:p w14:paraId="177C3CDE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6695EB8D" w14:textId="37931214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Pain, measured by frequency of non-morphine or morphine use, showed a difference of -0.5 (95% CI: -13.5%-12.5%)</w:t>
            </w:r>
          </w:p>
          <w:p w14:paraId="0D3F91DA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7CA1B5F4" w14:textId="5455F0C0" w:rsidR="00FD1FD2" w:rsidRPr="00F10100" w:rsidRDefault="00F95FA0" w:rsidP="00FD1FD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On the VAS, pain decreased by -11.1% (95% CI: -33.4%-11.2%)</w:t>
            </w:r>
          </w:p>
          <w:p w14:paraId="40868B6A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5F57D31B" w14:textId="49B909E8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Surgery +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appeared to be more beneficial for xerostomia (DAHANCA), unstimulated whole saliva flow rates, and dysphagia (DAHANCA)</w:t>
            </w:r>
          </w:p>
          <w:p w14:paraId="5987E8E6" w14:textId="6574D78F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07C5697" w14:textId="77777777" w:rsidR="00FD1FD2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35B081F2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0671A64E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63B9BC44" w14:textId="77777777" w:rsidR="00FD1FD2" w:rsidRPr="00F10100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79590A2B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3B894068" w14:textId="796CCEF3" w:rsidR="00BE1682" w:rsidRDefault="00BE1682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Pr="00F10100">
              <w:rPr>
                <w:sz w:val="22"/>
                <w:szCs w:val="22"/>
                <w:lang w:val="en-US"/>
              </w:rPr>
              <w:t xml:space="preserve"> = 0.13</w:t>
            </w:r>
          </w:p>
          <w:p w14:paraId="004F546E" w14:textId="77777777" w:rsidR="00BE1682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3C7F6D4F" w14:textId="1B78B1F2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0.43</w:t>
            </w:r>
          </w:p>
          <w:p w14:paraId="6C01264C" w14:textId="77777777" w:rsidR="00154499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430797FE" w14:textId="77777777" w:rsidR="00BE1682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70AE3057" w14:textId="77777777" w:rsidR="00BE1682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32F70E46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0E101CFE" w14:textId="663E6D90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0.07</w:t>
            </w:r>
          </w:p>
          <w:p w14:paraId="7E6194FA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0EBACC40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586C68C0" w14:textId="43F7CE3F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0.55</w:t>
            </w:r>
          </w:p>
          <w:p w14:paraId="3F3CCFF5" w14:textId="77777777" w:rsidR="00FD1FD2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45641AE2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30947CDE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18CB805E" w14:textId="2C683542" w:rsidR="00F95FA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0.1</w:t>
            </w:r>
          </w:p>
          <w:p w14:paraId="2A448E7C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3A82D043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7C77F477" w14:textId="4CAA8C57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0.94</w:t>
            </w:r>
          </w:p>
          <w:p w14:paraId="06BEA64E" w14:textId="77777777" w:rsidR="00FD1FD2" w:rsidRDefault="00FD1FD2" w:rsidP="00FD1FD2">
            <w:pPr>
              <w:rPr>
                <w:sz w:val="22"/>
                <w:szCs w:val="22"/>
                <w:lang w:val="en-US"/>
              </w:rPr>
            </w:pPr>
          </w:p>
          <w:p w14:paraId="25EBDD97" w14:textId="77777777" w:rsidR="00BE1682" w:rsidRPr="00F10100" w:rsidRDefault="00BE1682" w:rsidP="00FD1FD2">
            <w:pPr>
              <w:rPr>
                <w:sz w:val="22"/>
                <w:szCs w:val="22"/>
                <w:lang w:val="en-US"/>
              </w:rPr>
            </w:pPr>
          </w:p>
          <w:p w14:paraId="39F61DE2" w14:textId="77777777" w:rsidR="00154499" w:rsidRPr="00F10100" w:rsidRDefault="00154499" w:rsidP="00FD1FD2">
            <w:pPr>
              <w:rPr>
                <w:sz w:val="22"/>
                <w:szCs w:val="22"/>
                <w:lang w:val="en-US"/>
              </w:rPr>
            </w:pPr>
          </w:p>
          <w:p w14:paraId="4DFE94E6" w14:textId="589B3FAF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= 0.33</w:t>
            </w:r>
          </w:p>
        </w:tc>
      </w:tr>
      <w:tr w:rsidR="00E26728" w:rsidRPr="006A24BE" w14:paraId="2238D924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7A64751E" w14:textId="41FF9CF8" w:rsidR="00017F03" w:rsidRPr="00F10100" w:rsidRDefault="00017F03" w:rsidP="0036274C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Teguh</w:t>
            </w:r>
            <w:proofErr w:type="spellEnd"/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>2009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7AEE09D7" w14:textId="62D65933" w:rsidR="00017F03" w:rsidRPr="00F10100" w:rsidRDefault="0060339A" w:rsidP="0036274C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Randomized controlled trial</w:t>
            </w:r>
          </w:p>
        </w:tc>
        <w:tc>
          <w:tcPr>
            <w:tcW w:w="4634" w:type="dxa"/>
          </w:tcPr>
          <w:p w14:paraId="18FC6662" w14:textId="40D20FCD" w:rsidR="00017F03" w:rsidRPr="00F10100" w:rsidRDefault="00F95FA0" w:rsidP="00FD1FD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Significant improvement was observed in the HBOT group compared to the non-HBOT control group for sticky saliva and dry mouth as assessed by the EORTC H&amp;N35 questionnaires, as well as for the VAS dry mouth item.</w:t>
            </w:r>
          </w:p>
        </w:tc>
        <w:tc>
          <w:tcPr>
            <w:tcW w:w="2268" w:type="dxa"/>
          </w:tcPr>
          <w:p w14:paraId="72AF8DF8" w14:textId="751DB6F6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F95FA0" w:rsidRPr="00F10100">
              <w:rPr>
                <w:sz w:val="22"/>
                <w:szCs w:val="22"/>
                <w:lang w:val="en-US"/>
              </w:rPr>
              <w:t>(</w:t>
            </w:r>
            <w:r w:rsidR="00FD1FD2" w:rsidRPr="00F10100">
              <w:rPr>
                <w:sz w:val="22"/>
                <w:szCs w:val="22"/>
                <w:lang w:val="en-US"/>
              </w:rPr>
              <w:t>EORTC H&amp;N35 sticky saliva</w:t>
            </w:r>
            <w:r w:rsidR="00F95FA0" w:rsidRPr="00F10100">
              <w:rPr>
                <w:sz w:val="22"/>
                <w:szCs w:val="22"/>
                <w:lang w:val="en-US"/>
              </w:rPr>
              <w:t>)</w:t>
            </w:r>
            <w:r w:rsidR="00BA618F" w:rsidRPr="00F10100">
              <w:rPr>
                <w:sz w:val="22"/>
                <w:szCs w:val="22"/>
                <w:lang w:val="en-US"/>
              </w:rPr>
              <w:t xml:space="preserve"> = 0.01</w:t>
            </w:r>
          </w:p>
          <w:p w14:paraId="3B898D69" w14:textId="1089442C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F95FA0" w:rsidRPr="00F10100">
              <w:rPr>
                <w:sz w:val="22"/>
                <w:szCs w:val="22"/>
                <w:lang w:val="en-US"/>
              </w:rPr>
              <w:t>(</w:t>
            </w:r>
            <w:r w:rsidR="00FD1FD2" w:rsidRPr="00F10100">
              <w:rPr>
                <w:sz w:val="22"/>
                <w:szCs w:val="22"/>
                <w:lang w:val="en-US"/>
              </w:rPr>
              <w:t>EORTC H&amp;N35 dry mouth</w:t>
            </w:r>
            <w:r w:rsidR="00F95FA0" w:rsidRPr="00F10100">
              <w:rPr>
                <w:sz w:val="22"/>
                <w:szCs w:val="22"/>
                <w:lang w:val="en-US"/>
              </w:rPr>
              <w:t>)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BA618F" w:rsidRPr="00F10100">
              <w:rPr>
                <w:sz w:val="22"/>
                <w:szCs w:val="22"/>
                <w:lang w:val="en-US"/>
              </w:rPr>
              <w:t>= 0.009</w:t>
            </w:r>
          </w:p>
          <w:p w14:paraId="19B910A4" w14:textId="5D684199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F95FA0" w:rsidRPr="00F10100">
              <w:rPr>
                <w:sz w:val="22"/>
                <w:szCs w:val="22"/>
                <w:lang w:val="en-US"/>
              </w:rPr>
              <w:t>(</w:t>
            </w:r>
            <w:r w:rsidR="00FD1FD2" w:rsidRPr="00F10100">
              <w:rPr>
                <w:sz w:val="22"/>
                <w:szCs w:val="22"/>
                <w:lang w:val="en-US"/>
              </w:rPr>
              <w:t>EORTC H&amp;N35 swallowing</w:t>
            </w:r>
            <w:r w:rsidR="00F95FA0" w:rsidRPr="00F10100">
              <w:rPr>
                <w:sz w:val="22"/>
                <w:szCs w:val="22"/>
                <w:lang w:val="en-US"/>
              </w:rPr>
              <w:t>)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BA618F" w:rsidRPr="00F10100">
              <w:rPr>
                <w:sz w:val="22"/>
                <w:szCs w:val="22"/>
                <w:lang w:val="en-US"/>
              </w:rPr>
              <w:t>= 0.011</w:t>
            </w:r>
          </w:p>
          <w:p w14:paraId="093CD7D1" w14:textId="16ABFBD2" w:rsidR="00FD1FD2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F95FA0" w:rsidRPr="00F10100">
              <w:rPr>
                <w:sz w:val="22"/>
                <w:szCs w:val="22"/>
                <w:lang w:val="en-US"/>
              </w:rPr>
              <w:t>(</w:t>
            </w:r>
            <w:r w:rsidR="00FD1FD2" w:rsidRPr="00F10100">
              <w:rPr>
                <w:sz w:val="22"/>
                <w:szCs w:val="22"/>
                <w:lang w:val="en-US"/>
              </w:rPr>
              <w:t>PSS eating in</w:t>
            </w:r>
            <w:r w:rsidR="00BA618F" w:rsidRPr="00F10100">
              <w:rPr>
                <w:sz w:val="22"/>
                <w:szCs w:val="22"/>
                <w:lang w:val="en-US"/>
              </w:rPr>
              <w:t xml:space="preserve"> public</w:t>
            </w:r>
            <w:r w:rsidR="00F95FA0" w:rsidRPr="00F10100">
              <w:rPr>
                <w:sz w:val="22"/>
                <w:szCs w:val="22"/>
                <w:lang w:val="en-US"/>
              </w:rPr>
              <w:t>)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BA618F" w:rsidRPr="00F10100">
              <w:rPr>
                <w:sz w:val="22"/>
                <w:szCs w:val="22"/>
                <w:lang w:val="en-US"/>
              </w:rPr>
              <w:t>= 0.027</w:t>
            </w:r>
          </w:p>
          <w:p w14:paraId="25F07906" w14:textId="31D3F0D7" w:rsidR="00017F03" w:rsidRPr="00F10100" w:rsidRDefault="00B62B50" w:rsidP="00FD1F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F95FA0" w:rsidRPr="00F10100">
              <w:rPr>
                <w:sz w:val="22"/>
                <w:szCs w:val="22"/>
                <w:lang w:val="en-US"/>
              </w:rPr>
              <w:t>(</w:t>
            </w:r>
            <w:r w:rsidR="00FD1FD2" w:rsidRPr="00F10100">
              <w:rPr>
                <w:sz w:val="22"/>
                <w:szCs w:val="22"/>
                <w:lang w:val="en-US"/>
              </w:rPr>
              <w:t>VAS Pain in mouth</w:t>
            </w:r>
            <w:r w:rsidR="00F95FA0" w:rsidRPr="00F10100">
              <w:rPr>
                <w:sz w:val="22"/>
                <w:szCs w:val="22"/>
                <w:lang w:val="en-US"/>
              </w:rPr>
              <w:t>)</w:t>
            </w:r>
            <w:r w:rsidR="00FD1FD2" w:rsidRPr="00F10100">
              <w:rPr>
                <w:sz w:val="22"/>
                <w:szCs w:val="22"/>
                <w:lang w:val="en-US"/>
              </w:rPr>
              <w:t xml:space="preserve"> </w:t>
            </w:r>
            <w:r w:rsidR="00BA618F" w:rsidRPr="00F10100">
              <w:rPr>
                <w:sz w:val="22"/>
                <w:szCs w:val="22"/>
                <w:lang w:val="en-US"/>
              </w:rPr>
              <w:t>&lt; 0.0001</w:t>
            </w:r>
          </w:p>
        </w:tc>
      </w:tr>
      <w:tr w:rsidR="00E26728" w:rsidRPr="00F10100" w14:paraId="2D4C4BFB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79EF08AD" w14:textId="56E73BC2" w:rsidR="0060339A" w:rsidRPr="00F10100" w:rsidRDefault="0060339A" w:rsidP="0060339A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Schoen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>2007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622CC371" w14:textId="4D1EB7E9" w:rsidR="0060339A" w:rsidRPr="00F10100" w:rsidRDefault="0060339A" w:rsidP="0060339A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Randomized controlled trial</w:t>
            </w:r>
          </w:p>
        </w:tc>
        <w:tc>
          <w:tcPr>
            <w:tcW w:w="4634" w:type="dxa"/>
          </w:tcPr>
          <w:p w14:paraId="280BA4C7" w14:textId="5ABDF2B4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93.9% was the implant survival rate for two patients treated without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, with three implants lost at the one-year evaluation </w:t>
            </w:r>
          </w:p>
          <w:p w14:paraId="4E756A27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7A94167F" w14:textId="4414D309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85.2% was the implant survival rate for five patients treated with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who lost eight implants</w:t>
            </w:r>
          </w:p>
          <w:p w14:paraId="185C8F64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3F0AB7E1" w14:textId="5B9F5A7C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difference between the groups was not significant</w:t>
            </w:r>
          </w:p>
          <w:p w14:paraId="3895DD72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729F49FF" w14:textId="6DF0CC78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One patient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 developed </w:t>
            </w:r>
            <w:r w:rsidR="00072B9D" w:rsidRPr="00F10100">
              <w:rPr>
                <w:sz w:val="22"/>
                <w:szCs w:val="22"/>
                <w:lang w:val="en-US"/>
              </w:rPr>
              <w:t>ORN</w:t>
            </w:r>
            <w:r w:rsidRPr="00F10100">
              <w:rPr>
                <w:sz w:val="22"/>
                <w:szCs w:val="22"/>
                <w:lang w:val="en-US"/>
              </w:rPr>
              <w:t xml:space="preserve"> </w:t>
            </w:r>
          </w:p>
          <w:p w14:paraId="5C0FFE1A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54BC8B16" w14:textId="5B01DBB2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All patients effectively functioned with their implant-retained lower dentures</w:t>
            </w:r>
          </w:p>
          <w:p w14:paraId="07AF5B45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6A81FFD3" w14:textId="49E10D61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Low mean scores for peri-implant parameters were consistent across all evaluation periods and did not change significantly over time, except for </w:t>
            </w:r>
            <w:r w:rsidRPr="00F10100">
              <w:rPr>
                <w:sz w:val="22"/>
                <w:szCs w:val="22"/>
                <w:lang w:val="en-US"/>
              </w:rPr>
              <w:lastRenderedPageBreak/>
              <w:t>pocket depth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group, which showed a significant increase </w:t>
            </w:r>
          </w:p>
          <w:p w14:paraId="42863369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3ADDB36B" w14:textId="0F7B6E91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No significant differences in peri-implant health were observed between the groups, except for the plaque index at the one-year interval</w:t>
            </w:r>
          </w:p>
          <w:p w14:paraId="0C1CDF3A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4D1E3802" w14:textId="77777777" w:rsidR="00154499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0.7 ± 0.6 </w:t>
            </w:r>
            <w:r w:rsidR="00AA2512" w:rsidRPr="00F10100">
              <w:rPr>
                <w:sz w:val="22"/>
                <w:szCs w:val="22"/>
                <w:lang w:val="en-US"/>
              </w:rPr>
              <w:t xml:space="preserve">SD </w:t>
            </w:r>
            <w:r w:rsidRPr="00F10100">
              <w:rPr>
                <w:sz w:val="22"/>
                <w:szCs w:val="22"/>
                <w:lang w:val="en-US"/>
              </w:rPr>
              <w:t xml:space="preserve">mm of minor peri-implant bone loss was observed during the first year after loading at all implant sites. </w:t>
            </w:r>
          </w:p>
          <w:p w14:paraId="05D05BAA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633DFB81" w14:textId="395A78DF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0.6 ± 0.6 </w:t>
            </w:r>
            <w:r w:rsidR="00AA2512" w:rsidRPr="00F10100">
              <w:rPr>
                <w:sz w:val="22"/>
                <w:szCs w:val="22"/>
                <w:lang w:val="en-US"/>
              </w:rPr>
              <w:t xml:space="preserve">SD </w:t>
            </w:r>
            <w:r w:rsidRPr="00F10100">
              <w:rPr>
                <w:sz w:val="22"/>
                <w:szCs w:val="22"/>
                <w:lang w:val="en-US"/>
              </w:rPr>
              <w:t>mm of bone loss occurred at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sites, while 0.7 ± 0.7 </w:t>
            </w:r>
            <w:r w:rsidR="00AA2512" w:rsidRPr="00F10100">
              <w:rPr>
                <w:sz w:val="22"/>
                <w:szCs w:val="22"/>
                <w:lang w:val="en-US"/>
              </w:rPr>
              <w:t xml:space="preserve">SD </w:t>
            </w:r>
            <w:r w:rsidRPr="00F10100">
              <w:rPr>
                <w:sz w:val="22"/>
                <w:szCs w:val="22"/>
                <w:lang w:val="en-US"/>
              </w:rPr>
              <w:t>mm was observed at non-HBO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sites</w:t>
            </w:r>
          </w:p>
          <w:p w14:paraId="5288FD7B" w14:textId="77777777" w:rsidR="00154499" w:rsidRPr="00F10100" w:rsidRDefault="00154499" w:rsidP="00F95FA0">
            <w:pPr>
              <w:rPr>
                <w:sz w:val="22"/>
                <w:szCs w:val="22"/>
                <w:lang w:val="en-US"/>
              </w:rPr>
            </w:pPr>
          </w:p>
          <w:p w14:paraId="591F2C41" w14:textId="5EDBC5B2" w:rsidR="00F95FA0" w:rsidRPr="00F10100" w:rsidRDefault="00F95FA0" w:rsidP="00F95FA0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Significant improvement in denture satisfaction was reported over time, but no differences were seen between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and non-HBO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groups</w:t>
            </w:r>
          </w:p>
          <w:p w14:paraId="1EEECC97" w14:textId="77777777" w:rsidR="00536FD1" w:rsidRPr="00F10100" w:rsidRDefault="00536FD1" w:rsidP="00F95FA0">
            <w:pPr>
              <w:rPr>
                <w:sz w:val="22"/>
                <w:szCs w:val="22"/>
                <w:lang w:val="en-US"/>
              </w:rPr>
            </w:pPr>
          </w:p>
          <w:p w14:paraId="6A52A3C9" w14:textId="67D6DFF4" w:rsidR="00536FD1" w:rsidRPr="00F10100" w:rsidRDefault="00536FD1" w:rsidP="00536FD1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Results of the GARS-D, and the ability to chew various types of food showed signs of improvement for both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and non-HBO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2268" w:type="dxa"/>
          </w:tcPr>
          <w:p w14:paraId="7F6238C5" w14:textId="0C052678" w:rsidR="0060339A" w:rsidRPr="00EF3D89" w:rsidRDefault="00D83F5E" w:rsidP="0060339A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NR</w:t>
            </w:r>
            <w:r w:rsidR="00EF3D89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E26728" w:rsidRPr="00F10100" w14:paraId="445044AA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630BA7A2" w14:textId="2CFBBB9F" w:rsidR="0060339A" w:rsidRPr="00F10100" w:rsidRDefault="00B06727" w:rsidP="0060339A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S</w:t>
            </w:r>
            <w:r w:rsidR="0060339A" w:rsidRPr="00F10100">
              <w:rPr>
                <w:rFonts w:cstheme="minorHAnsi"/>
                <w:sz w:val="22"/>
                <w:szCs w:val="22"/>
                <w:lang w:val="en-US"/>
              </w:rPr>
              <w:t>valesta</w:t>
            </w:r>
            <w:r>
              <w:rPr>
                <w:rFonts w:cstheme="minorHAnsi"/>
                <w:sz w:val="22"/>
                <w:szCs w:val="22"/>
                <w:lang w:val="en-US"/>
              </w:rPr>
              <w:t>d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>2015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12AEEAE" w14:textId="7F2A9B7D" w:rsidR="0060339A" w:rsidRPr="00F10100" w:rsidRDefault="0060339A" w:rsidP="0060339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Randomized controlled trial</w:t>
            </w:r>
          </w:p>
        </w:tc>
        <w:tc>
          <w:tcPr>
            <w:tcW w:w="4634" w:type="dxa"/>
          </w:tcPr>
          <w:p w14:paraId="0F214A0E" w14:textId="5D02FC9F" w:rsidR="00547EAC" w:rsidRPr="00F10100" w:rsidRDefault="00547EAC" w:rsidP="00547EA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Blood vessel density and blood vessel area saw a significant increase following HBOT</w:t>
            </w:r>
          </w:p>
          <w:p w14:paraId="69D06DD5" w14:textId="77777777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  <w:p w14:paraId="4F7DDA3B" w14:textId="04B0E7F5" w:rsidR="00547EAC" w:rsidRPr="00F10100" w:rsidRDefault="00547EAC" w:rsidP="00547EA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number of D2-40-positive lymphatic vessels in the sub-epithelial area increased significantly</w:t>
            </w:r>
          </w:p>
          <w:p w14:paraId="74955D79" w14:textId="77777777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  <w:p w14:paraId="23B8E956" w14:textId="07DC5592" w:rsidR="00547EAC" w:rsidRPr="00F10100" w:rsidRDefault="00547EAC" w:rsidP="00547EA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There was also a significant increase </w:t>
            </w:r>
            <w:proofErr w:type="gramStart"/>
            <w:r w:rsidRPr="00F10100">
              <w:rPr>
                <w:sz w:val="22"/>
                <w:szCs w:val="22"/>
                <w:lang w:val="en-US"/>
              </w:rPr>
              <w:t>in the area of</w:t>
            </w:r>
            <w:proofErr w:type="gramEnd"/>
            <w:r w:rsidRPr="00F10100">
              <w:rPr>
                <w:sz w:val="22"/>
                <w:szCs w:val="22"/>
                <w:lang w:val="en-US"/>
              </w:rPr>
              <w:t xml:space="preserve"> D2-40-positive lymphatic vessels in the sub-epithelial area.</w:t>
            </w:r>
          </w:p>
          <w:p w14:paraId="45046529" w14:textId="77777777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  <w:p w14:paraId="039EE491" w14:textId="77777777" w:rsidR="00547EAC" w:rsidRPr="00F10100" w:rsidRDefault="00547EAC" w:rsidP="00547EA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In the control group, no significant differences were noted.</w:t>
            </w:r>
          </w:p>
          <w:p w14:paraId="0D20ACF7" w14:textId="77777777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  <w:p w14:paraId="478B7F9F" w14:textId="77777777" w:rsidR="00547EAC" w:rsidRPr="00F10100" w:rsidRDefault="00547EAC" w:rsidP="00547EAC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Neither the treatment group nor the control group showed significant differences in Ki-67-positive epithelial cells</w:t>
            </w:r>
          </w:p>
          <w:p w14:paraId="22E39A23" w14:textId="77777777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  <w:p w14:paraId="77137A93" w14:textId="39982618" w:rsidR="00154499" w:rsidRPr="00F10100" w:rsidRDefault="00154499" w:rsidP="00547EA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477DDDB" w14:textId="50B3C959" w:rsidR="0060339A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0.002–0.041</w:t>
            </w:r>
          </w:p>
          <w:p w14:paraId="30335A17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6919CBFA" w14:textId="77777777" w:rsidR="00154499" w:rsidRPr="00F10100" w:rsidRDefault="00154499" w:rsidP="007C64CE">
            <w:pPr>
              <w:rPr>
                <w:sz w:val="22"/>
                <w:szCs w:val="22"/>
                <w:lang w:val="en-US"/>
              </w:rPr>
            </w:pPr>
          </w:p>
          <w:p w14:paraId="2D34B99B" w14:textId="65A971A3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0.002 </w:t>
            </w:r>
          </w:p>
          <w:p w14:paraId="56C6C384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7D496B93" w14:textId="77777777" w:rsidR="00154499" w:rsidRPr="00F10100" w:rsidRDefault="00154499" w:rsidP="007C64CE">
            <w:pPr>
              <w:rPr>
                <w:sz w:val="22"/>
                <w:szCs w:val="22"/>
                <w:lang w:val="en-US"/>
              </w:rPr>
            </w:pPr>
          </w:p>
          <w:p w14:paraId="415252C9" w14:textId="3E23BA83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0.019</w:t>
            </w:r>
          </w:p>
        </w:tc>
      </w:tr>
      <w:tr w:rsidR="00E26728" w:rsidRPr="00F10100" w14:paraId="3CE1E130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47205C9" w14:textId="15363B86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Annane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2004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6554CC7B" w14:textId="4265E3F8" w:rsidR="009F4204" w:rsidRPr="00F10100" w:rsidRDefault="009F4204" w:rsidP="009F4204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Randomized, placebo-controlled, double-blind trial</w:t>
            </w:r>
          </w:p>
        </w:tc>
        <w:tc>
          <w:tcPr>
            <w:tcW w:w="4634" w:type="dxa"/>
          </w:tcPr>
          <w:p w14:paraId="05390D93" w14:textId="102A15D4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rStyle w:val="Zwaar"/>
                <w:b w:val="0"/>
                <w:bCs w:val="0"/>
                <w:sz w:val="22"/>
                <w:szCs w:val="22"/>
                <w:lang w:val="en-US"/>
              </w:rPr>
              <w:t>19.3%</w:t>
            </w:r>
            <w:r w:rsidRPr="00F10100">
              <w:rPr>
                <w:sz w:val="22"/>
                <w:szCs w:val="22"/>
                <w:lang w:val="en-US"/>
              </w:rPr>
              <w:t xml:space="preserve"> of patients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 (6 out of 31) had recovered at one year, compared to </w:t>
            </w:r>
            <w:r w:rsidRPr="00F10100">
              <w:rPr>
                <w:rStyle w:val="Zwaar"/>
                <w:b w:val="0"/>
                <w:bCs w:val="0"/>
                <w:sz w:val="22"/>
                <w:szCs w:val="22"/>
                <w:lang w:val="en-US"/>
              </w:rPr>
              <w:t>32.4%</w:t>
            </w:r>
            <w:r w:rsidRPr="00F10100">
              <w:rPr>
                <w:sz w:val="22"/>
                <w:szCs w:val="22"/>
                <w:lang w:val="en-US"/>
              </w:rPr>
              <w:t xml:space="preserve"> in the placebo arm (12 out of 37). The </w:t>
            </w:r>
            <w:r w:rsidR="00072B9D" w:rsidRPr="00F10100">
              <w:rPr>
                <w:sz w:val="22"/>
                <w:szCs w:val="22"/>
                <w:lang w:val="en-US"/>
              </w:rPr>
              <w:t>RR</w:t>
            </w:r>
            <w:r w:rsidRPr="00F10100">
              <w:rPr>
                <w:sz w:val="22"/>
                <w:szCs w:val="22"/>
                <w:lang w:val="en-US"/>
              </w:rPr>
              <w:t xml:space="preserve"> of recovery with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was </w:t>
            </w:r>
            <w:r w:rsidRPr="00F10100">
              <w:rPr>
                <w:rStyle w:val="Zwaar"/>
                <w:b w:val="0"/>
                <w:bCs w:val="0"/>
                <w:sz w:val="22"/>
                <w:szCs w:val="22"/>
                <w:lang w:val="en-US"/>
              </w:rPr>
              <w:t>0.60</w:t>
            </w:r>
            <w:r w:rsidRPr="00F10100">
              <w:rPr>
                <w:sz w:val="22"/>
                <w:szCs w:val="22"/>
                <w:lang w:val="en-US"/>
              </w:rPr>
              <w:t xml:space="preserve"> (95% CI: 0.25 - 1.41)</w:t>
            </w:r>
          </w:p>
          <w:p w14:paraId="7309C27F" w14:textId="77777777" w:rsidR="00154499" w:rsidRPr="00F10100" w:rsidRDefault="00154499" w:rsidP="007C64CE">
            <w:pPr>
              <w:rPr>
                <w:sz w:val="21"/>
                <w:szCs w:val="21"/>
                <w:lang w:val="en-US"/>
              </w:rPr>
            </w:pPr>
          </w:p>
          <w:p w14:paraId="73EB9492" w14:textId="5E4BB640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34 out of 50 patients who had not recovered at one year had previously experienced treatment failure. The </w:t>
            </w:r>
            <w:r w:rsidR="00072B9D" w:rsidRPr="00F10100">
              <w:rPr>
                <w:sz w:val="22"/>
                <w:szCs w:val="22"/>
                <w:lang w:val="en-US"/>
              </w:rPr>
              <w:t>HR</w:t>
            </w:r>
            <w:r w:rsidRPr="00F10100">
              <w:rPr>
                <w:sz w:val="22"/>
                <w:szCs w:val="22"/>
                <w:lang w:val="en-US"/>
              </w:rPr>
              <w:t xml:space="preserve"> for failure was estimated at 1.33 (95% CI: 0.68 - 2.60)</w:t>
            </w:r>
          </w:p>
          <w:p w14:paraId="64EAC998" w14:textId="77777777" w:rsidR="00154499" w:rsidRPr="00F10100" w:rsidRDefault="00154499" w:rsidP="007C64CE">
            <w:pPr>
              <w:rPr>
                <w:sz w:val="22"/>
                <w:szCs w:val="22"/>
                <w:lang w:val="en-US"/>
              </w:rPr>
            </w:pPr>
          </w:p>
          <w:p w14:paraId="23BDC5D7" w14:textId="39940D34" w:rsidR="00D86C0E" w:rsidRPr="00F10100" w:rsidRDefault="00D86C0E" w:rsidP="00D86C0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lastRenderedPageBreak/>
              <w:t>28 patients had ulcerations at follow-up, with 13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 and 15 in the placebo arm. </w:t>
            </w:r>
          </w:p>
          <w:p w14:paraId="6FEE1FE7" w14:textId="7FCB5DA7" w:rsidR="00154499" w:rsidRPr="00F10100" w:rsidRDefault="00D86C0E" w:rsidP="00D86C0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42 patients (61.8%) underwent surgery, including 20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 and 22 in the placebo arm</w:t>
            </w:r>
          </w:p>
          <w:p w14:paraId="5AB42A90" w14:textId="77777777" w:rsidR="00154499" w:rsidRPr="00F10100" w:rsidRDefault="00154499" w:rsidP="00D86C0E">
            <w:pPr>
              <w:rPr>
                <w:sz w:val="22"/>
                <w:szCs w:val="22"/>
                <w:lang w:val="en-US"/>
              </w:rPr>
            </w:pPr>
          </w:p>
          <w:p w14:paraId="0007116A" w14:textId="37D4C0BC" w:rsidR="00D86C0E" w:rsidRPr="00F10100" w:rsidRDefault="00D86C0E" w:rsidP="00D86C0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Recovery rates after the first surgery were 85% (17 out of 20)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 and 77.3% (17 out of 22) in the placebo arm</w:t>
            </w:r>
          </w:p>
          <w:p w14:paraId="7E22D63B" w14:textId="77777777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6FE7D8FC" w14:textId="77F2C9E1" w:rsidR="00D86C0E" w:rsidRPr="00F10100" w:rsidRDefault="00D86C0E" w:rsidP="007C64CE">
            <w:pPr>
              <w:rPr>
                <w:sz w:val="21"/>
                <w:szCs w:val="21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85% of patients (17 out of 20) in the HBO</w:t>
            </w:r>
            <w:r w:rsidR="00BE1682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 and 90.9% of patients (20 out of 22) in the placebo arm recovered after a second surgery</w:t>
            </w:r>
          </w:p>
          <w:p w14:paraId="42FA7185" w14:textId="77777777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397723AE" w14:textId="13F630CD" w:rsidR="00D86C0E" w:rsidRPr="00F10100" w:rsidRDefault="00D86C0E" w:rsidP="00D86C0E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1.00 was the </w:t>
            </w:r>
            <w:r w:rsidR="00072B9D" w:rsidRPr="00F10100">
              <w:rPr>
                <w:sz w:val="22"/>
                <w:szCs w:val="22"/>
                <w:lang w:val="en-US"/>
              </w:rPr>
              <w:t xml:space="preserve">HR </w:t>
            </w:r>
            <w:r w:rsidRPr="00F10100">
              <w:rPr>
                <w:sz w:val="22"/>
                <w:szCs w:val="22"/>
                <w:lang w:val="en-US"/>
              </w:rPr>
              <w:t>for time to pain relief, indicating similar results between the two treatment arms (95% CI: 0.52 - 1.89)</w:t>
            </w:r>
          </w:p>
          <w:p w14:paraId="38F522EE" w14:textId="77777777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472863A1" w14:textId="1B36BEF7" w:rsidR="00AA2512" w:rsidRPr="00F10100" w:rsidRDefault="00AA2512" w:rsidP="00AA251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Two patients died in each treatment arm. </w:t>
            </w:r>
          </w:p>
          <w:p w14:paraId="0BA1A567" w14:textId="610A9EE9" w:rsidR="00AA2512" w:rsidRPr="00F10100" w:rsidRDefault="00AA2512" w:rsidP="00AA251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1,850 ± 125 mmHg was the </w:t>
            </w:r>
            <w:proofErr w:type="spellStart"/>
            <w:r w:rsidR="009E762B" w:rsidRPr="00F10100">
              <w:rPr>
                <w:sz w:val="22"/>
                <w:szCs w:val="22"/>
                <w:lang w:val="en-US"/>
              </w:rPr>
              <w:t>PaO</w:t>
            </w:r>
            <w:proofErr w:type="spellEnd"/>
            <w:r w:rsidR="009E762B" w:rsidRPr="00F10100">
              <w:rPr>
                <w:sz w:val="22"/>
                <w:szCs w:val="22"/>
                <w:lang w:val="en-US"/>
              </w:rPr>
              <w:t>₂</w:t>
            </w:r>
            <w:r w:rsidRPr="00F10100">
              <w:rPr>
                <w:sz w:val="22"/>
                <w:szCs w:val="22"/>
                <w:lang w:val="en-US"/>
              </w:rPr>
              <w:t xml:space="preserve"> in the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arm, while 119 ± 25 mmHg was the mean in the placebo arm</w:t>
            </w:r>
          </w:p>
          <w:p w14:paraId="01356A12" w14:textId="5FC993D1" w:rsidR="00AA2512" w:rsidRPr="00F10100" w:rsidRDefault="00AA2512" w:rsidP="00AA2512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Oxygen toxicity was ruled out for one patient in the placebo arm who had seizures during a hyperbaric session, as his </w:t>
            </w:r>
            <w:proofErr w:type="spellStart"/>
            <w:r w:rsidR="009E762B" w:rsidRPr="00F10100">
              <w:rPr>
                <w:sz w:val="22"/>
                <w:szCs w:val="22"/>
                <w:lang w:val="en-US"/>
              </w:rPr>
              <w:t>PaO</w:t>
            </w:r>
            <w:proofErr w:type="spellEnd"/>
            <w:r w:rsidR="009E762B" w:rsidRPr="00F10100">
              <w:rPr>
                <w:sz w:val="22"/>
                <w:szCs w:val="22"/>
                <w:lang w:val="en-US"/>
              </w:rPr>
              <w:t xml:space="preserve">₂ </w:t>
            </w:r>
            <w:r w:rsidRPr="00F10100">
              <w:rPr>
                <w:sz w:val="22"/>
                <w:szCs w:val="22"/>
                <w:lang w:val="en-US"/>
              </w:rPr>
              <w:t>was only 95 mmHg.</w:t>
            </w:r>
          </w:p>
        </w:tc>
        <w:tc>
          <w:tcPr>
            <w:tcW w:w="2268" w:type="dxa"/>
          </w:tcPr>
          <w:p w14:paraId="5CA2B53A" w14:textId="362F61CB" w:rsidR="009F4204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0.23</w:t>
            </w:r>
          </w:p>
          <w:p w14:paraId="0C588A61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03DFC9B8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29F69475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752F5022" w14:textId="77777777" w:rsidR="00D86C0E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7F848693" w14:textId="77777777" w:rsidR="000855EB" w:rsidRPr="00F10100" w:rsidRDefault="000855EB" w:rsidP="007C64CE">
            <w:pPr>
              <w:rPr>
                <w:sz w:val="22"/>
                <w:szCs w:val="22"/>
                <w:lang w:val="en-US"/>
              </w:rPr>
            </w:pPr>
          </w:p>
          <w:p w14:paraId="7BE83F97" w14:textId="484EA42B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0.41</w:t>
            </w:r>
          </w:p>
          <w:p w14:paraId="0349F39D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30F927AF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17C6655F" w14:textId="77777777" w:rsidR="000855EB" w:rsidRPr="00F10100" w:rsidRDefault="000855EB" w:rsidP="007C64CE">
            <w:pPr>
              <w:rPr>
                <w:sz w:val="22"/>
                <w:szCs w:val="22"/>
                <w:lang w:val="en-US"/>
              </w:rPr>
            </w:pPr>
          </w:p>
          <w:p w14:paraId="6B023AC4" w14:textId="7E91497C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0.98</w:t>
            </w:r>
          </w:p>
          <w:p w14:paraId="31A8D7BB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43B14729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44B51394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27E605B9" w14:textId="77777777" w:rsidR="00154499" w:rsidRPr="00F10100" w:rsidRDefault="00154499" w:rsidP="007C64CE">
            <w:pPr>
              <w:rPr>
                <w:sz w:val="22"/>
                <w:szCs w:val="22"/>
                <w:lang w:val="en-US"/>
              </w:rPr>
            </w:pPr>
          </w:p>
          <w:p w14:paraId="2FCB9E2B" w14:textId="3F3D5FA7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0.7</w:t>
            </w:r>
          </w:p>
          <w:p w14:paraId="0A8B7042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174F4EA6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1A568B8D" w14:textId="77777777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0CA53E90" w14:textId="6EABE170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0.66</w:t>
            </w:r>
          </w:p>
          <w:p w14:paraId="3B509432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62C00D88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6EBC0A0E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63157986" w14:textId="0973B0FF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=0.99</w:t>
            </w:r>
          </w:p>
          <w:p w14:paraId="11EE79A5" w14:textId="77777777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  <w:p w14:paraId="1749D2CE" w14:textId="77777777" w:rsidR="00843458" w:rsidRPr="00F10100" w:rsidRDefault="00843458" w:rsidP="007C64CE">
            <w:pPr>
              <w:rPr>
                <w:sz w:val="22"/>
                <w:szCs w:val="22"/>
                <w:lang w:val="en-US"/>
              </w:rPr>
            </w:pPr>
          </w:p>
          <w:p w14:paraId="3FCDE28D" w14:textId="77777777" w:rsidR="00D86C0E" w:rsidRPr="00F10100" w:rsidRDefault="00D86C0E" w:rsidP="007C64CE">
            <w:pPr>
              <w:rPr>
                <w:sz w:val="22"/>
                <w:szCs w:val="22"/>
                <w:lang w:val="en-US"/>
              </w:rPr>
            </w:pPr>
          </w:p>
          <w:p w14:paraId="555715A6" w14:textId="2F6D8394" w:rsidR="007C64CE" w:rsidRPr="00F10100" w:rsidRDefault="00B62B50" w:rsidP="007C64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7C64CE" w:rsidRPr="00F10100">
              <w:rPr>
                <w:sz w:val="22"/>
                <w:szCs w:val="22"/>
                <w:lang w:val="en-US"/>
              </w:rPr>
              <w:t xml:space="preserve"> = 0.99</w:t>
            </w:r>
          </w:p>
          <w:p w14:paraId="7932F0C7" w14:textId="5C619BEC" w:rsidR="007C64CE" w:rsidRPr="00F10100" w:rsidRDefault="007C64CE" w:rsidP="007C64CE">
            <w:pPr>
              <w:rPr>
                <w:sz w:val="22"/>
                <w:szCs w:val="22"/>
                <w:lang w:val="en-US"/>
              </w:rPr>
            </w:pPr>
          </w:p>
        </w:tc>
      </w:tr>
      <w:tr w:rsidR="00E26728" w:rsidRPr="00F10100" w14:paraId="7C32EB00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088D431" w14:textId="089E18EA" w:rsidR="009F4204" w:rsidRPr="00F10100" w:rsidRDefault="009F4204" w:rsidP="009F4204">
            <w:pPr>
              <w:rPr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lastRenderedPageBreak/>
              <w:t>Helmers</w:t>
            </w:r>
            <w:r w:rsidR="00E26728">
              <w:rPr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sz w:val="22"/>
                <w:szCs w:val="22"/>
                <w:lang w:val="en-US"/>
              </w:rPr>
              <w:t>2022</w:t>
            </w:r>
            <w:r w:rsidR="00E2672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C4128E7" w14:textId="2C6F68E7" w:rsidR="009F4204" w:rsidRPr="00F10100" w:rsidRDefault="009F4204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Prospective observational study</w:t>
            </w:r>
          </w:p>
        </w:tc>
        <w:tc>
          <w:tcPr>
            <w:tcW w:w="4634" w:type="dxa"/>
          </w:tcPr>
          <w:p w14:paraId="13D764E1" w14:textId="3E191C26" w:rsidR="00057D5A" w:rsidRPr="00F10100" w:rsidRDefault="00ED4AD8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No significant difference was </w:t>
            </w:r>
            <w:r w:rsidR="00057D5A" w:rsidRPr="00F10100">
              <w:rPr>
                <w:sz w:val="22"/>
                <w:szCs w:val="22"/>
                <w:lang w:val="en-US"/>
              </w:rPr>
              <w:t>seen in focal depth</w:t>
            </w:r>
            <w:r w:rsidRPr="00F10100">
              <w:rPr>
                <w:sz w:val="22"/>
                <w:szCs w:val="22"/>
                <w:lang w:val="en-US"/>
              </w:rPr>
              <w:t xml:space="preserve"> between the time points </w:t>
            </w:r>
          </w:p>
          <w:p w14:paraId="5D2B6613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7D254964" w14:textId="6459BB3D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increase in the proportion of class 1 angioarchitecture over time was not significant</w:t>
            </w:r>
          </w:p>
          <w:p w14:paraId="58ACE19D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692C2829" w14:textId="6CDCA00E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20 ± 4 SD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μm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0 </w:t>
            </w:r>
            <w:r w:rsidRPr="00F10100">
              <w:rPr>
                <w:sz w:val="22"/>
                <w:szCs w:val="22"/>
                <w:lang w:val="en-US"/>
              </w:rPr>
              <w:t xml:space="preserve">and 16 ± 5 Sd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μm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24 </w:t>
            </w:r>
            <w:r w:rsidRPr="00F10100">
              <w:rPr>
                <w:sz w:val="22"/>
                <w:szCs w:val="22"/>
                <w:lang w:val="en-US"/>
              </w:rPr>
              <w:t>indicate a statistically significant decrease in mean blood vessel diameter</w:t>
            </w:r>
          </w:p>
          <w:p w14:paraId="44C660B8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46E489E4" w14:textId="144266E9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20 ± 6 SD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μm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4</w:t>
            </w:r>
            <w:r w:rsidR="00D74C4E" w:rsidRPr="00F10100">
              <w:rPr>
                <w:sz w:val="22"/>
                <w:szCs w:val="22"/>
                <w:lang w:val="en-US" w:eastAsia="nl-NL"/>
              </w:rPr>
              <w:t xml:space="preserve"> </w:t>
            </w:r>
            <w:r w:rsidRPr="00F10100">
              <w:rPr>
                <w:sz w:val="22"/>
                <w:szCs w:val="22"/>
                <w:lang w:val="en-US"/>
              </w:rPr>
              <w:t xml:space="preserve">compared to 16 ± 5 SD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μm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24 </w:t>
            </w:r>
            <w:r w:rsidRPr="00F10100">
              <w:rPr>
                <w:sz w:val="22"/>
                <w:szCs w:val="22"/>
                <w:lang w:val="en-US"/>
              </w:rPr>
              <w:t>shows a statistically significant decrease in mean blood vessel diameter</w:t>
            </w:r>
          </w:p>
          <w:p w14:paraId="4192470E" w14:textId="6219AB14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33 ± 16 SD, 46 ± 36 SD, and 27 ± 36 SD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cpll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/mm² were the mean functional capillary densities of the mandibular gingiva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0</w:t>
            </w:r>
            <w:r w:rsidRPr="00F10100">
              <w:rPr>
                <w:sz w:val="22"/>
                <w:szCs w:val="22"/>
                <w:lang w:val="en-US"/>
              </w:rPr>
              <w:t xml:space="preserve">,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4</w:t>
            </w:r>
            <w:r w:rsidRPr="00F10100">
              <w:rPr>
                <w:sz w:val="22"/>
                <w:szCs w:val="22"/>
                <w:lang w:val="en-US"/>
              </w:rPr>
              <w:t xml:space="preserve">, and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24</w:t>
            </w:r>
            <w:r w:rsidRPr="00F10100">
              <w:rPr>
                <w:sz w:val="22"/>
                <w:szCs w:val="22"/>
                <w:lang w:val="en-US"/>
              </w:rPr>
              <w:t>, respectively, with no significant differences detected between these time points</w:t>
            </w:r>
          </w:p>
          <w:p w14:paraId="1296F8B8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4ACAFC3C" w14:textId="29F2B95E" w:rsidR="00ED4AD8" w:rsidRPr="00F10100" w:rsidRDefault="00057D5A" w:rsidP="00057D5A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20 ± 11, 24 ± 10, and 25 ± 07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cpll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/mm² were the mean functional capillary densities of the buccal mucosa at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0</w:t>
            </w:r>
            <w:r w:rsidR="00D74C4E" w:rsidRPr="00F10100">
              <w:rPr>
                <w:sz w:val="22"/>
                <w:szCs w:val="22"/>
                <w:lang w:val="en-US"/>
              </w:rPr>
              <w:t xml:space="preserve">,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4</w:t>
            </w:r>
            <w:r w:rsidR="00D74C4E" w:rsidRPr="00F10100">
              <w:rPr>
                <w:sz w:val="22"/>
                <w:szCs w:val="22"/>
                <w:lang w:val="en-US"/>
              </w:rPr>
              <w:t xml:space="preserve">, and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>24</w:t>
            </w:r>
            <w:r w:rsidRPr="00F10100">
              <w:rPr>
                <w:sz w:val="22"/>
                <w:szCs w:val="22"/>
                <w:lang w:val="en-US"/>
              </w:rPr>
              <w:t>, respectively, showing an overall statistically significant increase over time</w:t>
            </w:r>
          </w:p>
        </w:tc>
        <w:tc>
          <w:tcPr>
            <w:tcW w:w="2268" w:type="dxa"/>
          </w:tcPr>
          <w:p w14:paraId="5A10417A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17436A6F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13560069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665B9115" w14:textId="7E3E4A9B" w:rsidR="009F4204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&gt; 0.05</w:t>
            </w:r>
          </w:p>
          <w:p w14:paraId="4DF7A6FA" w14:textId="77777777" w:rsidR="00057D5A" w:rsidRPr="00F10100" w:rsidRDefault="00057D5A" w:rsidP="00ED4AD8">
            <w:pPr>
              <w:rPr>
                <w:lang w:val="en-US"/>
              </w:rPr>
            </w:pPr>
          </w:p>
          <w:p w14:paraId="02086350" w14:textId="77777777" w:rsidR="00154499" w:rsidRPr="00F10100" w:rsidRDefault="00154499" w:rsidP="00ED4AD8">
            <w:pPr>
              <w:rPr>
                <w:lang w:val="en-US"/>
              </w:rPr>
            </w:pPr>
          </w:p>
          <w:p w14:paraId="444D30B9" w14:textId="28A94856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&lt; 0.001</w:t>
            </w:r>
          </w:p>
          <w:p w14:paraId="750C2D6D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59C2BCC8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0EB33969" w14:textId="77777777" w:rsidR="00154499" w:rsidRPr="00F10100" w:rsidRDefault="00154499" w:rsidP="00ED4AD8">
            <w:pPr>
              <w:rPr>
                <w:sz w:val="22"/>
                <w:szCs w:val="22"/>
                <w:lang w:val="en-US"/>
              </w:rPr>
            </w:pPr>
          </w:p>
          <w:p w14:paraId="133F3E0A" w14:textId="632D57F3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&lt; 0.05</w:t>
            </w:r>
          </w:p>
          <w:p w14:paraId="1B7E0A3C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42BBFFEE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243D87CC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1D874A38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5C59A518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3020D542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15216B2B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56D46EE3" w14:textId="77777777" w:rsidR="00B62B50" w:rsidRDefault="00B62B50" w:rsidP="00ED4AD8">
            <w:pPr>
              <w:rPr>
                <w:sz w:val="22"/>
                <w:szCs w:val="22"/>
                <w:lang w:val="en-US"/>
              </w:rPr>
            </w:pPr>
          </w:p>
          <w:p w14:paraId="683B6D39" w14:textId="11C893A2" w:rsidR="00ED4AD8" w:rsidRPr="00F10100" w:rsidRDefault="00B62B50" w:rsidP="00ED4AD8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&lt; 0.05</w:t>
            </w:r>
          </w:p>
        </w:tc>
      </w:tr>
      <w:tr w:rsidR="00E26728" w:rsidRPr="00F10100" w14:paraId="0B7D80AA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86E5AEE" w14:textId="789259E3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Vidmar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2022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4CA34715" w14:textId="1AA157B0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Prospective study</w:t>
            </w:r>
          </w:p>
        </w:tc>
        <w:tc>
          <w:tcPr>
            <w:tcW w:w="4634" w:type="dxa"/>
          </w:tcPr>
          <w:p w14:paraId="5A813E1A" w14:textId="73E56365" w:rsidR="00057D5A" w:rsidRPr="00F10100" w:rsidRDefault="00057D5A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121 ± 20 SD was the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in the ipsilateral parotid at the start of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, </w:t>
            </w:r>
            <w:r w:rsidRPr="00F10100">
              <w:rPr>
                <w:sz w:val="22"/>
                <w:szCs w:val="22"/>
                <w:lang w:val="en-US"/>
              </w:rPr>
              <w:lastRenderedPageBreak/>
              <w:t>significantly higher than 107 ± 21 SD in the contralateral parotid</w:t>
            </w:r>
          </w:p>
          <w:p w14:paraId="1BB2BC34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09D16689" w14:textId="13493EE7" w:rsidR="00057D5A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96 ± 12 SD was the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in healthy controls, which differed significantly from 121 ± 20 SD in the ipsilateral parotid glands of patients before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</w:p>
          <w:p w14:paraId="36FCF609" w14:textId="01F87D01" w:rsidR="00EB19FF" w:rsidRPr="00F10100" w:rsidRDefault="00EB19FF" w:rsidP="00057D5A">
            <w:pPr>
              <w:rPr>
                <w:sz w:val="22"/>
                <w:szCs w:val="22"/>
                <w:lang w:val="en-US"/>
              </w:rPr>
            </w:pPr>
          </w:p>
          <w:p w14:paraId="1D93F09F" w14:textId="2DEB8494" w:rsidR="00290CE6" w:rsidRPr="00F10100" w:rsidRDefault="00EB19FF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A positive correlation, R = 0.489, was found in patients between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variability and irradiation dose in the contralateral parotids prior to HBOT</w:t>
            </w:r>
          </w:p>
          <w:p w14:paraId="517EC0E0" w14:textId="77777777" w:rsidR="00EB19FF" w:rsidRPr="00F10100" w:rsidRDefault="00EB19FF" w:rsidP="00057D5A">
            <w:pPr>
              <w:rPr>
                <w:sz w:val="22"/>
                <w:szCs w:val="22"/>
                <w:lang w:val="en-US"/>
              </w:rPr>
            </w:pPr>
          </w:p>
          <w:p w14:paraId="214EE9A8" w14:textId="12C39D8B" w:rsidR="00057D5A" w:rsidRPr="00F10100" w:rsidRDefault="00057D5A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107 ± 21 SD was the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in the contralateral parotid glands of patients, showing no significant difference from 96 ± 12 SD in healthy controls</w:t>
            </w:r>
          </w:p>
          <w:p w14:paraId="65494A7E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69EB83F3" w14:textId="7738493F" w:rsidR="00057D5A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30 ± 8 SD and 21 ± 8 SD were the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variabilities in the parotid glands of patients before HBOT, with no significant difference compared to 16 ± 4 SD in healthy controls</w:t>
            </w:r>
          </w:p>
          <w:p w14:paraId="3DABF572" w14:textId="7E4EA4AF" w:rsidR="00057D5A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113 ± 16 SD was the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on the ipsilateral side in patients after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, significantly higher than 96 ± 12 SD in healthy controls. </w:t>
            </w:r>
          </w:p>
          <w:p w14:paraId="77B521A4" w14:textId="77777777" w:rsidR="00290CE6" w:rsidRPr="00F10100" w:rsidRDefault="00290CE6" w:rsidP="00057D5A">
            <w:pPr>
              <w:rPr>
                <w:sz w:val="22"/>
                <w:szCs w:val="22"/>
                <w:lang w:val="en-US"/>
              </w:rPr>
            </w:pPr>
          </w:p>
          <w:p w14:paraId="43E94C4E" w14:textId="730135E4" w:rsidR="00057D5A" w:rsidRPr="00F10100" w:rsidRDefault="00057D5A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No significant difference was found on the contralateral side, which had a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of 103 ± 14 SD</w:t>
            </w:r>
          </w:p>
          <w:p w14:paraId="5D2F3FD5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0F6C499D" w14:textId="19172535" w:rsidR="00057D5A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13 ± 16 SD was the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 xml:space="preserve">value and 25 ± 8 SD was the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variability on the ipsilateral side in response to HBOT, showing a significant decrease.</w:t>
            </w:r>
          </w:p>
          <w:p w14:paraId="2F121CE9" w14:textId="77777777" w:rsidR="00290CE6" w:rsidRPr="00F10100" w:rsidRDefault="00290CE6" w:rsidP="00057D5A">
            <w:pPr>
              <w:rPr>
                <w:sz w:val="22"/>
                <w:szCs w:val="22"/>
                <w:lang w:val="en-US"/>
              </w:rPr>
            </w:pPr>
          </w:p>
          <w:p w14:paraId="7BA47C9D" w14:textId="7CD61582" w:rsidR="00057D5A" w:rsidRPr="00F10100" w:rsidRDefault="00057D5A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No significant changes were observed on the contralateral side, with mean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 xml:space="preserve">value of 103 ± 14 SD and </w:t>
            </w:r>
            <w:r w:rsidR="00D74C4E" w:rsidRPr="00F10100">
              <w:rPr>
                <w:sz w:val="22"/>
                <w:szCs w:val="22"/>
                <w:lang w:val="en-US" w:eastAsia="nl-NL"/>
              </w:rPr>
              <w:t>T</w:t>
            </w:r>
            <w:r w:rsidR="00D74C4E" w:rsidRPr="00F10100">
              <w:rPr>
                <w:sz w:val="22"/>
                <w:szCs w:val="22"/>
                <w:vertAlign w:val="subscript"/>
                <w:lang w:val="en-US" w:eastAsia="nl-NL"/>
              </w:rPr>
              <w:t xml:space="preserve">2 </w:t>
            </w:r>
            <w:r w:rsidRPr="00F10100">
              <w:rPr>
                <w:sz w:val="22"/>
                <w:szCs w:val="22"/>
                <w:lang w:val="en-US"/>
              </w:rPr>
              <w:t>value variability of 19 ± 6 SD</w:t>
            </w:r>
          </w:p>
          <w:p w14:paraId="06DF2844" w14:textId="77777777" w:rsidR="00D46106" w:rsidRPr="00F10100" w:rsidRDefault="00D46106" w:rsidP="00E32D22">
            <w:pPr>
              <w:rPr>
                <w:sz w:val="22"/>
                <w:szCs w:val="22"/>
                <w:lang w:val="en-US"/>
              </w:rPr>
            </w:pPr>
          </w:p>
          <w:p w14:paraId="5D7DFF60" w14:textId="77777777" w:rsidR="00290CE6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0.22 (0.04-0.54) and 0.32 (0.08-0.70) were the salivary flow rates for unstimulated saliva in patients, significantly lower than 0.61 (0.49-0.99) in healthy controls</w:t>
            </w:r>
          </w:p>
          <w:p w14:paraId="06DD8F02" w14:textId="77777777" w:rsidR="00290CE6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pH values for unstimulated saliva were 6.61 ± 0.69 SD and 6.72 ± 0.71 SD in patients, compared to 7.56 ± 0.53 SD in controls</w:t>
            </w:r>
          </w:p>
          <w:p w14:paraId="04DFDD5C" w14:textId="77777777" w:rsidR="00290CE6" w:rsidRPr="00F10100" w:rsidRDefault="00290CE6" w:rsidP="00057D5A">
            <w:pPr>
              <w:rPr>
                <w:sz w:val="22"/>
                <w:szCs w:val="22"/>
                <w:lang w:val="en-US"/>
              </w:rPr>
            </w:pPr>
          </w:p>
          <w:p w14:paraId="0C0E40B4" w14:textId="7CC3F6CC" w:rsidR="00ED4AD8" w:rsidRPr="00F10100" w:rsidRDefault="00057D5A" w:rsidP="00057D5A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For stimulated saliva, the flow rates were 0.82 ± 0.60 SD and 0.90 ± 0.64 SD in patients, with pH values of 7.38 ± 0.74 SD and 7.48 ± 0.51 SD, which were lower than 2.04 ± 0.91 SD and 8.00 ± 0.28 SD in healthy controls</w:t>
            </w:r>
          </w:p>
          <w:p w14:paraId="6803B4D2" w14:textId="77777777" w:rsidR="00057D5A" w:rsidRPr="00F10100" w:rsidRDefault="00057D5A" w:rsidP="00E32D22">
            <w:pPr>
              <w:rPr>
                <w:sz w:val="22"/>
                <w:szCs w:val="22"/>
                <w:lang w:val="en-US"/>
              </w:rPr>
            </w:pPr>
          </w:p>
          <w:p w14:paraId="1D46552D" w14:textId="77777777" w:rsidR="00427359" w:rsidRPr="00F10100" w:rsidRDefault="00427359" w:rsidP="0042735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3.00 (2.00-3.00) was the buffering capacity of stimulated saliva in both patients and controls, showing no significant difference</w:t>
            </w:r>
          </w:p>
          <w:p w14:paraId="5E326517" w14:textId="77777777" w:rsidR="00290CE6" w:rsidRPr="00F10100" w:rsidRDefault="00290CE6" w:rsidP="00427359">
            <w:pPr>
              <w:rPr>
                <w:sz w:val="22"/>
                <w:szCs w:val="22"/>
                <w:lang w:val="en-US"/>
              </w:rPr>
            </w:pPr>
          </w:p>
          <w:p w14:paraId="7FF82420" w14:textId="607B780F" w:rsidR="00427359" w:rsidRPr="00F10100" w:rsidRDefault="00427359" w:rsidP="0042735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0.32 (0.08-0.70) was the increase in unstimulated salivary flow, and 3.00 (2.00-3.00) was the increase in buffering capacity of stimulated saliva observed in response to HBOT in patients</w:t>
            </w:r>
          </w:p>
          <w:p w14:paraId="1FCD1ECC" w14:textId="77777777" w:rsidR="00290CE6" w:rsidRPr="00F10100" w:rsidRDefault="00290CE6" w:rsidP="00427359">
            <w:pPr>
              <w:rPr>
                <w:sz w:val="22"/>
                <w:szCs w:val="22"/>
                <w:lang w:val="en-US"/>
              </w:rPr>
            </w:pPr>
          </w:p>
          <w:p w14:paraId="2EEADCAD" w14:textId="681B722D" w:rsidR="00E32D22" w:rsidRPr="00F10100" w:rsidRDefault="00427359" w:rsidP="0042735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No significant changes were found in other measured salivary parameters</w:t>
            </w:r>
          </w:p>
        </w:tc>
        <w:tc>
          <w:tcPr>
            <w:tcW w:w="2268" w:type="dxa"/>
          </w:tcPr>
          <w:p w14:paraId="407ABC07" w14:textId="07E4DA0A" w:rsidR="009F4204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= 0.007</w:t>
            </w:r>
          </w:p>
          <w:p w14:paraId="0208192C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7C8A3E8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298A4A66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13A0F847" w14:textId="77777777" w:rsidR="00454166" w:rsidRPr="00F10100" w:rsidRDefault="00454166" w:rsidP="00ED4AD8">
            <w:pPr>
              <w:rPr>
                <w:sz w:val="22"/>
                <w:szCs w:val="22"/>
                <w:lang w:val="en-US"/>
              </w:rPr>
            </w:pPr>
          </w:p>
          <w:p w14:paraId="6109F039" w14:textId="3BF4A568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= 0.0004</w:t>
            </w:r>
          </w:p>
          <w:p w14:paraId="38FB4B28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755D0CEE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192D294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1DF6F599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679F34BF" w14:textId="779D53A8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B19FF" w:rsidRPr="00F10100">
              <w:rPr>
                <w:sz w:val="22"/>
                <w:szCs w:val="22"/>
                <w:lang w:val="en-US"/>
              </w:rPr>
              <w:t xml:space="preserve"> = 0.0287</w:t>
            </w:r>
          </w:p>
          <w:p w14:paraId="54D350F9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F1D7B3A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5BF932E4" w14:textId="77777777" w:rsidR="00290CE6" w:rsidRPr="00F10100" w:rsidRDefault="00290CE6" w:rsidP="00ED4AD8">
            <w:pPr>
              <w:rPr>
                <w:sz w:val="22"/>
                <w:szCs w:val="22"/>
                <w:lang w:val="en-US"/>
              </w:rPr>
            </w:pPr>
          </w:p>
          <w:p w14:paraId="5F28A902" w14:textId="1F4FE07B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= 0.002</w:t>
            </w:r>
          </w:p>
          <w:p w14:paraId="38B183A5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59C86BAE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C53E286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E649E91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0C6618A2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7AA7399D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2A58DDD8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6B2CAEC1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233D3956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25F576F9" w14:textId="77777777" w:rsidR="00ED4AD8" w:rsidRPr="00F10100" w:rsidRDefault="00ED4AD8" w:rsidP="00ED4AD8">
            <w:pPr>
              <w:rPr>
                <w:sz w:val="22"/>
                <w:szCs w:val="22"/>
                <w:lang w:val="en-US"/>
              </w:rPr>
            </w:pPr>
          </w:p>
          <w:p w14:paraId="1E3E8DFE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2668DBEC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196F571D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0E731B55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325E56B2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32B2D1BE" w14:textId="77777777" w:rsidR="00E32D22" w:rsidRPr="00F10100" w:rsidRDefault="00E32D22" w:rsidP="00ED4AD8">
            <w:pPr>
              <w:rPr>
                <w:sz w:val="22"/>
                <w:szCs w:val="22"/>
                <w:lang w:val="en-US"/>
              </w:rPr>
            </w:pPr>
          </w:p>
          <w:p w14:paraId="709F31CB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34B99BED" w14:textId="77777777" w:rsidR="00454166" w:rsidRPr="00F10100" w:rsidRDefault="00454166" w:rsidP="00ED4AD8">
            <w:pPr>
              <w:rPr>
                <w:sz w:val="22"/>
                <w:szCs w:val="22"/>
                <w:lang w:val="en-US"/>
              </w:rPr>
            </w:pPr>
          </w:p>
          <w:p w14:paraId="478A3858" w14:textId="77777777" w:rsidR="00290CE6" w:rsidRPr="00F10100" w:rsidRDefault="00290CE6" w:rsidP="00ED4AD8">
            <w:pPr>
              <w:rPr>
                <w:sz w:val="22"/>
                <w:szCs w:val="22"/>
                <w:lang w:val="en-US"/>
              </w:rPr>
            </w:pPr>
          </w:p>
          <w:p w14:paraId="4F5C594D" w14:textId="77777777" w:rsidR="00290CE6" w:rsidRPr="00F10100" w:rsidRDefault="00290CE6" w:rsidP="00ED4AD8">
            <w:pPr>
              <w:rPr>
                <w:sz w:val="22"/>
                <w:szCs w:val="22"/>
                <w:lang w:val="en-US"/>
              </w:rPr>
            </w:pPr>
          </w:p>
          <w:p w14:paraId="78D0B420" w14:textId="77777777" w:rsidR="00290CE6" w:rsidRPr="00F10100" w:rsidRDefault="00290CE6" w:rsidP="00ED4AD8">
            <w:pPr>
              <w:rPr>
                <w:sz w:val="22"/>
                <w:szCs w:val="22"/>
                <w:lang w:val="en-US"/>
              </w:rPr>
            </w:pPr>
          </w:p>
          <w:p w14:paraId="6C6E71C4" w14:textId="77777777" w:rsidR="00057D5A" w:rsidRPr="00F10100" w:rsidRDefault="00057D5A" w:rsidP="00ED4AD8">
            <w:pPr>
              <w:rPr>
                <w:sz w:val="22"/>
                <w:szCs w:val="22"/>
                <w:lang w:val="en-US"/>
              </w:rPr>
            </w:pPr>
          </w:p>
          <w:p w14:paraId="0320AFD8" w14:textId="4203D663" w:rsidR="00ED4AD8" w:rsidRPr="00F10100" w:rsidRDefault="00B62B50" w:rsidP="00ED4A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D4AD8" w:rsidRPr="00F10100">
              <w:rPr>
                <w:sz w:val="22"/>
                <w:szCs w:val="22"/>
                <w:lang w:val="en-US"/>
              </w:rPr>
              <w:t xml:space="preserve"> &lt; 0.01</w:t>
            </w:r>
          </w:p>
        </w:tc>
      </w:tr>
      <w:tr w:rsidR="00E26728" w:rsidRPr="00F10100" w14:paraId="4229388F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68BDAFEE" w14:textId="0FC6B108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Cankar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2011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01323D0" w14:textId="2B7C2D03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Prospective study</w:t>
            </w:r>
          </w:p>
        </w:tc>
        <w:tc>
          <w:tcPr>
            <w:tcW w:w="4634" w:type="dxa"/>
          </w:tcPr>
          <w:p w14:paraId="3725D212" w14:textId="77777777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8 patients with their teeth present had pale gingival color. For these patients, the mean plaque index was 2.4 ± 0.4 SE, with a thin plaque film present on all tooth surfaces</w:t>
            </w:r>
          </w:p>
          <w:p w14:paraId="2FCA657A" w14:textId="77777777" w:rsidR="00290CE6" w:rsidRPr="00F10100" w:rsidRDefault="00290CE6" w:rsidP="00CA5B83">
            <w:pPr>
              <w:rPr>
                <w:sz w:val="22"/>
                <w:szCs w:val="22"/>
                <w:lang w:val="en-US"/>
              </w:rPr>
            </w:pPr>
          </w:p>
          <w:p w14:paraId="191C6A9E" w14:textId="5E28C2DF" w:rsidR="00E32D22" w:rsidRPr="00F10100" w:rsidRDefault="00CA5B83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On all the remaining teeth, a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ctive dentin and enamel caries lesions were present </w:t>
            </w:r>
          </w:p>
          <w:p w14:paraId="612E568C" w14:textId="77777777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13 out of 16 patients reported a subjective improvement in the amount of saliva</w:t>
            </w:r>
          </w:p>
          <w:p w14:paraId="3395601F" w14:textId="77777777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</w:p>
          <w:p w14:paraId="7DF2D95E" w14:textId="5F0CBB8F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2.63 ± 0.2 SE was the xerostomia grade before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which significantly decreased to 1.94 ± 0.2 SE after treatment</w:t>
            </w:r>
          </w:p>
          <w:p w14:paraId="5841B629" w14:textId="77777777" w:rsidR="00290CE6" w:rsidRPr="00F10100" w:rsidRDefault="00290CE6" w:rsidP="00CA5B83">
            <w:pPr>
              <w:rPr>
                <w:sz w:val="22"/>
                <w:szCs w:val="22"/>
                <w:lang w:val="en-US"/>
              </w:rPr>
            </w:pPr>
          </w:p>
          <w:p w14:paraId="26BA2B04" w14:textId="1C363287" w:rsidR="00E32D22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0.20 ± 0.1 SE was the salivary flow rate before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which significantly increased to 0.39 ± 0.2 SE ml/min after treatment</w:t>
            </w:r>
          </w:p>
          <w:p w14:paraId="7EFDC65E" w14:textId="77777777" w:rsidR="00290CE6" w:rsidRPr="00F10100" w:rsidRDefault="00290CE6" w:rsidP="00CA5B83">
            <w:pPr>
              <w:rPr>
                <w:sz w:val="22"/>
                <w:szCs w:val="22"/>
                <w:lang w:val="en-US"/>
              </w:rPr>
            </w:pPr>
          </w:p>
          <w:p w14:paraId="05466A5D" w14:textId="77777777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6.0 ± 0.2 SE was the initial pH of saliva in patients with a pH below 7 at baseline, which significantly increased to 6.5 ± 0.1 SE</w:t>
            </w:r>
          </w:p>
          <w:p w14:paraId="1D8FD7E1" w14:textId="77777777" w:rsidR="00CA5B83" w:rsidRPr="00F10100" w:rsidRDefault="00CA5B83" w:rsidP="00E32D22">
            <w:pPr>
              <w:rPr>
                <w:sz w:val="22"/>
                <w:szCs w:val="22"/>
                <w:lang w:val="en-US"/>
              </w:rPr>
            </w:pPr>
          </w:p>
          <w:p w14:paraId="6891CF30" w14:textId="39DE1171" w:rsidR="00CA5B83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Buffer capacity did not change significantly</w:t>
            </w:r>
            <w:r w:rsidR="000E5C3B">
              <w:rPr>
                <w:sz w:val="22"/>
                <w:szCs w:val="22"/>
                <w:lang w:val="en-US"/>
              </w:rPr>
              <w:t xml:space="preserve">, </w:t>
            </w:r>
            <w:r w:rsidRPr="00F10100">
              <w:rPr>
                <w:sz w:val="22"/>
                <w:szCs w:val="22"/>
                <w:lang w:val="en-US"/>
              </w:rPr>
              <w:t>increas</w:t>
            </w:r>
            <w:r w:rsidR="000E5C3B">
              <w:rPr>
                <w:sz w:val="22"/>
                <w:szCs w:val="22"/>
                <w:lang w:val="en-US"/>
              </w:rPr>
              <w:t xml:space="preserve">ing </w:t>
            </w:r>
            <w:r w:rsidRPr="00F10100">
              <w:rPr>
                <w:sz w:val="22"/>
                <w:szCs w:val="22"/>
                <w:lang w:val="en-US"/>
              </w:rPr>
              <w:t>in only 4 out of 16 subjects</w:t>
            </w:r>
          </w:p>
          <w:p w14:paraId="2062D419" w14:textId="77777777" w:rsidR="00290CE6" w:rsidRPr="00F10100" w:rsidRDefault="00290CE6" w:rsidP="00CA5B83">
            <w:pPr>
              <w:rPr>
                <w:sz w:val="22"/>
                <w:szCs w:val="22"/>
                <w:lang w:val="en-US"/>
              </w:rPr>
            </w:pPr>
          </w:p>
          <w:p w14:paraId="25734BF7" w14:textId="25B9EBA5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 significant reduction in colony density of S. mutans was observed</w:t>
            </w:r>
          </w:p>
          <w:p w14:paraId="13255403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79BC9CCF" w14:textId="77777777" w:rsidR="00CA5B83" w:rsidRPr="00F10100" w:rsidRDefault="00E32D22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 significant reduction in colony density of Lactobacillus was observed</w:t>
            </w:r>
          </w:p>
          <w:p w14:paraId="0951C10D" w14:textId="49DE8C63" w:rsidR="00E32D22" w:rsidRPr="00F10100" w:rsidRDefault="00CA5B83" w:rsidP="00CA5B83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In most patients with C. albicans present at the beginning of treatment, a reduction in colony density was observed</w:t>
            </w:r>
          </w:p>
        </w:tc>
        <w:tc>
          <w:tcPr>
            <w:tcW w:w="2268" w:type="dxa"/>
          </w:tcPr>
          <w:p w14:paraId="2151F42E" w14:textId="77777777" w:rsidR="009F4204" w:rsidRPr="00F10100" w:rsidRDefault="009F4204" w:rsidP="00E32D22">
            <w:pPr>
              <w:rPr>
                <w:sz w:val="22"/>
                <w:szCs w:val="22"/>
                <w:lang w:val="en-US"/>
              </w:rPr>
            </w:pPr>
          </w:p>
          <w:p w14:paraId="11DCBC7D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640605BC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7A98FF8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0DBE3246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67F83C92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BAED3F9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5CC87D8D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251FABAC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5DAA0E73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2246DB30" w14:textId="632FB546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0.001</w:t>
            </w:r>
          </w:p>
          <w:p w14:paraId="0439622F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2A857AEF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5FE399FD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2614E68D" w14:textId="11F5CE2D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0.009</w:t>
            </w:r>
          </w:p>
          <w:p w14:paraId="6D6D58AD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1D2D091B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095E59E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1AD0C6E9" w14:textId="19031C3B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0.042</w:t>
            </w:r>
          </w:p>
          <w:p w14:paraId="7B12E314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1981B4E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07F88EFB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57D43DE3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1D07673F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74A7D524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346EEE96" w14:textId="7BDD494C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0.0003</w:t>
            </w:r>
          </w:p>
          <w:p w14:paraId="6C94F81D" w14:textId="77777777" w:rsidR="00CA5B83" w:rsidRPr="00F10100" w:rsidRDefault="00CA5B83" w:rsidP="00E32D22">
            <w:pPr>
              <w:rPr>
                <w:sz w:val="22"/>
                <w:szCs w:val="22"/>
                <w:lang w:val="en-US"/>
              </w:rPr>
            </w:pPr>
          </w:p>
          <w:p w14:paraId="27645CE4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1EF8864C" w14:textId="29F29300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0.0014</w:t>
            </w:r>
          </w:p>
          <w:p w14:paraId="1C9723CF" w14:textId="77777777" w:rsidR="00290CE6" w:rsidRPr="00F10100" w:rsidRDefault="00290CE6" w:rsidP="00E32D22">
            <w:pPr>
              <w:rPr>
                <w:sz w:val="22"/>
                <w:szCs w:val="22"/>
                <w:lang w:val="en-US"/>
              </w:rPr>
            </w:pPr>
          </w:p>
          <w:p w14:paraId="2067C513" w14:textId="09245421" w:rsidR="00E32D22" w:rsidRPr="00F10100" w:rsidRDefault="00B62B50" w:rsidP="00E32D2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0.027</w:t>
            </w:r>
          </w:p>
        </w:tc>
      </w:tr>
      <w:tr w:rsidR="00E26728" w:rsidRPr="00F10100" w14:paraId="6CB092AB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26BA7E1" w14:textId="2310DBBB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Korambayil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2020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37144C17" w14:textId="6AEBD842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Prospective study</w:t>
            </w:r>
          </w:p>
        </w:tc>
        <w:tc>
          <w:tcPr>
            <w:tcW w:w="4634" w:type="dxa"/>
          </w:tcPr>
          <w:p w14:paraId="0C37F8E0" w14:textId="4A088559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One patient developed reversible myopia as a side effect of hyperbaric therapy</w:t>
            </w:r>
          </w:p>
          <w:p w14:paraId="507A81AC" w14:textId="77777777" w:rsidR="00EC7EDD" w:rsidRPr="00F10100" w:rsidRDefault="00EC7EDD" w:rsidP="007B09A7">
            <w:pPr>
              <w:rPr>
                <w:sz w:val="22"/>
                <w:szCs w:val="22"/>
                <w:lang w:val="en-US"/>
              </w:rPr>
            </w:pPr>
          </w:p>
          <w:p w14:paraId="2A9B9AEA" w14:textId="7DC393CA" w:rsidR="00EC7EDD" w:rsidRPr="00F10100" w:rsidRDefault="00EC7EDD" w:rsidP="00EC7EDD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 30-year-old female patient with tissue oxygen levels of 30 mmHg underwent 16 sessions of</w:t>
            </w:r>
            <w:r w:rsidR="00072B9D" w:rsidRPr="00F10100">
              <w:rPr>
                <w:sz w:val="22"/>
                <w:szCs w:val="22"/>
                <w:lang w:val="en-US"/>
              </w:rPr>
              <w:t xml:space="preserve"> </w:t>
            </w:r>
            <w:r w:rsidR="00072B9D" w:rsidRPr="00F10100">
              <w:rPr>
                <w:sz w:val="22"/>
                <w:szCs w:val="22"/>
                <w:lang w:val="en-US"/>
              </w:rPr>
              <w:lastRenderedPageBreak/>
              <w:t>HBOT</w:t>
            </w:r>
            <w:r w:rsidRPr="00F10100">
              <w:rPr>
                <w:sz w:val="22"/>
                <w:szCs w:val="22"/>
                <w:lang w:val="en-US"/>
              </w:rPr>
              <w:t>, resulting in an increase to 65 mmHg, which allowed for a successful dental extraction</w:t>
            </w:r>
          </w:p>
          <w:p w14:paraId="7BC0B05A" w14:textId="554DF422" w:rsidR="007B09A7" w:rsidRPr="00F10100" w:rsidRDefault="00EC7EDD" w:rsidP="00EC7EDD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 </w:t>
            </w:r>
          </w:p>
          <w:p w14:paraId="46897BB5" w14:textId="663D2448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A 70-year-old male patient who had undergone radiation treatment developed </w:t>
            </w:r>
            <w:r w:rsidR="00072B9D" w:rsidRPr="00F10100">
              <w:rPr>
                <w:sz w:val="22"/>
                <w:szCs w:val="22"/>
                <w:lang w:val="en-US"/>
              </w:rPr>
              <w:t>ORN</w:t>
            </w:r>
            <w:r w:rsidRPr="00F10100">
              <w:rPr>
                <w:sz w:val="22"/>
                <w:szCs w:val="22"/>
                <w:lang w:val="en-US"/>
              </w:rPr>
              <w:t xml:space="preserve"> of the mandible. He was treated with 28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sessions, which improved tissue oxygenation. A local mucosal flap was then used to cover the defect, with the donor area closed primarily. The wound healed fully without complications</w:t>
            </w:r>
          </w:p>
          <w:p w14:paraId="139892FA" w14:textId="77777777" w:rsidR="00EC7EDD" w:rsidRPr="00F10100" w:rsidRDefault="00EC7EDD" w:rsidP="007B09A7">
            <w:pPr>
              <w:rPr>
                <w:sz w:val="22"/>
                <w:szCs w:val="22"/>
                <w:lang w:val="en-US"/>
              </w:rPr>
            </w:pPr>
          </w:p>
          <w:p w14:paraId="20B7D0AB" w14:textId="3703275D" w:rsidR="00E32D22" w:rsidRPr="00F10100" w:rsidRDefault="00EC7EDD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 69-year-old male with necrosis of the nasolabial flap received initial wound debridement followed by HBOT, which enabled successful tissue closure with a cheek rotation flap</w:t>
            </w:r>
          </w:p>
        </w:tc>
        <w:tc>
          <w:tcPr>
            <w:tcW w:w="2268" w:type="dxa"/>
          </w:tcPr>
          <w:p w14:paraId="46CD0072" w14:textId="047041B0" w:rsidR="009F4204" w:rsidRPr="00F10100" w:rsidRDefault="00E32D22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NR</w:t>
            </w:r>
          </w:p>
        </w:tc>
      </w:tr>
      <w:tr w:rsidR="00E26728" w:rsidRPr="00F10100" w14:paraId="5D8BDC7A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CF7A4A1" w14:textId="668D302E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David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2001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373A4A8" w14:textId="6D51AB87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Retrospective study</w:t>
            </w:r>
          </w:p>
        </w:tc>
        <w:tc>
          <w:tcPr>
            <w:tcW w:w="4634" w:type="dxa"/>
          </w:tcPr>
          <w:p w14:paraId="10C444E6" w14:textId="07F2CE09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In group A, 5.9% (3 patients) did not show improvement following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alone,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with sequestrectomy, or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combined with sequestrectomy.</w:t>
            </w:r>
          </w:p>
          <w:p w14:paraId="168097A7" w14:textId="08D6EB37" w:rsidR="007B09A7" w:rsidRPr="00F10100" w:rsidRDefault="007B09A7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In group B, 4.2% (1 patient) experienced complications during healing after receiving prophylactic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for dental extractions</w:t>
            </w:r>
          </w:p>
        </w:tc>
        <w:tc>
          <w:tcPr>
            <w:tcW w:w="2268" w:type="dxa"/>
          </w:tcPr>
          <w:p w14:paraId="5E46943E" w14:textId="6F81DDB9" w:rsidR="009F4204" w:rsidRPr="00F10100" w:rsidRDefault="00E32D22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NR</w:t>
            </w:r>
          </w:p>
        </w:tc>
      </w:tr>
      <w:tr w:rsidR="00E26728" w:rsidRPr="00F10100" w14:paraId="1F4FBD1E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59961161" w14:textId="74FCD8A7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Vudiniabola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1999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6D25A701" w14:textId="12D4DFAB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Prospective study</w:t>
            </w:r>
          </w:p>
        </w:tc>
        <w:tc>
          <w:tcPr>
            <w:tcW w:w="4634" w:type="dxa"/>
          </w:tcPr>
          <w:p w14:paraId="0051A781" w14:textId="380A5C72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Of the 29 patients who completed a full course of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96% (28 patients) fully healed, while 4% (1 patient) developed ORN</w:t>
            </w:r>
          </w:p>
          <w:p w14:paraId="2DBC70DF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5884B95D" w14:textId="6D4B68BD" w:rsidR="00E32D22" w:rsidRPr="00F10100" w:rsidRDefault="007B09A7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In the control group, 85% (6 patients) fully healed, and 15% (1 patient) developed ORN</w:t>
            </w:r>
          </w:p>
        </w:tc>
        <w:tc>
          <w:tcPr>
            <w:tcW w:w="2268" w:type="dxa"/>
          </w:tcPr>
          <w:p w14:paraId="76C8031E" w14:textId="54213C2F" w:rsidR="009F4204" w:rsidRPr="00F10100" w:rsidRDefault="00E32D22" w:rsidP="009F4204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NR</w:t>
            </w:r>
          </w:p>
        </w:tc>
      </w:tr>
      <w:tr w:rsidR="00E26728" w:rsidRPr="00F10100" w14:paraId="549FD4D4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5116E7D0" w14:textId="4A6A2823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Curi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2000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76C7EE13" w14:textId="6763547E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Retrospective study</w:t>
            </w:r>
          </w:p>
        </w:tc>
        <w:tc>
          <w:tcPr>
            <w:tcW w:w="4634" w:type="dxa"/>
          </w:tcPr>
          <w:p w14:paraId="01AD4BF8" w14:textId="2FA1483F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Following surgery and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14 out of 18 patients experienced complete healing, 3 showed improvement, and 1 did not improve.</w:t>
            </w:r>
          </w:p>
          <w:p w14:paraId="2B977AB6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6F055519" w14:textId="4A9160ED" w:rsidR="009F4204" w:rsidRPr="00F10100" w:rsidRDefault="007B09A7" w:rsidP="007B09A7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Among the 14 patients with full recovery, 4 had a remaining discontinuity defect in the mandible but declined further reconstructive surgery</w:t>
            </w:r>
          </w:p>
        </w:tc>
        <w:tc>
          <w:tcPr>
            <w:tcW w:w="2268" w:type="dxa"/>
          </w:tcPr>
          <w:p w14:paraId="3A9E8636" w14:textId="4027585F" w:rsidR="009F4204" w:rsidRPr="00F10100" w:rsidRDefault="00E32D22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NR</w:t>
            </w:r>
          </w:p>
        </w:tc>
      </w:tr>
      <w:tr w:rsidR="00E26728" w:rsidRPr="00F10100" w14:paraId="081944FB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12B4AC4C" w14:textId="43BEE96C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Narozny</w:t>
            </w:r>
            <w:proofErr w:type="spellEnd"/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2005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3842ACF0" w14:textId="38E8034F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Retrospective study</w:t>
            </w:r>
          </w:p>
        </w:tc>
        <w:tc>
          <w:tcPr>
            <w:tcW w:w="4634" w:type="dxa"/>
          </w:tcPr>
          <w:p w14:paraId="01403FF1" w14:textId="1C3E88F3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All treated patients experienced symptom resolution</w:t>
            </w:r>
          </w:p>
          <w:p w14:paraId="16B60D8E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18E1C351" w14:textId="41134B5A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Six patients with laryngeal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chondroradionecrosis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had no symptoms after therapy, and three of them underwent decannulation following partial laryngectomy</w:t>
            </w:r>
          </w:p>
          <w:p w14:paraId="7377415C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516F8F76" w14:textId="77777777" w:rsidR="00D547ED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In one patient with mucosal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radionecrosis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after total laryngectomy, the esophageal fistula was successfully closed. </w:t>
            </w:r>
          </w:p>
          <w:p w14:paraId="7E84FECC" w14:textId="77777777" w:rsidR="00D547ED" w:rsidRPr="00F10100" w:rsidRDefault="00D547ED" w:rsidP="007B09A7">
            <w:pPr>
              <w:rPr>
                <w:sz w:val="22"/>
                <w:szCs w:val="22"/>
                <w:lang w:val="en-US"/>
              </w:rPr>
            </w:pPr>
          </w:p>
          <w:p w14:paraId="70F1380B" w14:textId="21A1F775" w:rsidR="009F4204" w:rsidRPr="00F10100" w:rsidRDefault="007B09A7" w:rsidP="007B09A7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Another patient with </w:t>
            </w:r>
            <w:r w:rsidR="00072B9D" w:rsidRPr="00F10100">
              <w:rPr>
                <w:sz w:val="22"/>
                <w:szCs w:val="22"/>
                <w:lang w:val="en-US"/>
              </w:rPr>
              <w:t>ORN</w:t>
            </w:r>
            <w:r w:rsidRPr="00F10100">
              <w:rPr>
                <w:sz w:val="22"/>
                <w:szCs w:val="22"/>
                <w:lang w:val="en-US"/>
              </w:rPr>
              <w:t xml:space="preserve"> of the temporal bone underwent wound debridement</w:t>
            </w:r>
          </w:p>
        </w:tc>
        <w:tc>
          <w:tcPr>
            <w:tcW w:w="2268" w:type="dxa"/>
          </w:tcPr>
          <w:p w14:paraId="70FFFB6C" w14:textId="0A6DB741" w:rsidR="009F4204" w:rsidRPr="00F10100" w:rsidRDefault="00E32D22" w:rsidP="009F4204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NR</w:t>
            </w:r>
          </w:p>
        </w:tc>
      </w:tr>
      <w:tr w:rsidR="00E26728" w:rsidRPr="00F10100" w14:paraId="485091F7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4C78119F" w14:textId="40402507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Thorn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1997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3548E2B2" w14:textId="545926DE" w:rsidR="009F4204" w:rsidRPr="00F10100" w:rsidRDefault="008E159D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>rospective study</w:t>
            </w:r>
          </w:p>
        </w:tc>
        <w:tc>
          <w:tcPr>
            <w:tcW w:w="4634" w:type="dxa"/>
          </w:tcPr>
          <w:p w14:paraId="5A7CE18D" w14:textId="537EACD8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40.5 mm Hg was the mean transmucosal oxygen tension in healthy attached gingiva of the five control patients, with a range of 39.8 to 41.2 mm Hg</w:t>
            </w:r>
          </w:p>
          <w:p w14:paraId="2AFD53A5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03E5D463" w14:textId="6CC5B7C1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20.4 mm Hg was the mean transmucosal oxygen tension in irradiated attached gingiva before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>, with a range of 16.6 to 23.2 mm Hg</w:t>
            </w:r>
          </w:p>
          <w:p w14:paraId="66F8DBCA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23119E9A" w14:textId="78276A89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After five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  <w:r w:rsidRPr="00F10100">
              <w:rPr>
                <w:sz w:val="22"/>
                <w:szCs w:val="22"/>
                <w:lang w:val="en-US"/>
              </w:rPr>
              <w:t xml:space="preserve"> sessions, transmucosal oxygen tension significantly increased compared to pretreatment values</w:t>
            </w:r>
          </w:p>
          <w:p w14:paraId="47CA290C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75FE3C1B" w14:textId="3195941E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After 30 sessions, the mean oxygen tension in irradiated gingiva reached 34.7 mm Hg, with a range of 27.8 to 40.0 mm Hg</w:t>
            </w:r>
          </w:p>
          <w:p w14:paraId="48CBB7E8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3554C08F" w14:textId="55CDB48D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Transmucosal oxygen tension in irradiated gingiva rose from a mean of 50% to 86% of the oxygen tension in healthy gingiva after HBO</w:t>
            </w:r>
            <w:r w:rsidR="000855EB">
              <w:rPr>
                <w:sz w:val="22"/>
                <w:szCs w:val="22"/>
                <w:lang w:val="en-US"/>
              </w:rPr>
              <w:t>T</w:t>
            </w:r>
          </w:p>
          <w:p w14:paraId="4E3A6116" w14:textId="77777777" w:rsidR="007B09A7" w:rsidRPr="00F10100" w:rsidRDefault="007B09A7" w:rsidP="007B09A7">
            <w:pPr>
              <w:rPr>
                <w:sz w:val="22"/>
                <w:szCs w:val="22"/>
                <w:lang w:val="en-US"/>
              </w:rPr>
            </w:pPr>
          </w:p>
          <w:p w14:paraId="482D89A6" w14:textId="36776DCC" w:rsidR="00E32D22" w:rsidRPr="00F10100" w:rsidRDefault="007B09A7" w:rsidP="007B09A7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41% to 69% was the smallest increase in oxygen tension, and this patient did not heal after sequestrectomy</w:t>
            </w:r>
          </w:p>
        </w:tc>
        <w:tc>
          <w:tcPr>
            <w:tcW w:w="2268" w:type="dxa"/>
          </w:tcPr>
          <w:p w14:paraId="1BCD64A9" w14:textId="77777777" w:rsidR="009F4204" w:rsidRPr="00F10100" w:rsidRDefault="009F4204" w:rsidP="00E32D22">
            <w:pPr>
              <w:rPr>
                <w:sz w:val="22"/>
                <w:szCs w:val="22"/>
                <w:lang w:val="en-US"/>
              </w:rPr>
            </w:pPr>
          </w:p>
          <w:p w14:paraId="33A024A7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36E30BDB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2D4FCA0C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E1FFAB5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60CDB212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6B570EB1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2B384224" w14:textId="77777777" w:rsidR="007B09A7" w:rsidRPr="00F10100" w:rsidRDefault="007B09A7" w:rsidP="00E32D22">
            <w:pPr>
              <w:rPr>
                <w:sz w:val="22"/>
                <w:szCs w:val="22"/>
                <w:lang w:val="en-US"/>
              </w:rPr>
            </w:pPr>
          </w:p>
          <w:p w14:paraId="5B354930" w14:textId="77777777" w:rsidR="007B09A7" w:rsidRPr="00F10100" w:rsidRDefault="007B09A7" w:rsidP="00E32D22">
            <w:pPr>
              <w:rPr>
                <w:sz w:val="22"/>
                <w:szCs w:val="22"/>
                <w:lang w:val="en-US"/>
              </w:rPr>
            </w:pPr>
          </w:p>
          <w:p w14:paraId="16068DFB" w14:textId="3D1C96F5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&lt; </w:t>
            </w:r>
            <w:r w:rsidR="00AB6B10">
              <w:rPr>
                <w:sz w:val="22"/>
                <w:szCs w:val="22"/>
                <w:lang w:val="en-US"/>
              </w:rPr>
              <w:t>0</w:t>
            </w:r>
            <w:r w:rsidR="00E32D22" w:rsidRPr="00F10100">
              <w:rPr>
                <w:sz w:val="22"/>
                <w:szCs w:val="22"/>
                <w:lang w:val="en-US"/>
              </w:rPr>
              <w:t>.05</w:t>
            </w:r>
          </w:p>
        </w:tc>
      </w:tr>
      <w:tr w:rsidR="00E26728" w:rsidRPr="00F10100" w14:paraId="7C99EBD8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55FC95CF" w14:textId="68983529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Epstein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1997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560C0150" w14:textId="57ED9566" w:rsidR="009F4204" w:rsidRPr="00F10100" w:rsidRDefault="008E159D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Retr</w:t>
            </w:r>
            <w:r w:rsidR="009F4204" w:rsidRPr="00F10100">
              <w:rPr>
                <w:rFonts w:cstheme="minorHAnsi"/>
                <w:sz w:val="22"/>
                <w:szCs w:val="22"/>
                <w:lang w:val="en-US"/>
              </w:rPr>
              <w:t>ospective study</w:t>
            </w:r>
          </w:p>
        </w:tc>
        <w:tc>
          <w:tcPr>
            <w:tcW w:w="4634" w:type="dxa"/>
          </w:tcPr>
          <w:p w14:paraId="513EE2A1" w14:textId="02E08681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Two of 20 patients (10%) experienced recurrences of the condition. In one patient,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postradiation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osteonecrosis was triggered by surgical treatment, while in the other, the recurrence was linked to periodontal disease activity</w:t>
            </w:r>
          </w:p>
          <w:p w14:paraId="3645C65E" w14:textId="77777777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</w:p>
          <w:p w14:paraId="74890989" w14:textId="2DD7DCDD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60% (12 of 20) of the patients showed sustained resolution of the condition. Improvement in clinical staging occurred in 10% (2 of 20) of the patients, progressing from symptomatic to unresolved or resolved status</w:t>
            </w:r>
          </w:p>
          <w:p w14:paraId="4DD86D28" w14:textId="77777777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</w:p>
          <w:p w14:paraId="259B2F1C" w14:textId="15C1B138" w:rsidR="009F4204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20% (5 of 20) continued to experience chronic, persistent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postradiation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osteonecrosis at the conclusion of the long-term follow-up</w:t>
            </w:r>
          </w:p>
        </w:tc>
        <w:tc>
          <w:tcPr>
            <w:tcW w:w="2268" w:type="dxa"/>
          </w:tcPr>
          <w:p w14:paraId="4D6AFEDE" w14:textId="3DD106FD" w:rsidR="009F4204" w:rsidRPr="00F10100" w:rsidRDefault="00E32D22" w:rsidP="009F4204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NR</w:t>
            </w:r>
          </w:p>
        </w:tc>
      </w:tr>
      <w:tr w:rsidR="00E26728" w:rsidRPr="00F10100" w14:paraId="2064029D" w14:textId="77777777" w:rsidTr="00B06727">
        <w:tc>
          <w:tcPr>
            <w:tcW w:w="1295" w:type="dxa"/>
            <w:shd w:val="clear" w:color="auto" w:fill="B4C6E7" w:themeFill="accent1" w:themeFillTint="66"/>
          </w:tcPr>
          <w:p w14:paraId="37F9BFEB" w14:textId="0C800020" w:rsidR="009F4204" w:rsidRPr="00F10100" w:rsidRDefault="009F4204" w:rsidP="009F4204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Dieleman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547EAC" w:rsidRPr="00F10100">
              <w:rPr>
                <w:rFonts w:cstheme="minorHAnsi"/>
                <w:sz w:val="22"/>
                <w:szCs w:val="22"/>
                <w:lang w:val="en-US"/>
              </w:rPr>
              <w:t>2017</w:t>
            </w:r>
            <w:r w:rsidR="00E267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37" w:type="dxa"/>
          </w:tcPr>
          <w:p w14:paraId="03447D5B" w14:textId="505E97AD" w:rsidR="009F4204" w:rsidRPr="00F10100" w:rsidRDefault="009F4204" w:rsidP="009F4204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Retrospective</w:t>
            </w:r>
            <w:r w:rsidR="008E159D"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study</w:t>
            </w:r>
          </w:p>
        </w:tc>
        <w:tc>
          <w:tcPr>
            <w:tcW w:w="4634" w:type="dxa"/>
          </w:tcPr>
          <w:p w14:paraId="32B93F1B" w14:textId="52FEEA82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After HBOT alone, 3 of 11 stage I lesions (27%) healed, while none of the 8 stage II or stage III lesions showed healing. Three patients recovered with HBOT alone and did not require surgery</w:t>
            </w:r>
          </w:p>
          <w:p w14:paraId="36CF67C7" w14:textId="77777777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</w:p>
          <w:p w14:paraId="07B6B0C0" w14:textId="4DCD0FCA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Fifteen out of 27 cases (56%) healed after primary treatment for ORN (HBOT and surgery), while the remaining 12 cases required additional surgery. One patient had stable disease</w:t>
            </w:r>
          </w:p>
          <w:p w14:paraId="0B59474A" w14:textId="77777777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</w:p>
          <w:p w14:paraId="6E8081C2" w14:textId="44C06D4B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lastRenderedPageBreak/>
              <w:t>The primary tumor site with the highest absolute incidence of ORN was the floor of the mouth at 8.6%, and the cheek had the lowest incidence at 0%</w:t>
            </w:r>
          </w:p>
          <w:p w14:paraId="66613B4C" w14:textId="77777777" w:rsidR="000E39C9" w:rsidRPr="00F10100" w:rsidRDefault="000E39C9" w:rsidP="000E39C9">
            <w:pPr>
              <w:rPr>
                <w:sz w:val="22"/>
                <w:szCs w:val="22"/>
                <w:lang w:val="en-US"/>
              </w:rPr>
            </w:pPr>
          </w:p>
          <w:p w14:paraId="7589BD82" w14:textId="175D7D36" w:rsidR="00EF3D89" w:rsidRPr="00F10100" w:rsidRDefault="000E39C9" w:rsidP="00E32D22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An overall absolute incidence of 5.3% ORN was found in this population</w:t>
            </w:r>
          </w:p>
        </w:tc>
        <w:tc>
          <w:tcPr>
            <w:tcW w:w="2268" w:type="dxa"/>
          </w:tcPr>
          <w:p w14:paraId="37533EB4" w14:textId="6E88F788" w:rsidR="00E32D22" w:rsidRPr="00F10100" w:rsidRDefault="00B62B50" w:rsidP="00E32D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</w:t>
            </w:r>
            <w:r w:rsidR="00E32D22" w:rsidRPr="00F10100">
              <w:rPr>
                <w:sz w:val="22"/>
                <w:szCs w:val="22"/>
                <w:lang w:val="en-US"/>
              </w:rPr>
              <w:t xml:space="preserve"> = 0.0018</w:t>
            </w:r>
          </w:p>
          <w:p w14:paraId="6828F276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11923526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74CA9D27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05001326" w14:textId="77777777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  <w:p w14:paraId="40381FF0" w14:textId="4AE082AB" w:rsidR="00E32D22" w:rsidRPr="00F10100" w:rsidRDefault="00E32D22" w:rsidP="00E32D22">
            <w:pPr>
              <w:rPr>
                <w:sz w:val="22"/>
                <w:szCs w:val="22"/>
                <w:lang w:val="en-US"/>
              </w:rPr>
            </w:pPr>
          </w:p>
        </w:tc>
      </w:tr>
      <w:tr w:rsidR="00EF3D89" w:rsidRPr="00F10100" w14:paraId="4C4ABE55" w14:textId="77777777" w:rsidTr="00EF3D89">
        <w:tc>
          <w:tcPr>
            <w:tcW w:w="9634" w:type="dxa"/>
            <w:gridSpan w:val="4"/>
            <w:shd w:val="clear" w:color="auto" w:fill="auto"/>
          </w:tcPr>
          <w:p w14:paraId="7612DA39" w14:textId="499F02E4" w:rsidR="00EF3D89" w:rsidRPr="00EF3D89" w:rsidRDefault="00EF3D89" w:rsidP="00EF3D89">
            <w:pPr>
              <w:pStyle w:val="Lijstalinea"/>
              <w:numPr>
                <w:ilvl w:val="0"/>
                <w:numId w:val="14"/>
              </w:numPr>
              <w:rPr>
                <w:sz w:val="22"/>
                <w:szCs w:val="22"/>
                <w:lang w:val="en-US"/>
              </w:rPr>
            </w:pPr>
            <w:r w:rsidRPr="00EF3D89">
              <w:rPr>
                <w:sz w:val="20"/>
                <w:szCs w:val="20"/>
                <w:lang w:val="en-US"/>
              </w:rPr>
              <w:t>NR = Not reported</w:t>
            </w:r>
          </w:p>
        </w:tc>
      </w:tr>
    </w:tbl>
    <w:p w14:paraId="45B41EF4" w14:textId="1452AAC9" w:rsidR="003257DA" w:rsidRDefault="003257DA" w:rsidP="00B06727">
      <w:pPr>
        <w:rPr>
          <w:rFonts w:cstheme="minorHAnsi"/>
          <w:sz w:val="22"/>
          <w:szCs w:val="22"/>
          <w:lang w:val="en-US"/>
        </w:rPr>
      </w:pPr>
    </w:p>
    <w:p w14:paraId="59B4E910" w14:textId="26665345" w:rsidR="00E26728" w:rsidRPr="003257DA" w:rsidRDefault="003257DA" w:rsidP="00B06727">
      <w:pPr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br w:type="page"/>
      </w:r>
    </w:p>
    <w:p w14:paraId="1123A9AE" w14:textId="019D662D" w:rsidR="00B06727" w:rsidRPr="00A62D43" w:rsidRDefault="00B06727" w:rsidP="0024591A">
      <w:pPr>
        <w:pStyle w:val="Kop1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bookmarkStart w:id="15" w:name="_Ref179748538"/>
      <w:bookmarkStart w:id="16" w:name="_Toc180695962"/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8</w:t>
      </w:r>
      <w:r w:rsidRPr="002459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="008F36AE"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Summary</w:t>
      </w:r>
      <w:r w:rsidRPr="00A62D4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of Study and Patient Characteristics</w:t>
      </w:r>
      <w:bookmarkEnd w:id="15"/>
      <w:bookmarkEnd w:id="16"/>
    </w:p>
    <w:tbl>
      <w:tblPr>
        <w:tblStyle w:val="Tabelraster"/>
        <w:tblW w:w="10131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417"/>
        <w:gridCol w:w="1856"/>
        <w:gridCol w:w="1077"/>
        <w:gridCol w:w="705"/>
        <w:gridCol w:w="1145"/>
        <w:gridCol w:w="108"/>
      </w:tblGrid>
      <w:tr w:rsidR="00E26728" w:rsidRPr="00F10100" w14:paraId="56D4F7C8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203122C6" w14:textId="3E2B10C9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Study 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>(Y</w:t>
            </w: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ear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180FC000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Number of HNC patients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F459113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Mean age (range)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ADB4DE9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Main symptom(s)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of LRTTI</w:t>
            </w:r>
          </w:p>
        </w:tc>
        <w:tc>
          <w:tcPr>
            <w:tcW w:w="1856" w:type="dxa"/>
            <w:shd w:val="clear" w:color="auto" w:fill="B4C6E7" w:themeFill="accent1" w:themeFillTint="66"/>
          </w:tcPr>
          <w:p w14:paraId="6A48AC79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Outcome measures</w:t>
            </w:r>
          </w:p>
        </w:tc>
        <w:tc>
          <w:tcPr>
            <w:tcW w:w="1077" w:type="dxa"/>
            <w:shd w:val="clear" w:color="auto" w:fill="B4C6E7" w:themeFill="accent1" w:themeFillTint="66"/>
          </w:tcPr>
          <w:p w14:paraId="010D8D14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Pressure (ATA)</w:t>
            </w:r>
          </w:p>
        </w:tc>
        <w:tc>
          <w:tcPr>
            <w:tcW w:w="705" w:type="dxa"/>
            <w:shd w:val="clear" w:color="auto" w:fill="B4C6E7" w:themeFill="accent1" w:themeFillTint="66"/>
          </w:tcPr>
          <w:p w14:paraId="7FE9FA0D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Time (min)</w:t>
            </w:r>
          </w:p>
        </w:tc>
        <w:tc>
          <w:tcPr>
            <w:tcW w:w="1253" w:type="dxa"/>
            <w:gridSpan w:val="2"/>
            <w:shd w:val="clear" w:color="auto" w:fill="B4C6E7" w:themeFill="accent1" w:themeFillTint="66"/>
          </w:tcPr>
          <w:p w14:paraId="4E2AB0FF" w14:textId="77777777" w:rsidR="00E26728" w:rsidRPr="00F10100" w:rsidRDefault="00E26728" w:rsidP="00E26728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b/>
                <w:bCs/>
                <w:sz w:val="22"/>
                <w:szCs w:val="22"/>
                <w:lang w:val="en-US"/>
              </w:rPr>
              <w:t>Treatments (n)</w:t>
            </w:r>
          </w:p>
        </w:tc>
      </w:tr>
      <w:tr w:rsidR="00E26728" w:rsidRPr="00F10100" w14:paraId="5E25F994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4332A8FE" w14:textId="5B1ECA99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Shaw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2019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098A035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144</w:t>
            </w:r>
          </w:p>
        </w:tc>
        <w:tc>
          <w:tcPr>
            <w:tcW w:w="1134" w:type="dxa"/>
          </w:tcPr>
          <w:p w14:paraId="0EAF367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Treatment group 58.3 (10 SD), control group 58.2 (10.4 SD)</w:t>
            </w:r>
          </w:p>
        </w:tc>
        <w:tc>
          <w:tcPr>
            <w:tcW w:w="1417" w:type="dxa"/>
          </w:tcPr>
          <w:p w14:paraId="72C9317E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ORN of the jaw</w:t>
            </w:r>
          </w:p>
        </w:tc>
        <w:tc>
          <w:tcPr>
            <w:tcW w:w="1856" w:type="dxa"/>
          </w:tcPr>
          <w:p w14:paraId="2B7CACCE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Clinical photographs and radiographs, the modified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Notani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score, University of Washington QoL, VAS scale, and the incidence of MBS</w:t>
            </w:r>
          </w:p>
        </w:tc>
        <w:tc>
          <w:tcPr>
            <w:tcW w:w="1077" w:type="dxa"/>
          </w:tcPr>
          <w:p w14:paraId="68FE226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787A421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80-90</w:t>
            </w:r>
          </w:p>
        </w:tc>
        <w:tc>
          <w:tcPr>
            <w:tcW w:w="1253" w:type="dxa"/>
            <w:gridSpan w:val="2"/>
          </w:tcPr>
          <w:p w14:paraId="0545B46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</w:tr>
      <w:tr w:rsidR="00E26728" w:rsidRPr="00F10100" w14:paraId="4CB1D23A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71E484C5" w14:textId="43849F71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Forne</w:t>
            </w:r>
            <w:r>
              <w:rPr>
                <w:rFonts w:cstheme="minorHAnsi"/>
                <w:sz w:val="22"/>
                <w:szCs w:val="22"/>
                <w:lang w:val="en-US"/>
              </w:rPr>
              <w:t>r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2022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66C669E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97</w:t>
            </w:r>
          </w:p>
        </w:tc>
        <w:tc>
          <w:tcPr>
            <w:tcW w:w="1134" w:type="dxa"/>
          </w:tcPr>
          <w:p w14:paraId="64D8E7B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61 (49-80)</w:t>
            </w:r>
          </w:p>
        </w:tc>
        <w:tc>
          <w:tcPr>
            <w:tcW w:w="1417" w:type="dxa"/>
          </w:tcPr>
          <w:p w14:paraId="703EC899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Mandibular ORN</w:t>
            </w:r>
          </w:p>
        </w:tc>
        <w:tc>
          <w:tcPr>
            <w:tcW w:w="1856" w:type="dxa"/>
          </w:tcPr>
          <w:p w14:paraId="33A2835A" w14:textId="77777777" w:rsidR="00E26728" w:rsidRPr="00F10100" w:rsidRDefault="00E26728" w:rsidP="00E26728">
            <w:pPr>
              <w:rPr>
                <w:vertAlign w:val="superscript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Common Toxicity Criteria of Adverse Events (CTCAE) v 3.0, EORTC QLQ-C30, QLQ-H&amp;N35 and VAS scale and analgesics consumption, unstimulated and stimulated salivation rate (ml/min), and UKU side effect rating scale</w:t>
            </w:r>
            <w:r w:rsidRPr="00F10100"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077" w:type="dxa"/>
          </w:tcPr>
          <w:p w14:paraId="7C95F19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1F61AB76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00FB888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40</w:t>
            </w:r>
          </w:p>
        </w:tc>
      </w:tr>
      <w:tr w:rsidR="00E26728" w:rsidRPr="00F10100" w14:paraId="437199C1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5CDAC879" w14:textId="6C0114D8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Teguh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2009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5049A13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19</w:t>
            </w:r>
          </w:p>
        </w:tc>
        <w:tc>
          <w:tcPr>
            <w:tcW w:w="1134" w:type="dxa"/>
          </w:tcPr>
          <w:p w14:paraId="33BBDF2E" w14:textId="2675B09C" w:rsidR="00E26728" w:rsidRPr="00F10100" w:rsidRDefault="00E26728" w:rsidP="00E26728">
            <w:pPr>
              <w:rPr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496DB3C3" w14:textId="77777777" w:rsidR="00E26728" w:rsidRPr="00F10100" w:rsidRDefault="00E26728" w:rsidP="00E26728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Xerostomia, dysphagia, trismus</w:t>
            </w:r>
          </w:p>
        </w:tc>
        <w:tc>
          <w:tcPr>
            <w:tcW w:w="1856" w:type="dxa"/>
          </w:tcPr>
          <w:p w14:paraId="109627B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EORTC QLQ-C30, QLQ-H&amp;N35,</w:t>
            </w:r>
            <w:r w:rsidRPr="00F10100">
              <w:rPr>
                <w:lang w:val="en-US"/>
              </w:rPr>
              <w:t xml:space="preserve"> </w:t>
            </w:r>
            <w:r w:rsidRPr="00F10100">
              <w:rPr>
                <w:sz w:val="22"/>
                <w:szCs w:val="22"/>
                <w:lang w:val="en-US"/>
              </w:rPr>
              <w:t>PSS, and VAS scale</w:t>
            </w:r>
          </w:p>
        </w:tc>
        <w:tc>
          <w:tcPr>
            <w:tcW w:w="1077" w:type="dxa"/>
          </w:tcPr>
          <w:p w14:paraId="6B7D81B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48E5860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285441E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</w:tr>
      <w:tr w:rsidR="00E26728" w:rsidRPr="00F10100" w14:paraId="097D6742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78246298" w14:textId="3B71AF63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Schoen </w:t>
            </w:r>
            <w:r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26E74720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26</w:t>
            </w:r>
          </w:p>
        </w:tc>
        <w:tc>
          <w:tcPr>
            <w:tcW w:w="1134" w:type="dxa"/>
          </w:tcPr>
          <w:p w14:paraId="11A04B4E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60.1 (7.5 SD) (47-77)</w:t>
            </w:r>
          </w:p>
        </w:tc>
        <w:tc>
          <w:tcPr>
            <w:tcW w:w="1417" w:type="dxa"/>
          </w:tcPr>
          <w:p w14:paraId="4D75970C" w14:textId="77777777" w:rsidR="00E26728" w:rsidRPr="00F10100" w:rsidRDefault="00E26728" w:rsidP="00E26728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Problems with functioning with lower denture</w:t>
            </w:r>
          </w:p>
        </w:tc>
        <w:tc>
          <w:tcPr>
            <w:tcW w:w="1856" w:type="dxa"/>
          </w:tcPr>
          <w:p w14:paraId="33308B8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EORTC QLQ-C30, QLQ-H&amp;N35, OHIP questionnaire, and</w:t>
            </w:r>
            <w:r w:rsidRPr="00F10100">
              <w:rPr>
                <w:lang w:val="en-US"/>
              </w:rPr>
              <w:t xml:space="preserve"> the </w:t>
            </w:r>
            <w:r w:rsidRPr="00F10100">
              <w:rPr>
                <w:sz w:val="22"/>
                <w:szCs w:val="22"/>
                <w:lang w:val="en-US"/>
              </w:rPr>
              <w:t>Groningen Activity Restriction Scale Dentistry (GARS-D), 8-item questionnaire and a 10-point rating scale for denture satisfaction and overall denture satisfaction, and a 9-item questionnaire for subjective chewing ability</w:t>
            </w:r>
          </w:p>
        </w:tc>
        <w:tc>
          <w:tcPr>
            <w:tcW w:w="1077" w:type="dxa"/>
          </w:tcPr>
          <w:p w14:paraId="6866015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2C4EB9D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80</w:t>
            </w:r>
          </w:p>
        </w:tc>
        <w:tc>
          <w:tcPr>
            <w:tcW w:w="1253" w:type="dxa"/>
            <w:gridSpan w:val="2"/>
          </w:tcPr>
          <w:p w14:paraId="633BD59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</w:tr>
      <w:tr w:rsidR="00E26728" w:rsidRPr="00F10100" w14:paraId="72CA114C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2AEF164F" w14:textId="3A8D22C7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lastRenderedPageBreak/>
              <w:t>S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valesta</w:t>
            </w:r>
            <w:r>
              <w:rPr>
                <w:rFonts w:cstheme="minorHAnsi"/>
                <w:sz w:val="22"/>
                <w:szCs w:val="22"/>
                <w:lang w:val="en-US"/>
              </w:rPr>
              <w:t>d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2015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3137AB8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  <w:tc>
          <w:tcPr>
            <w:tcW w:w="1134" w:type="dxa"/>
          </w:tcPr>
          <w:p w14:paraId="3FBCBAFA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Treatment group 62 (51-78), control group 60 (53-73)</w:t>
            </w:r>
          </w:p>
        </w:tc>
        <w:tc>
          <w:tcPr>
            <w:tcW w:w="1417" w:type="dxa"/>
          </w:tcPr>
          <w:p w14:paraId="465DED99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Clinical ORN, xerostomia</w:t>
            </w:r>
          </w:p>
        </w:tc>
        <w:tc>
          <w:tcPr>
            <w:tcW w:w="1856" w:type="dxa"/>
          </w:tcPr>
          <w:p w14:paraId="1C70EC30" w14:textId="77777777" w:rsidR="00E26728" w:rsidRPr="00F10100" w:rsidRDefault="00E26728" w:rsidP="00E26728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Histological changes using double staining with CD31 and D2-40, or Ki-67</w:t>
            </w:r>
          </w:p>
        </w:tc>
        <w:tc>
          <w:tcPr>
            <w:tcW w:w="1077" w:type="dxa"/>
          </w:tcPr>
          <w:p w14:paraId="3321AC9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2DE76E8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22872D8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29 (mean)</w:t>
            </w:r>
          </w:p>
          <w:p w14:paraId="36EB0FCE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20-40 (range)</w:t>
            </w:r>
          </w:p>
        </w:tc>
      </w:tr>
      <w:tr w:rsidR="00E26728" w:rsidRPr="00F10100" w14:paraId="1700F010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4D068B0B" w14:textId="54A5BED2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Annane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2004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0F10F758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68</w:t>
            </w:r>
          </w:p>
        </w:tc>
        <w:tc>
          <w:tcPr>
            <w:tcW w:w="1134" w:type="dxa"/>
          </w:tcPr>
          <w:p w14:paraId="18EDB659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Treatment group 53 (first and third quartile, 47-61), control group 55 (first and third quartile, 49-62)</w:t>
            </w:r>
          </w:p>
        </w:tc>
        <w:tc>
          <w:tcPr>
            <w:tcW w:w="1417" w:type="dxa"/>
          </w:tcPr>
          <w:p w14:paraId="727943D4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Mandibular ORN, pain, dysesthesia in the distribution of the inferior alveolar nerve, areas of bone exposure, trismus, and fistula </w:t>
            </w:r>
          </w:p>
        </w:tc>
        <w:tc>
          <w:tcPr>
            <w:tcW w:w="1856" w:type="dxa"/>
          </w:tcPr>
          <w:p w14:paraId="312C1181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absence of pain, absence of any area of bone exposure, stabilization or regression of radiographic findings, and absence of treatment failure</w:t>
            </w:r>
          </w:p>
        </w:tc>
        <w:tc>
          <w:tcPr>
            <w:tcW w:w="1077" w:type="dxa"/>
          </w:tcPr>
          <w:p w14:paraId="02A8548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0EBEE67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4C9CBBB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25 (median treatment group)</w:t>
            </w:r>
          </w:p>
          <w:p w14:paraId="33D9A9A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26 (median control group)</w:t>
            </w:r>
          </w:p>
          <w:p w14:paraId="404E4D86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30-40 (range)</w:t>
            </w:r>
          </w:p>
        </w:tc>
      </w:tr>
      <w:tr w:rsidR="00E26728" w:rsidRPr="00F10100" w14:paraId="706D558E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1A065C3F" w14:textId="24FBED70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Helmers</w:t>
            </w:r>
            <w:r>
              <w:rPr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sz w:val="22"/>
                <w:szCs w:val="22"/>
                <w:lang w:val="en-US"/>
              </w:rPr>
              <w:t>2022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010DACD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34</w:t>
            </w:r>
          </w:p>
        </w:tc>
        <w:tc>
          <w:tcPr>
            <w:tcW w:w="1134" w:type="dxa"/>
          </w:tcPr>
          <w:p w14:paraId="04AC6051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59 (±12 SD)</w:t>
            </w:r>
          </w:p>
        </w:tc>
        <w:tc>
          <w:tcPr>
            <w:tcW w:w="1417" w:type="dxa"/>
          </w:tcPr>
          <w:p w14:paraId="63F7BD58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ORN</w:t>
            </w:r>
          </w:p>
        </w:tc>
        <w:tc>
          <w:tcPr>
            <w:tcW w:w="1856" w:type="dxa"/>
          </w:tcPr>
          <w:p w14:paraId="3227CDF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Microvascular imaging</w:t>
            </w:r>
          </w:p>
        </w:tc>
        <w:tc>
          <w:tcPr>
            <w:tcW w:w="1077" w:type="dxa"/>
          </w:tcPr>
          <w:p w14:paraId="3C155406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1945351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75</w:t>
            </w:r>
          </w:p>
        </w:tc>
        <w:tc>
          <w:tcPr>
            <w:tcW w:w="1253" w:type="dxa"/>
            <w:gridSpan w:val="2"/>
          </w:tcPr>
          <w:p w14:paraId="0F133F3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</w:tr>
      <w:tr w:rsidR="00E26728" w:rsidRPr="00F10100" w14:paraId="61300E44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2D781F59" w14:textId="30F4328D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Vidmar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2022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74576F6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18 </w:t>
            </w:r>
          </w:p>
        </w:tc>
        <w:tc>
          <w:tcPr>
            <w:tcW w:w="1134" w:type="dxa"/>
          </w:tcPr>
          <w:p w14:paraId="595A771F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Treatment group 60.9 (±11.7 SD), control group 56.7 (±11.8 SD)</w:t>
            </w:r>
          </w:p>
        </w:tc>
        <w:tc>
          <w:tcPr>
            <w:tcW w:w="1417" w:type="dxa"/>
          </w:tcPr>
          <w:p w14:paraId="7E98C7E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Clinical symptoms</w:t>
            </w:r>
          </w:p>
        </w:tc>
        <w:tc>
          <w:tcPr>
            <w:tcW w:w="1856" w:type="dxa"/>
          </w:tcPr>
          <w:p w14:paraId="4639315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MRI examination, </w:t>
            </w:r>
            <w:r w:rsidRPr="00F10100">
              <w:rPr>
                <w:sz w:val="22"/>
                <w:szCs w:val="22"/>
                <w:lang w:val="en-US"/>
              </w:rPr>
              <w:t>unstimulated and stimulated salivation rate (ml/min)</w:t>
            </w:r>
          </w:p>
        </w:tc>
        <w:tc>
          <w:tcPr>
            <w:tcW w:w="1077" w:type="dxa"/>
          </w:tcPr>
          <w:p w14:paraId="1B25F95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1ADA9329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4E4C539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</w:tr>
      <w:tr w:rsidR="00E26728" w:rsidRPr="00F10100" w14:paraId="3BA05576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0BA01FF2" w14:textId="05A84702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Cankar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2011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18F64735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16</w:t>
            </w:r>
          </w:p>
        </w:tc>
        <w:tc>
          <w:tcPr>
            <w:tcW w:w="1134" w:type="dxa"/>
          </w:tcPr>
          <w:p w14:paraId="3B1669E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56.3 (±1.9 SD)</w:t>
            </w:r>
          </w:p>
        </w:tc>
        <w:tc>
          <w:tcPr>
            <w:tcW w:w="1417" w:type="dxa"/>
          </w:tcPr>
          <w:p w14:paraId="65E8F4B1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Xerostomia</w:t>
            </w:r>
          </w:p>
        </w:tc>
        <w:tc>
          <w:tcPr>
            <w:tcW w:w="1856" w:type="dxa"/>
          </w:tcPr>
          <w:p w14:paraId="3500123A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Stimulated salivary flow, buffer capacity, saliva pH and colony-forming units (CFU) in stimulated saliva, and xerostomia grade </w:t>
            </w:r>
          </w:p>
        </w:tc>
        <w:tc>
          <w:tcPr>
            <w:tcW w:w="1077" w:type="dxa"/>
          </w:tcPr>
          <w:p w14:paraId="5EC8126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3C782496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6820566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</w:tr>
      <w:tr w:rsidR="00E26728" w:rsidRPr="00F10100" w14:paraId="30E3EA8C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10FB5CBF" w14:textId="054C8510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Korambayil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2020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1621CCCD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27 </w:t>
            </w:r>
          </w:p>
        </w:tc>
        <w:tc>
          <w:tcPr>
            <w:tcW w:w="1134" w:type="dxa"/>
          </w:tcPr>
          <w:p w14:paraId="29BA9DE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58.9 (27-80)</w:t>
            </w:r>
          </w:p>
        </w:tc>
        <w:tc>
          <w:tcPr>
            <w:tcW w:w="1417" w:type="dxa"/>
          </w:tcPr>
          <w:p w14:paraId="7748810E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Mandibular ORN, oral cavity, necrosis of the cheek, and necrosis of the tooth socket</w:t>
            </w:r>
          </w:p>
        </w:tc>
        <w:tc>
          <w:tcPr>
            <w:tcW w:w="1856" w:type="dxa"/>
          </w:tcPr>
          <w:p w14:paraId="338BE3A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Clinical changes</w:t>
            </w:r>
          </w:p>
        </w:tc>
        <w:tc>
          <w:tcPr>
            <w:tcW w:w="1077" w:type="dxa"/>
          </w:tcPr>
          <w:p w14:paraId="18A886E9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2.4-2.5</w:t>
            </w:r>
          </w:p>
        </w:tc>
        <w:tc>
          <w:tcPr>
            <w:tcW w:w="705" w:type="dxa"/>
          </w:tcPr>
          <w:p w14:paraId="144C4FF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4EA3AC56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16.7 (mean)</w:t>
            </w:r>
          </w:p>
          <w:p w14:paraId="78174CA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6-42 (range)</w:t>
            </w:r>
          </w:p>
        </w:tc>
      </w:tr>
      <w:tr w:rsidR="00E26728" w:rsidRPr="00F10100" w14:paraId="208747DA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32A9D4E7" w14:textId="114456E6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David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2001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385965CE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75 </w:t>
            </w:r>
          </w:p>
        </w:tc>
        <w:tc>
          <w:tcPr>
            <w:tcW w:w="1134" w:type="dxa"/>
          </w:tcPr>
          <w:p w14:paraId="58A3590A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Treatment group A </w:t>
            </w:r>
            <w:r w:rsidRPr="00F10100">
              <w:rPr>
                <w:sz w:val="22"/>
                <w:szCs w:val="22"/>
                <w:lang w:val="en-US"/>
              </w:rPr>
              <w:lastRenderedPageBreak/>
              <w:t>62.2 (37-88), treatment group B 61 (35-78)</w:t>
            </w:r>
          </w:p>
        </w:tc>
        <w:tc>
          <w:tcPr>
            <w:tcW w:w="1417" w:type="dxa"/>
          </w:tcPr>
          <w:p w14:paraId="0D9BC03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Mandibular ORN,</w:t>
            </w:r>
            <w:r w:rsidRPr="00F10100">
              <w:rPr>
                <w:lang w:val="en-US"/>
              </w:rPr>
              <w:t xml:space="preserve"> </w:t>
            </w:r>
            <w:r w:rsidRPr="00F10100">
              <w:rPr>
                <w:sz w:val="22"/>
                <w:szCs w:val="22"/>
                <w:lang w:val="en-US"/>
              </w:rPr>
              <w:lastRenderedPageBreak/>
              <w:t xml:space="preserve">presence or absence of fracture,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orocutaneo</w:t>
            </w:r>
            <w:r>
              <w:rPr>
                <w:sz w:val="22"/>
                <w:szCs w:val="22"/>
                <w:lang w:val="en-US"/>
              </w:rPr>
              <w:t>u</w:t>
            </w:r>
            <w:r w:rsidRPr="00F10100">
              <w:rPr>
                <w:sz w:val="22"/>
                <w:szCs w:val="22"/>
                <w:lang w:val="en-US"/>
              </w:rPr>
              <w:t>s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 fistula, and pain</w:t>
            </w:r>
          </w:p>
        </w:tc>
        <w:tc>
          <w:tcPr>
            <w:tcW w:w="1856" w:type="dxa"/>
          </w:tcPr>
          <w:p w14:paraId="2B2A6AF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lastRenderedPageBreak/>
              <w:t>Clinical changes</w:t>
            </w:r>
          </w:p>
        </w:tc>
        <w:tc>
          <w:tcPr>
            <w:tcW w:w="1077" w:type="dxa"/>
          </w:tcPr>
          <w:p w14:paraId="1556E6F8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41E76C05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60</w:t>
            </w:r>
          </w:p>
        </w:tc>
        <w:tc>
          <w:tcPr>
            <w:tcW w:w="1253" w:type="dxa"/>
            <w:gridSpan w:val="2"/>
          </w:tcPr>
          <w:p w14:paraId="6627D0E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8-60 (range)</w:t>
            </w:r>
          </w:p>
        </w:tc>
      </w:tr>
      <w:tr w:rsidR="00E26728" w:rsidRPr="00F10100" w14:paraId="08907366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00DC46AC" w14:textId="2B83BDDE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Vudiniabola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1999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1D8FEB1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37</w:t>
            </w:r>
          </w:p>
        </w:tc>
        <w:tc>
          <w:tcPr>
            <w:tcW w:w="1134" w:type="dxa"/>
          </w:tcPr>
          <w:p w14:paraId="353B549C" w14:textId="77777777" w:rsidR="00E26728" w:rsidRPr="00F10100" w:rsidRDefault="00E26728" w:rsidP="00E26728">
            <w:pPr>
              <w:rPr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Treatment group 52.6 (20-73), control group 56.3 (47-64)</w:t>
            </w:r>
          </w:p>
        </w:tc>
        <w:tc>
          <w:tcPr>
            <w:tcW w:w="1417" w:type="dxa"/>
          </w:tcPr>
          <w:p w14:paraId="4029B5E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ORN of the jaw</w:t>
            </w:r>
          </w:p>
        </w:tc>
        <w:tc>
          <w:tcPr>
            <w:tcW w:w="1856" w:type="dxa"/>
          </w:tcPr>
          <w:p w14:paraId="1B355812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Oral status and function, radiographic appearance, and any signs of ORN or oral cancer recurrence </w:t>
            </w:r>
          </w:p>
        </w:tc>
        <w:tc>
          <w:tcPr>
            <w:tcW w:w="1077" w:type="dxa"/>
          </w:tcPr>
          <w:p w14:paraId="68807C35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2429FD0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79DC03F3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</w:tr>
      <w:tr w:rsidR="00E26728" w:rsidRPr="00F10100" w14:paraId="7F7CCA86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28A7B5BF" w14:textId="41756D4B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Curi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2000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44F421E0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18</w:t>
            </w:r>
          </w:p>
        </w:tc>
        <w:tc>
          <w:tcPr>
            <w:tcW w:w="1134" w:type="dxa"/>
          </w:tcPr>
          <w:p w14:paraId="64C45EC5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55,6 (40-77)</w:t>
            </w:r>
          </w:p>
        </w:tc>
        <w:tc>
          <w:tcPr>
            <w:tcW w:w="1417" w:type="dxa"/>
          </w:tcPr>
          <w:p w14:paraId="5C74A7F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ORN of the jaw</w:t>
            </w:r>
          </w:p>
        </w:tc>
        <w:tc>
          <w:tcPr>
            <w:tcW w:w="1856" w:type="dxa"/>
          </w:tcPr>
          <w:p w14:paraId="025BDCD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Clinical changes and panoramic radiographs</w:t>
            </w:r>
          </w:p>
        </w:tc>
        <w:tc>
          <w:tcPr>
            <w:tcW w:w="1077" w:type="dxa"/>
          </w:tcPr>
          <w:p w14:paraId="1933C321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71D1841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120</w:t>
            </w:r>
          </w:p>
        </w:tc>
        <w:tc>
          <w:tcPr>
            <w:tcW w:w="1253" w:type="dxa"/>
            <w:gridSpan w:val="2"/>
          </w:tcPr>
          <w:p w14:paraId="0DC5FCB8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</w:tr>
      <w:tr w:rsidR="00E26728" w:rsidRPr="00F10100" w14:paraId="3016B45A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717272E8" w14:textId="6DA72787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Narozny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2005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4EAF34C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</w:tcPr>
          <w:p w14:paraId="328891EE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51.1 (±7.2 SD), (38-59)</w:t>
            </w:r>
          </w:p>
        </w:tc>
        <w:tc>
          <w:tcPr>
            <w:tcW w:w="1417" w:type="dxa"/>
          </w:tcPr>
          <w:p w14:paraId="3C5336EC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Laryngeal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chondroradionecrosis</w:t>
            </w:r>
            <w:proofErr w:type="spellEnd"/>
            <w:r w:rsidRPr="00F10100">
              <w:rPr>
                <w:sz w:val="22"/>
                <w:szCs w:val="22"/>
                <w:lang w:val="en-US"/>
              </w:rPr>
              <w:t xml:space="preserve">, ORN of the temporal bone, and soft tissue </w:t>
            </w:r>
            <w:proofErr w:type="spellStart"/>
            <w:r w:rsidRPr="00F10100">
              <w:rPr>
                <w:sz w:val="22"/>
                <w:szCs w:val="22"/>
                <w:lang w:val="en-US"/>
              </w:rPr>
              <w:t>radionecrosis</w:t>
            </w:r>
            <w:proofErr w:type="spellEnd"/>
          </w:p>
        </w:tc>
        <w:tc>
          <w:tcPr>
            <w:tcW w:w="1856" w:type="dxa"/>
          </w:tcPr>
          <w:p w14:paraId="5F6EBEF2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Chandler grading system and SOMA/LENT score</w:t>
            </w:r>
          </w:p>
        </w:tc>
        <w:tc>
          <w:tcPr>
            <w:tcW w:w="1077" w:type="dxa"/>
          </w:tcPr>
          <w:p w14:paraId="36A02122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3823D950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60</w:t>
            </w:r>
          </w:p>
        </w:tc>
        <w:tc>
          <w:tcPr>
            <w:tcW w:w="1253" w:type="dxa"/>
            <w:gridSpan w:val="2"/>
          </w:tcPr>
          <w:p w14:paraId="5254A23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18 (median)</w:t>
            </w:r>
          </w:p>
          <w:p w14:paraId="13E0BF4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8-39 (range)</w:t>
            </w:r>
          </w:p>
        </w:tc>
      </w:tr>
      <w:tr w:rsidR="00E26728" w:rsidRPr="00F10100" w14:paraId="1EDCA71F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7211A4F4" w14:textId="7AEB338C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Thorn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1997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29F210B0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10 </w:t>
            </w:r>
          </w:p>
        </w:tc>
        <w:tc>
          <w:tcPr>
            <w:tcW w:w="1134" w:type="dxa"/>
          </w:tcPr>
          <w:p w14:paraId="46770714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Treatment group 56 (46-72), control group 51 (46-59)</w:t>
            </w:r>
          </w:p>
        </w:tc>
        <w:tc>
          <w:tcPr>
            <w:tcW w:w="1417" w:type="dxa"/>
          </w:tcPr>
          <w:p w14:paraId="5F576D9E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Mandibular ORN</w:t>
            </w:r>
          </w:p>
        </w:tc>
        <w:tc>
          <w:tcPr>
            <w:tcW w:w="1856" w:type="dxa"/>
          </w:tcPr>
          <w:p w14:paraId="3815410F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The transmucosal oxygen tensions using a noninvasive, nonheated modification of the Clark polarographic oxygen electrode (mm/Hg)</w:t>
            </w:r>
          </w:p>
        </w:tc>
        <w:tc>
          <w:tcPr>
            <w:tcW w:w="1077" w:type="dxa"/>
          </w:tcPr>
          <w:p w14:paraId="226D9D30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2.4</w:t>
            </w:r>
          </w:p>
        </w:tc>
        <w:tc>
          <w:tcPr>
            <w:tcW w:w="705" w:type="dxa"/>
          </w:tcPr>
          <w:p w14:paraId="623411E1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029EBD9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</w:tr>
      <w:tr w:rsidR="00E26728" w:rsidRPr="00F10100" w14:paraId="18B6CBDB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12041281" w14:textId="36FB45FA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Epstein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1997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414698D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26</w:t>
            </w:r>
          </w:p>
        </w:tc>
        <w:tc>
          <w:tcPr>
            <w:tcW w:w="1134" w:type="dxa"/>
          </w:tcPr>
          <w:p w14:paraId="4C62FA07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>57.5 (28-80)</w:t>
            </w:r>
          </w:p>
        </w:tc>
        <w:tc>
          <w:tcPr>
            <w:tcW w:w="1417" w:type="dxa"/>
          </w:tcPr>
          <w:p w14:paraId="0C1EAAAC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Osteonecrosis of the jaw</w:t>
            </w:r>
          </w:p>
        </w:tc>
        <w:tc>
          <w:tcPr>
            <w:tcW w:w="1856" w:type="dxa"/>
          </w:tcPr>
          <w:p w14:paraId="0F8650F1" w14:textId="77777777" w:rsidR="00E26728" w:rsidRPr="00F10100" w:rsidRDefault="00E26728" w:rsidP="00E26728">
            <w:pPr>
              <w:rPr>
                <w:sz w:val="22"/>
                <w:szCs w:val="22"/>
                <w:lang w:val="en-US"/>
              </w:rPr>
            </w:pPr>
            <w:r w:rsidRPr="00F10100">
              <w:rPr>
                <w:sz w:val="22"/>
                <w:szCs w:val="22"/>
                <w:lang w:val="en-US"/>
              </w:rPr>
              <w:t xml:space="preserve">Classification of Epstein </w:t>
            </w:r>
          </w:p>
        </w:tc>
        <w:tc>
          <w:tcPr>
            <w:tcW w:w="1077" w:type="dxa"/>
          </w:tcPr>
          <w:p w14:paraId="2EDBF9D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2.5</w:t>
            </w:r>
          </w:p>
        </w:tc>
        <w:tc>
          <w:tcPr>
            <w:tcW w:w="705" w:type="dxa"/>
          </w:tcPr>
          <w:p w14:paraId="480C1068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3" w:type="dxa"/>
            <w:gridSpan w:val="2"/>
          </w:tcPr>
          <w:p w14:paraId="11DE502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9-115 (range)</w:t>
            </w:r>
          </w:p>
        </w:tc>
      </w:tr>
      <w:tr w:rsidR="00E26728" w:rsidRPr="00F10100" w14:paraId="6FA5D27D" w14:textId="77777777" w:rsidTr="00B06727">
        <w:tc>
          <w:tcPr>
            <w:tcW w:w="1696" w:type="dxa"/>
            <w:shd w:val="clear" w:color="auto" w:fill="B4C6E7" w:themeFill="accent1" w:themeFillTint="66"/>
          </w:tcPr>
          <w:p w14:paraId="37B74D8D" w14:textId="193D27F6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Dieleman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F10100">
              <w:rPr>
                <w:rFonts w:cstheme="minorHAnsi"/>
                <w:sz w:val="22"/>
                <w:szCs w:val="22"/>
                <w:lang w:val="en-US"/>
              </w:rPr>
              <w:t>2017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</w:tcPr>
          <w:p w14:paraId="0E26EE85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27</w:t>
            </w:r>
          </w:p>
        </w:tc>
        <w:tc>
          <w:tcPr>
            <w:tcW w:w="1134" w:type="dxa"/>
          </w:tcPr>
          <w:p w14:paraId="0699250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3C2F6187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Mandibular ORN</w:t>
            </w:r>
          </w:p>
        </w:tc>
        <w:tc>
          <w:tcPr>
            <w:tcW w:w="1856" w:type="dxa"/>
          </w:tcPr>
          <w:p w14:paraId="00BD50EA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10100">
              <w:rPr>
                <w:rFonts w:cstheme="minorHAnsi"/>
                <w:sz w:val="22"/>
                <w:szCs w:val="22"/>
                <w:lang w:val="en-US"/>
              </w:rPr>
              <w:t>Notani</w:t>
            </w:r>
            <w:proofErr w:type="spellEnd"/>
            <w:r w:rsidRPr="00F10100">
              <w:rPr>
                <w:rFonts w:cstheme="minorHAnsi"/>
                <w:sz w:val="22"/>
                <w:szCs w:val="22"/>
                <w:lang w:val="en-US"/>
              </w:rPr>
              <w:t xml:space="preserve"> score, panoramic radiographs, </w:t>
            </w:r>
            <w:r w:rsidRPr="00F10100">
              <w:rPr>
                <w:sz w:val="22"/>
                <w:szCs w:val="22"/>
                <w:lang w:val="en-US"/>
              </w:rPr>
              <w:t>the stable absence of pain, fistulation, and mucosal dehiscence of bone</w:t>
            </w:r>
          </w:p>
        </w:tc>
        <w:tc>
          <w:tcPr>
            <w:tcW w:w="1077" w:type="dxa"/>
          </w:tcPr>
          <w:p w14:paraId="79D5BE74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vertAlign w:val="superscript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NR</w:t>
            </w:r>
          </w:p>
        </w:tc>
        <w:tc>
          <w:tcPr>
            <w:tcW w:w="705" w:type="dxa"/>
          </w:tcPr>
          <w:p w14:paraId="17F850BF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NR</w:t>
            </w:r>
          </w:p>
        </w:tc>
        <w:tc>
          <w:tcPr>
            <w:tcW w:w="1253" w:type="dxa"/>
            <w:gridSpan w:val="2"/>
          </w:tcPr>
          <w:p w14:paraId="2C3E5DEB" w14:textId="77777777" w:rsidR="00E26728" w:rsidRPr="00F10100" w:rsidRDefault="00E26728" w:rsidP="00E267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10100">
              <w:rPr>
                <w:rFonts w:cstheme="minorHAnsi"/>
                <w:sz w:val="22"/>
                <w:szCs w:val="22"/>
                <w:lang w:val="en-US"/>
              </w:rPr>
              <w:t>40</w:t>
            </w:r>
          </w:p>
        </w:tc>
      </w:tr>
      <w:tr w:rsidR="00B06727" w:rsidRPr="006A24BE" w14:paraId="25B549A4" w14:textId="77777777" w:rsidTr="0036274C">
        <w:trPr>
          <w:gridAfter w:val="1"/>
          <w:wAfter w:w="108" w:type="dxa"/>
        </w:trPr>
        <w:tc>
          <w:tcPr>
            <w:tcW w:w="10023" w:type="dxa"/>
            <w:gridSpan w:val="8"/>
          </w:tcPr>
          <w:p w14:paraId="6F1C249B" w14:textId="1CE55EE1" w:rsidR="00B06727" w:rsidRPr="00EF3D89" w:rsidRDefault="00B06727" w:rsidP="00EF3D89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F10100">
              <w:rPr>
                <w:sz w:val="20"/>
                <w:szCs w:val="20"/>
                <w:lang w:val="en-US"/>
              </w:rPr>
              <w:t>Unstimulated and stimulated salivation rate (ml/min) and UKU side effect rating scale were only used in the DAHANCA-21 trial</w:t>
            </w:r>
          </w:p>
        </w:tc>
      </w:tr>
    </w:tbl>
    <w:p w14:paraId="3154232B" w14:textId="77777777" w:rsidR="00A32812" w:rsidRPr="00F10100" w:rsidRDefault="00A32812" w:rsidP="00401130">
      <w:pPr>
        <w:rPr>
          <w:sz w:val="22"/>
          <w:szCs w:val="22"/>
          <w:lang w:val="en-US"/>
        </w:rPr>
      </w:pPr>
    </w:p>
    <w:sectPr w:rsidR="00A32812" w:rsidRPr="00F10100" w:rsidSect="00725E4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949AC" w14:textId="77777777" w:rsidR="00496369" w:rsidRDefault="00496369" w:rsidP="00374039">
      <w:r>
        <w:separator/>
      </w:r>
    </w:p>
  </w:endnote>
  <w:endnote w:type="continuationSeparator" w:id="0">
    <w:p w14:paraId="60A45149" w14:textId="77777777" w:rsidR="00496369" w:rsidRDefault="00496369" w:rsidP="0037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235091523"/>
      <w:docPartObj>
        <w:docPartGallery w:val="Page Numbers (Bottom of Page)"/>
        <w:docPartUnique/>
      </w:docPartObj>
    </w:sdtPr>
    <w:sdtContent>
      <w:p w14:paraId="02F8DF54" w14:textId="38089D63" w:rsidR="0064775A" w:rsidRDefault="0064775A" w:rsidP="00221436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4047B7">
          <w:rPr>
            <w:rStyle w:val="Paginanummer"/>
            <w:noProof/>
          </w:rPr>
          <w:t>9</w:t>
        </w:r>
        <w:r>
          <w:rPr>
            <w:rStyle w:val="Paginanummer"/>
          </w:rPr>
          <w:fldChar w:fldCharType="end"/>
        </w:r>
      </w:p>
    </w:sdtContent>
  </w:sdt>
  <w:p w14:paraId="5C34FAD3" w14:textId="77777777" w:rsidR="0064775A" w:rsidRDefault="00647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943332776"/>
      <w:docPartObj>
        <w:docPartGallery w:val="Page Numbers (Bottom of Page)"/>
        <w:docPartUnique/>
      </w:docPartObj>
    </w:sdtPr>
    <w:sdtContent>
      <w:p w14:paraId="06096A9E" w14:textId="6E6AEF8E" w:rsidR="00221436" w:rsidRDefault="00221436" w:rsidP="000A696B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32</w:t>
        </w:r>
        <w:r>
          <w:rPr>
            <w:rStyle w:val="Paginanummer"/>
          </w:rPr>
          <w:fldChar w:fldCharType="end"/>
        </w:r>
      </w:p>
    </w:sdtContent>
  </w:sdt>
  <w:p w14:paraId="1458358E" w14:textId="77777777" w:rsidR="00122DCB" w:rsidRDefault="00122DCB" w:rsidP="00122DCB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0E467" w14:textId="77777777" w:rsidR="00496369" w:rsidRDefault="00496369" w:rsidP="00374039">
      <w:r>
        <w:separator/>
      </w:r>
    </w:p>
  </w:footnote>
  <w:footnote w:type="continuationSeparator" w:id="0">
    <w:p w14:paraId="1B240CEF" w14:textId="77777777" w:rsidR="00496369" w:rsidRDefault="00496369" w:rsidP="00374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31C91"/>
    <w:multiLevelType w:val="hybridMultilevel"/>
    <w:tmpl w:val="B4FCD8BE"/>
    <w:lvl w:ilvl="0" w:tplc="8E303802">
      <w:start w:val="1"/>
      <w:numFmt w:val="bullet"/>
      <w:lvlText w:val="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141F43"/>
    <w:multiLevelType w:val="multilevel"/>
    <w:tmpl w:val="FBB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025D9"/>
    <w:multiLevelType w:val="hybridMultilevel"/>
    <w:tmpl w:val="77AC67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569EF"/>
    <w:multiLevelType w:val="multilevel"/>
    <w:tmpl w:val="801A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84B3F"/>
    <w:multiLevelType w:val="multilevel"/>
    <w:tmpl w:val="D25A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B7DA9"/>
    <w:multiLevelType w:val="hybridMultilevel"/>
    <w:tmpl w:val="68F0231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D7300"/>
    <w:multiLevelType w:val="hybridMultilevel"/>
    <w:tmpl w:val="87902EB8"/>
    <w:lvl w:ilvl="0" w:tplc="03C6377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60C86"/>
    <w:multiLevelType w:val="multilevel"/>
    <w:tmpl w:val="42BC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B56E7"/>
    <w:multiLevelType w:val="hybridMultilevel"/>
    <w:tmpl w:val="FC32CD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37ACD"/>
    <w:multiLevelType w:val="hybridMultilevel"/>
    <w:tmpl w:val="64D2424A"/>
    <w:lvl w:ilvl="0" w:tplc="8138B1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C348F"/>
    <w:multiLevelType w:val="hybridMultilevel"/>
    <w:tmpl w:val="AE36C7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30EF4"/>
    <w:multiLevelType w:val="hybridMultilevel"/>
    <w:tmpl w:val="DB8668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10B3B"/>
    <w:multiLevelType w:val="multilevel"/>
    <w:tmpl w:val="11A4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0035A"/>
    <w:multiLevelType w:val="hybridMultilevel"/>
    <w:tmpl w:val="68F0231C"/>
    <w:lvl w:ilvl="0" w:tplc="55785A2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0801">
    <w:abstractNumId w:val="6"/>
  </w:num>
  <w:num w:numId="2" w16cid:durableId="2135634127">
    <w:abstractNumId w:val="7"/>
  </w:num>
  <w:num w:numId="3" w16cid:durableId="1753774945">
    <w:abstractNumId w:val="3"/>
  </w:num>
  <w:num w:numId="4" w16cid:durableId="1027415551">
    <w:abstractNumId w:val="1"/>
  </w:num>
  <w:num w:numId="5" w16cid:durableId="203061349">
    <w:abstractNumId w:val="12"/>
  </w:num>
  <w:num w:numId="6" w16cid:durableId="1098136166">
    <w:abstractNumId w:val="2"/>
  </w:num>
  <w:num w:numId="7" w16cid:durableId="260340627">
    <w:abstractNumId w:val="0"/>
  </w:num>
  <w:num w:numId="8" w16cid:durableId="1451507147">
    <w:abstractNumId w:val="10"/>
  </w:num>
  <w:num w:numId="9" w16cid:durableId="1925608178">
    <w:abstractNumId w:val="8"/>
  </w:num>
  <w:num w:numId="10" w16cid:durableId="1164934315">
    <w:abstractNumId w:val="13"/>
  </w:num>
  <w:num w:numId="11" w16cid:durableId="12464181">
    <w:abstractNumId w:val="5"/>
  </w:num>
  <w:num w:numId="12" w16cid:durableId="1717510047">
    <w:abstractNumId w:val="11"/>
  </w:num>
  <w:num w:numId="13" w16cid:durableId="860388747">
    <w:abstractNumId w:val="4"/>
  </w:num>
  <w:num w:numId="14" w16cid:durableId="20550794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AA"/>
    <w:rsid w:val="0001009D"/>
    <w:rsid w:val="0001319A"/>
    <w:rsid w:val="00017F03"/>
    <w:rsid w:val="00025751"/>
    <w:rsid w:val="0003586C"/>
    <w:rsid w:val="00050891"/>
    <w:rsid w:val="00055D56"/>
    <w:rsid w:val="00057403"/>
    <w:rsid w:val="00057D5A"/>
    <w:rsid w:val="00060696"/>
    <w:rsid w:val="00063988"/>
    <w:rsid w:val="000659AA"/>
    <w:rsid w:val="00072B9D"/>
    <w:rsid w:val="00081371"/>
    <w:rsid w:val="000855EB"/>
    <w:rsid w:val="00085DFC"/>
    <w:rsid w:val="00095E05"/>
    <w:rsid w:val="000964E6"/>
    <w:rsid w:val="000A107C"/>
    <w:rsid w:val="000A6AE6"/>
    <w:rsid w:val="000C5D14"/>
    <w:rsid w:val="000D3CAE"/>
    <w:rsid w:val="000E3682"/>
    <w:rsid w:val="000E39C9"/>
    <w:rsid w:val="000E5C3B"/>
    <w:rsid w:val="00112AD6"/>
    <w:rsid w:val="00122DCB"/>
    <w:rsid w:val="00122F9E"/>
    <w:rsid w:val="001272E4"/>
    <w:rsid w:val="00132D36"/>
    <w:rsid w:val="00135394"/>
    <w:rsid w:val="00145F4B"/>
    <w:rsid w:val="00154499"/>
    <w:rsid w:val="001644FF"/>
    <w:rsid w:val="001919BE"/>
    <w:rsid w:val="001A040F"/>
    <w:rsid w:val="001B47CD"/>
    <w:rsid w:val="001C76E5"/>
    <w:rsid w:val="001F0599"/>
    <w:rsid w:val="001F2FC5"/>
    <w:rsid w:val="001F3481"/>
    <w:rsid w:val="001F7328"/>
    <w:rsid w:val="0021613E"/>
    <w:rsid w:val="00221436"/>
    <w:rsid w:val="002316CB"/>
    <w:rsid w:val="002379FD"/>
    <w:rsid w:val="00240D76"/>
    <w:rsid w:val="0024591A"/>
    <w:rsid w:val="0025397A"/>
    <w:rsid w:val="00254458"/>
    <w:rsid w:val="00254C5D"/>
    <w:rsid w:val="002610CB"/>
    <w:rsid w:val="00262FA1"/>
    <w:rsid w:val="00270934"/>
    <w:rsid w:val="0028121F"/>
    <w:rsid w:val="00290CE6"/>
    <w:rsid w:val="00291A50"/>
    <w:rsid w:val="002936D5"/>
    <w:rsid w:val="002A5320"/>
    <w:rsid w:val="002B3DE2"/>
    <w:rsid w:val="002C313B"/>
    <w:rsid w:val="002D1D9E"/>
    <w:rsid w:val="002D7235"/>
    <w:rsid w:val="002E02D7"/>
    <w:rsid w:val="002F4D7E"/>
    <w:rsid w:val="002F7A69"/>
    <w:rsid w:val="00310B36"/>
    <w:rsid w:val="003257DA"/>
    <w:rsid w:val="0033470A"/>
    <w:rsid w:val="00360994"/>
    <w:rsid w:val="0036274C"/>
    <w:rsid w:val="00374039"/>
    <w:rsid w:val="00377393"/>
    <w:rsid w:val="0038194C"/>
    <w:rsid w:val="003829F4"/>
    <w:rsid w:val="00396592"/>
    <w:rsid w:val="003A1A43"/>
    <w:rsid w:val="003B614E"/>
    <w:rsid w:val="003C4C0E"/>
    <w:rsid w:val="003E13A1"/>
    <w:rsid w:val="003F3104"/>
    <w:rsid w:val="003F3CAD"/>
    <w:rsid w:val="00401130"/>
    <w:rsid w:val="004033F9"/>
    <w:rsid w:val="00403CEA"/>
    <w:rsid w:val="004047B7"/>
    <w:rsid w:val="00407E73"/>
    <w:rsid w:val="00411E4E"/>
    <w:rsid w:val="00412EEB"/>
    <w:rsid w:val="00427359"/>
    <w:rsid w:val="004447BB"/>
    <w:rsid w:val="00445A8E"/>
    <w:rsid w:val="00454166"/>
    <w:rsid w:val="00454FC9"/>
    <w:rsid w:val="0046062A"/>
    <w:rsid w:val="00470704"/>
    <w:rsid w:val="00475F72"/>
    <w:rsid w:val="00484F70"/>
    <w:rsid w:val="00491401"/>
    <w:rsid w:val="00496369"/>
    <w:rsid w:val="00497776"/>
    <w:rsid w:val="004A0CEF"/>
    <w:rsid w:val="004C116C"/>
    <w:rsid w:val="004D10AC"/>
    <w:rsid w:val="004D7F1E"/>
    <w:rsid w:val="004E40DD"/>
    <w:rsid w:val="004E7EEA"/>
    <w:rsid w:val="004F01C0"/>
    <w:rsid w:val="00504C0F"/>
    <w:rsid w:val="0050765C"/>
    <w:rsid w:val="005111C5"/>
    <w:rsid w:val="00514D96"/>
    <w:rsid w:val="00516EE5"/>
    <w:rsid w:val="00536FD1"/>
    <w:rsid w:val="00547EAC"/>
    <w:rsid w:val="00591279"/>
    <w:rsid w:val="005A0FD9"/>
    <w:rsid w:val="005B36A8"/>
    <w:rsid w:val="005B4795"/>
    <w:rsid w:val="005C7B8F"/>
    <w:rsid w:val="005D2FE3"/>
    <w:rsid w:val="005D4F2A"/>
    <w:rsid w:val="005E6C9B"/>
    <w:rsid w:val="005F2AE9"/>
    <w:rsid w:val="0060339A"/>
    <w:rsid w:val="00626015"/>
    <w:rsid w:val="0063536F"/>
    <w:rsid w:val="0064775A"/>
    <w:rsid w:val="006478E7"/>
    <w:rsid w:val="0066326F"/>
    <w:rsid w:val="00677AAC"/>
    <w:rsid w:val="006820C7"/>
    <w:rsid w:val="00696353"/>
    <w:rsid w:val="006A24BE"/>
    <w:rsid w:val="006A781F"/>
    <w:rsid w:val="006B03B7"/>
    <w:rsid w:val="006B5EDC"/>
    <w:rsid w:val="006B72BA"/>
    <w:rsid w:val="006C4390"/>
    <w:rsid w:val="006D7258"/>
    <w:rsid w:val="006D79D7"/>
    <w:rsid w:val="006F0801"/>
    <w:rsid w:val="006F1CAF"/>
    <w:rsid w:val="006F32C4"/>
    <w:rsid w:val="00712838"/>
    <w:rsid w:val="00717F6F"/>
    <w:rsid w:val="00724E37"/>
    <w:rsid w:val="00725E4E"/>
    <w:rsid w:val="00744AE7"/>
    <w:rsid w:val="00754169"/>
    <w:rsid w:val="0075419B"/>
    <w:rsid w:val="00782905"/>
    <w:rsid w:val="00792075"/>
    <w:rsid w:val="007A64C2"/>
    <w:rsid w:val="007B09A7"/>
    <w:rsid w:val="007B6699"/>
    <w:rsid w:val="007C64CE"/>
    <w:rsid w:val="007D7463"/>
    <w:rsid w:val="007E5E9E"/>
    <w:rsid w:val="007F1477"/>
    <w:rsid w:val="008165D9"/>
    <w:rsid w:val="0083044E"/>
    <w:rsid w:val="00840D5A"/>
    <w:rsid w:val="00843458"/>
    <w:rsid w:val="00862E43"/>
    <w:rsid w:val="00863798"/>
    <w:rsid w:val="00864EF6"/>
    <w:rsid w:val="00870ACC"/>
    <w:rsid w:val="00876DF7"/>
    <w:rsid w:val="0088089F"/>
    <w:rsid w:val="008862FA"/>
    <w:rsid w:val="008908E0"/>
    <w:rsid w:val="008A51C2"/>
    <w:rsid w:val="008B5284"/>
    <w:rsid w:val="008C2401"/>
    <w:rsid w:val="008C35D3"/>
    <w:rsid w:val="008D3647"/>
    <w:rsid w:val="008E0233"/>
    <w:rsid w:val="008E159D"/>
    <w:rsid w:val="008E6950"/>
    <w:rsid w:val="008F36AE"/>
    <w:rsid w:val="008F3918"/>
    <w:rsid w:val="008F652A"/>
    <w:rsid w:val="00905CDB"/>
    <w:rsid w:val="00937A01"/>
    <w:rsid w:val="00937A61"/>
    <w:rsid w:val="00945771"/>
    <w:rsid w:val="00965937"/>
    <w:rsid w:val="00966031"/>
    <w:rsid w:val="00966AA1"/>
    <w:rsid w:val="00966FA5"/>
    <w:rsid w:val="009B30A0"/>
    <w:rsid w:val="009B674E"/>
    <w:rsid w:val="009B76CE"/>
    <w:rsid w:val="009E150A"/>
    <w:rsid w:val="009E344A"/>
    <w:rsid w:val="009E762B"/>
    <w:rsid w:val="009F4204"/>
    <w:rsid w:val="00A02068"/>
    <w:rsid w:val="00A11802"/>
    <w:rsid w:val="00A1338D"/>
    <w:rsid w:val="00A32812"/>
    <w:rsid w:val="00A340FE"/>
    <w:rsid w:val="00A43D34"/>
    <w:rsid w:val="00A62D43"/>
    <w:rsid w:val="00A8013F"/>
    <w:rsid w:val="00A82D86"/>
    <w:rsid w:val="00A93469"/>
    <w:rsid w:val="00A94A66"/>
    <w:rsid w:val="00AA2512"/>
    <w:rsid w:val="00AB09FB"/>
    <w:rsid w:val="00AB1C59"/>
    <w:rsid w:val="00AB6A7B"/>
    <w:rsid w:val="00AB6B10"/>
    <w:rsid w:val="00AB75C7"/>
    <w:rsid w:val="00AD6C87"/>
    <w:rsid w:val="00AE3C4E"/>
    <w:rsid w:val="00AE68A3"/>
    <w:rsid w:val="00B06727"/>
    <w:rsid w:val="00B53CC1"/>
    <w:rsid w:val="00B62B50"/>
    <w:rsid w:val="00B63B95"/>
    <w:rsid w:val="00B63DEC"/>
    <w:rsid w:val="00B66AA7"/>
    <w:rsid w:val="00B86EAD"/>
    <w:rsid w:val="00B92606"/>
    <w:rsid w:val="00B94C90"/>
    <w:rsid w:val="00BA12C0"/>
    <w:rsid w:val="00BA1A6F"/>
    <w:rsid w:val="00BA24FC"/>
    <w:rsid w:val="00BA38C0"/>
    <w:rsid w:val="00BA618F"/>
    <w:rsid w:val="00BA7E3D"/>
    <w:rsid w:val="00BB4576"/>
    <w:rsid w:val="00BC0F74"/>
    <w:rsid w:val="00BC2F2C"/>
    <w:rsid w:val="00BC51C9"/>
    <w:rsid w:val="00BE0176"/>
    <w:rsid w:val="00BE1682"/>
    <w:rsid w:val="00BE655A"/>
    <w:rsid w:val="00BF0ED2"/>
    <w:rsid w:val="00C05823"/>
    <w:rsid w:val="00C2552D"/>
    <w:rsid w:val="00C2798F"/>
    <w:rsid w:val="00C3247F"/>
    <w:rsid w:val="00C56BB2"/>
    <w:rsid w:val="00C56EA4"/>
    <w:rsid w:val="00C57BB2"/>
    <w:rsid w:val="00C62F8E"/>
    <w:rsid w:val="00CA28BE"/>
    <w:rsid w:val="00CA5B83"/>
    <w:rsid w:val="00CB21B2"/>
    <w:rsid w:val="00CB2622"/>
    <w:rsid w:val="00CD5C0C"/>
    <w:rsid w:val="00CD7542"/>
    <w:rsid w:val="00CF7102"/>
    <w:rsid w:val="00D26178"/>
    <w:rsid w:val="00D45F50"/>
    <w:rsid w:val="00D46106"/>
    <w:rsid w:val="00D503E7"/>
    <w:rsid w:val="00D547ED"/>
    <w:rsid w:val="00D55880"/>
    <w:rsid w:val="00D63370"/>
    <w:rsid w:val="00D63F48"/>
    <w:rsid w:val="00D65518"/>
    <w:rsid w:val="00D74C4E"/>
    <w:rsid w:val="00D809BA"/>
    <w:rsid w:val="00D8138E"/>
    <w:rsid w:val="00D824B4"/>
    <w:rsid w:val="00D83F5E"/>
    <w:rsid w:val="00D84BB4"/>
    <w:rsid w:val="00D86C0E"/>
    <w:rsid w:val="00D8746E"/>
    <w:rsid w:val="00D90631"/>
    <w:rsid w:val="00D9070E"/>
    <w:rsid w:val="00DA7B59"/>
    <w:rsid w:val="00DB1D15"/>
    <w:rsid w:val="00DB30A6"/>
    <w:rsid w:val="00DD0F6D"/>
    <w:rsid w:val="00DD569F"/>
    <w:rsid w:val="00DE1E80"/>
    <w:rsid w:val="00DF100B"/>
    <w:rsid w:val="00DF27BE"/>
    <w:rsid w:val="00E067AA"/>
    <w:rsid w:val="00E16459"/>
    <w:rsid w:val="00E23A02"/>
    <w:rsid w:val="00E245D0"/>
    <w:rsid w:val="00E26728"/>
    <w:rsid w:val="00E26811"/>
    <w:rsid w:val="00E32D22"/>
    <w:rsid w:val="00E34242"/>
    <w:rsid w:val="00E46EC7"/>
    <w:rsid w:val="00E72778"/>
    <w:rsid w:val="00E77FD2"/>
    <w:rsid w:val="00E87232"/>
    <w:rsid w:val="00E92081"/>
    <w:rsid w:val="00EB19FF"/>
    <w:rsid w:val="00EC026F"/>
    <w:rsid w:val="00EC7EDD"/>
    <w:rsid w:val="00ED4AD8"/>
    <w:rsid w:val="00EE1AB6"/>
    <w:rsid w:val="00EE2E56"/>
    <w:rsid w:val="00EE4C34"/>
    <w:rsid w:val="00EE7E07"/>
    <w:rsid w:val="00EF3D89"/>
    <w:rsid w:val="00F07560"/>
    <w:rsid w:val="00F10100"/>
    <w:rsid w:val="00F1698D"/>
    <w:rsid w:val="00F3098D"/>
    <w:rsid w:val="00F342FF"/>
    <w:rsid w:val="00F43D7F"/>
    <w:rsid w:val="00F5307D"/>
    <w:rsid w:val="00F567F5"/>
    <w:rsid w:val="00F57B9B"/>
    <w:rsid w:val="00F646F2"/>
    <w:rsid w:val="00F754B3"/>
    <w:rsid w:val="00F8784A"/>
    <w:rsid w:val="00F91A24"/>
    <w:rsid w:val="00F9571F"/>
    <w:rsid w:val="00F95FA0"/>
    <w:rsid w:val="00FA1648"/>
    <w:rsid w:val="00FB29E2"/>
    <w:rsid w:val="00FB4724"/>
    <w:rsid w:val="00FB793F"/>
    <w:rsid w:val="00FC3EED"/>
    <w:rsid w:val="00FC405B"/>
    <w:rsid w:val="00FC5B14"/>
    <w:rsid w:val="00FD1FD2"/>
    <w:rsid w:val="00FD6E55"/>
    <w:rsid w:val="00FE4919"/>
    <w:rsid w:val="00FE7323"/>
    <w:rsid w:val="00FF52B2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17E81"/>
  <w15:chartTrackingRefBased/>
  <w15:docId w15:val="{40B61192-375C-F74E-BFA3-3DCC6098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59AA"/>
  </w:style>
  <w:style w:type="paragraph" w:styleId="Kop1">
    <w:name w:val="heading 1"/>
    <w:basedOn w:val="Standaard"/>
    <w:next w:val="Standaard"/>
    <w:link w:val="Kop1Char"/>
    <w:uiPriority w:val="9"/>
    <w:qFormat/>
    <w:rsid w:val="00677A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2AD6"/>
    <w:rPr>
      <w:color w:val="0563C1"/>
      <w:u w:val="single"/>
    </w:rPr>
  </w:style>
  <w:style w:type="paragraph" w:styleId="Geenafstand">
    <w:name w:val="No Spacing"/>
    <w:uiPriority w:val="1"/>
    <w:qFormat/>
    <w:rsid w:val="00112AD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112AD6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112AD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F7102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870ACC"/>
    <w:rPr>
      <w:b/>
      <w:bCs/>
    </w:rPr>
  </w:style>
  <w:style w:type="character" w:customStyle="1" w:styleId="s5">
    <w:name w:val="s5"/>
    <w:basedOn w:val="Standaardalinea-lettertype"/>
    <w:rsid w:val="003F3104"/>
  </w:style>
  <w:style w:type="character" w:customStyle="1" w:styleId="s7">
    <w:name w:val="s7"/>
    <w:basedOn w:val="Standaardalinea-lettertype"/>
    <w:rsid w:val="003F3104"/>
  </w:style>
  <w:style w:type="character" w:customStyle="1" w:styleId="s12">
    <w:name w:val="s12"/>
    <w:basedOn w:val="Standaardalinea-lettertype"/>
    <w:rsid w:val="003F3104"/>
  </w:style>
  <w:style w:type="character" w:customStyle="1" w:styleId="apple-converted-space">
    <w:name w:val="apple-converted-space"/>
    <w:basedOn w:val="Standaardalinea-lettertype"/>
    <w:rsid w:val="003F3104"/>
  </w:style>
  <w:style w:type="table" w:styleId="Tabelraster">
    <w:name w:val="Table Grid"/>
    <w:basedOn w:val="Standaardtabel"/>
    <w:uiPriority w:val="39"/>
    <w:rsid w:val="003F3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basedOn w:val="Standaardalinea-lettertype"/>
    <w:rsid w:val="00BE655A"/>
  </w:style>
  <w:style w:type="character" w:customStyle="1" w:styleId="ws5">
    <w:name w:val="ws5"/>
    <w:basedOn w:val="Standaardalinea-lettertype"/>
    <w:rsid w:val="00BE655A"/>
  </w:style>
  <w:style w:type="character" w:customStyle="1" w:styleId="a">
    <w:name w:val="_"/>
    <w:basedOn w:val="Standaardalinea-lettertype"/>
    <w:rsid w:val="00BE655A"/>
  </w:style>
  <w:style w:type="character" w:customStyle="1" w:styleId="lsa">
    <w:name w:val="lsa"/>
    <w:basedOn w:val="Standaardalinea-lettertype"/>
    <w:rsid w:val="00BE655A"/>
  </w:style>
  <w:style w:type="character" w:customStyle="1" w:styleId="ws0">
    <w:name w:val="ws0"/>
    <w:basedOn w:val="Standaardalinea-lettertype"/>
    <w:rsid w:val="00BE655A"/>
  </w:style>
  <w:style w:type="character" w:customStyle="1" w:styleId="ff4">
    <w:name w:val="ff4"/>
    <w:basedOn w:val="Standaardalinea-lettertype"/>
    <w:rsid w:val="00BE655A"/>
  </w:style>
  <w:style w:type="character" w:customStyle="1" w:styleId="ls7">
    <w:name w:val="ls7"/>
    <w:basedOn w:val="Standaardalinea-lettertype"/>
    <w:rsid w:val="00BE655A"/>
  </w:style>
  <w:style w:type="character" w:customStyle="1" w:styleId="wscc">
    <w:name w:val="wscc"/>
    <w:basedOn w:val="Standaardalinea-lettertype"/>
    <w:rsid w:val="00BE655A"/>
  </w:style>
  <w:style w:type="character" w:customStyle="1" w:styleId="ws4">
    <w:name w:val="ws4"/>
    <w:basedOn w:val="Standaardalinea-lettertype"/>
    <w:rsid w:val="00BE655A"/>
  </w:style>
  <w:style w:type="character" w:customStyle="1" w:styleId="ws7c">
    <w:name w:val="ws7c"/>
    <w:basedOn w:val="Standaardalinea-lettertype"/>
    <w:rsid w:val="00BE655A"/>
  </w:style>
  <w:style w:type="character" w:customStyle="1" w:styleId="wscf">
    <w:name w:val="wscf"/>
    <w:basedOn w:val="Standaardalinea-lettertype"/>
    <w:rsid w:val="00BE655A"/>
  </w:style>
  <w:style w:type="character" w:styleId="Onopgelostemelding">
    <w:name w:val="Unresolved Mention"/>
    <w:basedOn w:val="Standaardalinea-lettertype"/>
    <w:uiPriority w:val="99"/>
    <w:semiHidden/>
    <w:unhideWhenUsed/>
    <w:rsid w:val="007E5E9E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D547E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3740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4039"/>
  </w:style>
  <w:style w:type="paragraph" w:styleId="Voettekst">
    <w:name w:val="footer"/>
    <w:basedOn w:val="Standaard"/>
    <w:link w:val="VoettekstChar"/>
    <w:uiPriority w:val="99"/>
    <w:unhideWhenUsed/>
    <w:rsid w:val="0037403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4039"/>
  </w:style>
  <w:style w:type="character" w:styleId="Paginanummer">
    <w:name w:val="page number"/>
    <w:basedOn w:val="Standaardalinea-lettertype"/>
    <w:uiPriority w:val="99"/>
    <w:semiHidden/>
    <w:unhideWhenUsed/>
    <w:rsid w:val="0064775A"/>
  </w:style>
  <w:style w:type="paragraph" w:styleId="Inhopg1">
    <w:name w:val="toc 1"/>
    <w:basedOn w:val="Standaard"/>
    <w:next w:val="Standaard"/>
    <w:autoRedefine/>
    <w:uiPriority w:val="39"/>
    <w:rsid w:val="002B3DE2"/>
    <w:pPr>
      <w:spacing w:before="240" w:after="120"/>
    </w:pPr>
    <w:rPr>
      <w:rFonts w:cstheme="minorHAnsi"/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677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7AAC"/>
    <w:pPr>
      <w:spacing w:before="480" w:line="276" w:lineRule="auto"/>
      <w:outlineLvl w:val="9"/>
    </w:pPr>
    <w:rPr>
      <w:b/>
      <w:bCs/>
      <w:kern w:val="0"/>
      <w:sz w:val="28"/>
      <w:szCs w:val="28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77AAC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77AAC"/>
    <w:pPr>
      <w:ind w:left="48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77AAC"/>
    <w:pPr>
      <w:ind w:left="72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77AAC"/>
    <w:pPr>
      <w:ind w:left="96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77AAC"/>
    <w:pPr>
      <w:ind w:left="12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77AAC"/>
    <w:pPr>
      <w:ind w:left="144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77AAC"/>
    <w:pPr>
      <w:ind w:left="168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77AAC"/>
    <w:pPr>
      <w:ind w:left="1920"/>
    </w:pPr>
    <w:rPr>
      <w:rFonts w:cstheme="minorHAnsi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25E4E"/>
    <w:pPr>
      <w:spacing w:line="192" w:lineRule="auto"/>
      <w:ind w:right="567"/>
      <w:contextualSpacing/>
      <w:jc w:val="both"/>
    </w:pPr>
    <w:rPr>
      <w:rFonts w:ascii="Arial Black" w:eastAsiaTheme="majorEastAsia" w:hAnsi="Arial Black" w:cs="Times New Roman (Headings CS)"/>
      <w:caps/>
      <w:color w:val="525252" w:themeColor="accent3" w:themeShade="80"/>
      <w:spacing w:val="38"/>
      <w:kern w:val="28"/>
      <w:sz w:val="48"/>
      <w:szCs w:val="56"/>
      <w:lang w:val="en-NZ" w:eastAsia="en-NZ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725E4E"/>
    <w:rPr>
      <w:rFonts w:ascii="Arial Black" w:eastAsiaTheme="majorEastAsia" w:hAnsi="Arial Black" w:cs="Times New Roman (Headings CS)"/>
      <w:caps/>
      <w:color w:val="525252" w:themeColor="accent3" w:themeShade="80"/>
      <w:spacing w:val="38"/>
      <w:kern w:val="28"/>
      <w:sz w:val="48"/>
      <w:szCs w:val="56"/>
      <w:lang w:val="en-NZ" w:eastAsia="en-NZ"/>
      <w14:ligatures w14:val="none"/>
    </w:rPr>
  </w:style>
  <w:style w:type="character" w:customStyle="1" w:styleId="normaltextrun">
    <w:name w:val="normaltextrun"/>
    <w:basedOn w:val="Standaardalinea-lettertype"/>
    <w:rsid w:val="00F57B9B"/>
  </w:style>
  <w:style w:type="paragraph" w:styleId="Bijschrift">
    <w:name w:val="caption"/>
    <w:basedOn w:val="Standaard"/>
    <w:next w:val="Standaard"/>
    <w:uiPriority w:val="35"/>
    <w:unhideWhenUsed/>
    <w:qFormat/>
    <w:rsid w:val="00B0672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5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5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2425">
          <w:marLeft w:val="0"/>
          <w:marRight w:val="0"/>
          <w:marTop w:val="0"/>
          <w:marBottom w:val="355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3938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1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3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1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7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6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0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6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3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3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4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0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EC924E-B52C-6843-8E49-DC5B04C8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3916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Soufiane El Hadji</dc:creator>
  <cp:keywords/>
  <dc:description/>
  <cp:lastModifiedBy>Soufiane El Hadji</cp:lastModifiedBy>
  <cp:revision>3</cp:revision>
  <dcterms:created xsi:type="dcterms:W3CDTF">2025-04-19T08:07:00Z</dcterms:created>
  <dcterms:modified xsi:type="dcterms:W3CDTF">2025-06-25T16:18:00Z</dcterms:modified>
</cp:coreProperties>
</file>