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B6F37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>Supplementary Table 1.</w:t>
      </w:r>
      <w:r>
        <w:rPr>
          <w:rFonts w:ascii="Times New Roman" w:hAnsi="Times New Roman" w:cs="Times New Roman"/>
          <w:szCs w:val="21"/>
          <w:highlight w:val="none"/>
        </w:rPr>
        <w:t xml:space="preserve"> Immunotherapy agents for induction immunochemotherapy.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6"/>
        <w:gridCol w:w="2704"/>
        <w:gridCol w:w="2840"/>
      </w:tblGrid>
      <w:tr w14:paraId="08BC1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6" w:type="dxa"/>
          </w:tcPr>
          <w:p w14:paraId="1AA68559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Immunotherapy agents (n = 97)</w:t>
            </w:r>
          </w:p>
        </w:tc>
        <w:tc>
          <w:tcPr>
            <w:tcW w:w="2704" w:type="dxa"/>
          </w:tcPr>
          <w:p w14:paraId="01565E42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n (%)</w:t>
            </w:r>
          </w:p>
        </w:tc>
        <w:tc>
          <w:tcPr>
            <w:tcW w:w="2840" w:type="dxa"/>
          </w:tcPr>
          <w:p w14:paraId="2DE8B7C2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Median Cycles (Range)</w:t>
            </w:r>
          </w:p>
        </w:tc>
      </w:tr>
      <w:tr w14:paraId="2B30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6" w:type="dxa"/>
          </w:tcPr>
          <w:p w14:paraId="3FC4B360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atezolizumab</w:t>
            </w:r>
          </w:p>
        </w:tc>
        <w:tc>
          <w:tcPr>
            <w:tcW w:w="2704" w:type="dxa"/>
          </w:tcPr>
          <w:p w14:paraId="78222E6E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28 (28.9)</w:t>
            </w:r>
          </w:p>
        </w:tc>
        <w:tc>
          <w:tcPr>
            <w:tcW w:w="2840" w:type="dxa"/>
          </w:tcPr>
          <w:p w14:paraId="16157099">
            <w:pPr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3.5 (1-6)</w:t>
            </w:r>
          </w:p>
        </w:tc>
      </w:tr>
      <w:tr w14:paraId="6041C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6" w:type="dxa"/>
          </w:tcPr>
          <w:p w14:paraId="372559C3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serplulimab</w:t>
            </w:r>
          </w:p>
        </w:tc>
        <w:tc>
          <w:tcPr>
            <w:tcW w:w="2704" w:type="dxa"/>
          </w:tcPr>
          <w:p w14:paraId="2EF14C55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26(26.8)</w:t>
            </w:r>
          </w:p>
        </w:tc>
        <w:tc>
          <w:tcPr>
            <w:tcW w:w="2840" w:type="dxa"/>
          </w:tcPr>
          <w:p w14:paraId="1EE6729D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3.5 (2-6)</w:t>
            </w:r>
          </w:p>
        </w:tc>
      </w:tr>
      <w:tr w14:paraId="64B14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6" w:type="dxa"/>
          </w:tcPr>
          <w:p w14:paraId="71577065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durvalumab</w:t>
            </w:r>
          </w:p>
        </w:tc>
        <w:tc>
          <w:tcPr>
            <w:tcW w:w="2704" w:type="dxa"/>
          </w:tcPr>
          <w:p w14:paraId="427FD7FD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19 (19.6)</w:t>
            </w:r>
          </w:p>
        </w:tc>
        <w:tc>
          <w:tcPr>
            <w:tcW w:w="2840" w:type="dxa"/>
          </w:tcPr>
          <w:p w14:paraId="54A6F43E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4 (1-6)</w:t>
            </w:r>
          </w:p>
        </w:tc>
      </w:tr>
      <w:tr w14:paraId="44E2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6" w:type="dxa"/>
          </w:tcPr>
          <w:p w14:paraId="0776341D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adebrelimab</w:t>
            </w:r>
          </w:p>
        </w:tc>
        <w:tc>
          <w:tcPr>
            <w:tcW w:w="2704" w:type="dxa"/>
          </w:tcPr>
          <w:p w14:paraId="5CB9F9C0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15 (15.5)</w:t>
            </w:r>
          </w:p>
        </w:tc>
        <w:tc>
          <w:tcPr>
            <w:tcW w:w="2840" w:type="dxa"/>
          </w:tcPr>
          <w:p w14:paraId="473B87EE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 (2-6)</w:t>
            </w:r>
          </w:p>
        </w:tc>
      </w:tr>
      <w:tr w14:paraId="681C1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6" w:type="dxa"/>
          </w:tcPr>
          <w:p w14:paraId="0B02FC05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tislelizumab</w:t>
            </w:r>
          </w:p>
        </w:tc>
        <w:tc>
          <w:tcPr>
            <w:tcW w:w="2704" w:type="dxa"/>
          </w:tcPr>
          <w:p w14:paraId="0C8AFE06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6 (6.2)</w:t>
            </w:r>
          </w:p>
        </w:tc>
        <w:tc>
          <w:tcPr>
            <w:tcW w:w="2840" w:type="dxa"/>
          </w:tcPr>
          <w:p w14:paraId="3BE9AB52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3.5 (2-6)</w:t>
            </w:r>
          </w:p>
        </w:tc>
      </w:tr>
      <w:tr w14:paraId="6549E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6" w:type="dxa"/>
          </w:tcPr>
          <w:p w14:paraId="6AB9559E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toripalimab</w:t>
            </w:r>
          </w:p>
        </w:tc>
        <w:tc>
          <w:tcPr>
            <w:tcW w:w="2704" w:type="dxa"/>
          </w:tcPr>
          <w:p w14:paraId="63167C9E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zCs w:val="21"/>
                <w:highlight w:val="none"/>
              </w:rPr>
              <w:t>3 (3.1)</w:t>
            </w:r>
          </w:p>
        </w:tc>
        <w:tc>
          <w:tcPr>
            <w:tcW w:w="2840" w:type="dxa"/>
          </w:tcPr>
          <w:p w14:paraId="1F2C2D9E">
            <w:pPr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5 (2-6)</w:t>
            </w:r>
          </w:p>
        </w:tc>
      </w:tr>
    </w:tbl>
    <w:p w14:paraId="4EB4F007">
      <w:pPr>
        <w:spacing w:line="276" w:lineRule="auto"/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D76AA74">
      <w:pPr>
        <w:jc w:val="both"/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 xml:space="preserve"> Tumor responses after induction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therapy in the CRT and I-CRT groups.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2185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F8F7663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Tumor responses</w:t>
            </w:r>
          </w:p>
        </w:tc>
        <w:tc>
          <w:tcPr>
            <w:tcW w:w="2841" w:type="dxa"/>
          </w:tcPr>
          <w:p w14:paraId="0FC95F34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CRT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 xml:space="preserve"> group (n=275), (n%)</w:t>
            </w:r>
          </w:p>
        </w:tc>
        <w:tc>
          <w:tcPr>
            <w:tcW w:w="2841" w:type="dxa"/>
          </w:tcPr>
          <w:p w14:paraId="4F8C1CEA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I-CRT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 xml:space="preserve"> group 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(n=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97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(n%)</w:t>
            </w:r>
          </w:p>
        </w:tc>
      </w:tr>
      <w:tr w14:paraId="2410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CA471E0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Complete Response (CR)</w:t>
            </w:r>
          </w:p>
        </w:tc>
        <w:tc>
          <w:tcPr>
            <w:tcW w:w="2841" w:type="dxa"/>
          </w:tcPr>
          <w:p w14:paraId="1F33F6C2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0 (0.0)</w:t>
            </w:r>
          </w:p>
        </w:tc>
        <w:tc>
          <w:tcPr>
            <w:tcW w:w="2841" w:type="dxa"/>
          </w:tcPr>
          <w:p w14:paraId="0585075A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1 (1.0)</w:t>
            </w:r>
          </w:p>
        </w:tc>
      </w:tr>
      <w:tr w14:paraId="425F9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3DB9E2F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Partial Response (PR)</w:t>
            </w:r>
          </w:p>
        </w:tc>
        <w:tc>
          <w:tcPr>
            <w:tcW w:w="2841" w:type="dxa"/>
          </w:tcPr>
          <w:p w14:paraId="1F5B30D7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209 (76.0)</w:t>
            </w:r>
          </w:p>
        </w:tc>
        <w:tc>
          <w:tcPr>
            <w:tcW w:w="2841" w:type="dxa"/>
          </w:tcPr>
          <w:p w14:paraId="2A95B050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83 (85.6)</w:t>
            </w:r>
          </w:p>
        </w:tc>
      </w:tr>
      <w:tr w14:paraId="17A03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931B7C3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Stable Disease (SD)</w:t>
            </w:r>
          </w:p>
        </w:tc>
        <w:tc>
          <w:tcPr>
            <w:tcW w:w="2841" w:type="dxa"/>
          </w:tcPr>
          <w:p w14:paraId="6C21B039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64 (23.3)</w:t>
            </w:r>
          </w:p>
        </w:tc>
        <w:tc>
          <w:tcPr>
            <w:tcW w:w="2841" w:type="dxa"/>
          </w:tcPr>
          <w:p w14:paraId="5486355A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12 (12.4)</w:t>
            </w:r>
          </w:p>
        </w:tc>
      </w:tr>
      <w:tr w14:paraId="2C087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325E68A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Progressive Disease (PD)</w:t>
            </w:r>
          </w:p>
        </w:tc>
        <w:tc>
          <w:tcPr>
            <w:tcW w:w="2841" w:type="dxa"/>
          </w:tcPr>
          <w:p w14:paraId="3CD12EDE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2 (0.7)</w:t>
            </w:r>
          </w:p>
        </w:tc>
        <w:tc>
          <w:tcPr>
            <w:tcW w:w="2841" w:type="dxa"/>
          </w:tcPr>
          <w:p w14:paraId="59D51CAA">
            <w:pPr>
              <w:rPr>
                <w:rFonts w:hint="default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vertAlign w:val="baseline"/>
                <w:lang w:val="en-US" w:eastAsia="zh-CN"/>
              </w:rPr>
              <w:t>1 (1.0)</w:t>
            </w:r>
          </w:p>
        </w:tc>
      </w:tr>
    </w:tbl>
    <w:p w14:paraId="7491E626">
      <w:pPr>
        <w:spacing w:line="276" w:lineRule="auto"/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Cs w:val="21"/>
          <w:highlight w:val="none"/>
        </w:rPr>
        <w:t>CRT, chemoradiotherapy; I-CRT, immunochemotherapy plus chemoradiotherapy</w:t>
      </w:r>
    </w:p>
    <w:p w14:paraId="0E692406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Cs w:val="21"/>
          <w:highlight w:val="none"/>
        </w:rPr>
        <w:t>.</w:t>
      </w:r>
      <w:r>
        <w:rPr>
          <w:rFonts w:ascii="Times New Roman" w:hAnsi="Times New Roman" w:cs="Times New Roman"/>
          <w:szCs w:val="21"/>
          <w:highlight w:val="none"/>
        </w:rPr>
        <w:t xml:space="preserve"> Baseline characteristics of the I-CRT group before and after PSM.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5"/>
        <w:gridCol w:w="949"/>
        <w:gridCol w:w="949"/>
        <w:gridCol w:w="473"/>
        <w:gridCol w:w="980"/>
        <w:gridCol w:w="875"/>
        <w:gridCol w:w="473"/>
      </w:tblGrid>
      <w:tr w14:paraId="333CC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7297A7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Characteristic</w:t>
            </w:r>
          </w:p>
        </w:tc>
        <w:tc>
          <w:tcPr>
            <w:tcW w:w="1898" w:type="dxa"/>
            <w:gridSpan w:val="2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3F0AC1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Before PSM（n=97）</w:t>
            </w:r>
          </w:p>
        </w:tc>
        <w:tc>
          <w:tcPr>
            <w:tcW w:w="473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1ABE40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</w:t>
            </w:r>
          </w:p>
        </w:tc>
        <w:tc>
          <w:tcPr>
            <w:tcW w:w="1855" w:type="dxa"/>
            <w:gridSpan w:val="2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0FBCFF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After PSM (n=62)</w:t>
            </w:r>
          </w:p>
        </w:tc>
        <w:tc>
          <w:tcPr>
            <w:tcW w:w="473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60ABA0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</w:t>
            </w:r>
          </w:p>
        </w:tc>
      </w:tr>
      <w:tr w14:paraId="6A2E35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3D3D08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69882A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≤3-cycles</w:t>
            </w:r>
          </w:p>
          <w:p w14:paraId="27C691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48)</w:t>
            </w: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07BD7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&gt;3-cycles</w:t>
            </w:r>
          </w:p>
          <w:p w14:paraId="09F46B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49)</w:t>
            </w:r>
          </w:p>
        </w:tc>
        <w:tc>
          <w:tcPr>
            <w:tcW w:w="473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00BBD9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</w:t>
            </w:r>
          </w:p>
        </w:tc>
        <w:tc>
          <w:tcPr>
            <w:tcW w:w="98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41825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≤3-cycles</w:t>
            </w:r>
          </w:p>
          <w:p w14:paraId="403CA4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31)</w:t>
            </w:r>
          </w:p>
        </w:tc>
        <w:tc>
          <w:tcPr>
            <w:tcW w:w="875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71824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&gt;3-cycles</w:t>
            </w:r>
          </w:p>
          <w:p w14:paraId="2EA8C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31)</w:t>
            </w:r>
          </w:p>
        </w:tc>
        <w:tc>
          <w:tcPr>
            <w:tcW w:w="473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1B857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</w:t>
            </w:r>
          </w:p>
        </w:tc>
      </w:tr>
      <w:tr w14:paraId="6AC986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09D8D5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Sex, n (%)</w:t>
            </w:r>
          </w:p>
        </w:tc>
        <w:tc>
          <w:tcPr>
            <w:tcW w:w="949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5E925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2F001D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327AFF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0.092</w:t>
            </w:r>
          </w:p>
        </w:tc>
        <w:tc>
          <w:tcPr>
            <w:tcW w:w="980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33B2F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7392F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68178E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0.767</w:t>
            </w:r>
          </w:p>
        </w:tc>
      </w:tr>
      <w:tr w14:paraId="07D7E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2856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Male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809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32 (66.67)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283A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40 (81.63)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610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90E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23 (74.19)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3EF9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24 (77.42)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EEE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4938B0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BA2E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Female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8D58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16 (33.33)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98F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9 (18.37)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964A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AA4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8 (25.81)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7AED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 (22.58)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03D6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69146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CCAD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Age,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1BB1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733B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AD5D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0.601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E33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4E2D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393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5F94C5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F430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&lt;65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F53B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28 (58.33)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EFBC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26 (53.06)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2627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BE3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19 (61.29)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7EA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19 (61.29)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1EF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9010D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5C6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≥65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E1A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20 (41.67)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3A8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23 (46.94)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EFF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441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12 (38.71)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BB20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12 (38.71)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D92F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E895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75C8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Smoking history,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87F1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4BE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AB59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0.465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8A1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F28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C7D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0.798</w:t>
            </w:r>
          </w:p>
        </w:tc>
      </w:tr>
      <w:tr w14:paraId="750B7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7EC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No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843F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19 (39.58)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88A9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23 (46.94)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ED83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E19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13 (41.94)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370E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14 (45.16)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33D8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132C9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42E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Yes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5F6E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29 (60.42)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2A8F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26 (53.06)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CD4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ADEF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18 (58.06)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C228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17 (54.84)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95B4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9892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47F0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ECOG PS,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E1F1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046D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DA5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0.612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822E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36D1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01CF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0.430</w:t>
            </w:r>
          </w:p>
        </w:tc>
      </w:tr>
      <w:tr w14:paraId="131454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B357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4305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25 (52.08)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3A17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23 (46.94)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A057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4DA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21 (67.74)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1718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18 (58.06)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1581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1121E0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EB37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C94C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23 (47.92)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9AF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26 (53.06)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E5A5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F7E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10 (32.26)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12DE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13 (41.94)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FE12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027DA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A156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Clinical stage,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7752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A7F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9B8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0.299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B13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F730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1137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0.276</w:t>
            </w:r>
          </w:p>
        </w:tc>
      </w:tr>
      <w:tr w14:paraId="14315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D089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ⅢA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3AD4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16 (33.33)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FBD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11 (22.45)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935C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43D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9 (29.03)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45E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 (12.90)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0D31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0F002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74E1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ⅢB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FA2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23 (47.92)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E475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23 (46.94)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77F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4190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15 (48.39)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4793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17 (54.84)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E270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48DAD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5A9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ⅢC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34A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9 (18.75)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F422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15 (30.61)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E5B4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505E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 (22.58)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4674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10 (32.26)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DDD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702CF3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B07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Radiotherapy modality,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F389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FDC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E94E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0.896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7106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0401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A9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0.704</w:t>
            </w:r>
          </w:p>
        </w:tc>
      </w:tr>
      <w:tr w14:paraId="00AAF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855B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Hypofractionated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0C53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 (4.17)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F19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 (8.16)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222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8BA5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 (6.45)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51C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 (3.23)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664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337A59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F088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Hyperfractionated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A5E1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 (6.25)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BA4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 (6.12)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C2AA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1586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 (6.45)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D63E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 (3.23)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2DAE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01AD9D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C0A4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Conventional fractionated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6578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43 (89.58)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DD0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42 (85.71)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829F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2B82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27 (87.10)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384B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29 (93.55)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C09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2ECB0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803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highlight w:val="none"/>
                <w:vertAlign w:val="superscript"/>
              </w:rPr>
              <w:t>*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CRT modality,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0AF8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FA75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6C3E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</w:rPr>
              <w:t>0.003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B86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DEDD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E666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0.472</w:t>
            </w:r>
          </w:p>
        </w:tc>
      </w:tr>
      <w:tr w14:paraId="16CC20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3C6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Sequential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F7EC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36 (75.00)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33F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47 (95.92)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8BE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E5D4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31 (100.00)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0721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29 (93.55)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9EB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29BF60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0D33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Concurrent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6E72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12 (25.00)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2B23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 (4.08)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0CAC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497A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 (0.00)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F64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 (6.45)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A33F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B0AB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F0B8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PCI,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DCB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CDB9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415F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0.746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08C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C0DB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A93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0.755</w:t>
            </w:r>
          </w:p>
        </w:tc>
      </w:tr>
      <w:tr w14:paraId="1212B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7B32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No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4E3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40 (83.33)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D82C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42 (85.71)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2C63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F032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25 (80.65)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CF5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24 (77.42)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B14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76DA70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739E98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Yes</w:t>
            </w:r>
          </w:p>
        </w:tc>
        <w:tc>
          <w:tcPr>
            <w:tcW w:w="949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264D11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8 (16.67)</w:t>
            </w:r>
          </w:p>
        </w:tc>
        <w:tc>
          <w:tcPr>
            <w:tcW w:w="949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75A58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 (14.29)</w:t>
            </w:r>
          </w:p>
        </w:tc>
        <w:tc>
          <w:tcPr>
            <w:tcW w:w="473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6B028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5AE57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6 (19.35)</w:t>
            </w:r>
          </w:p>
        </w:tc>
        <w:tc>
          <w:tcPr>
            <w:tcW w:w="875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309969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 (22.58)</w:t>
            </w:r>
          </w:p>
        </w:tc>
        <w:tc>
          <w:tcPr>
            <w:tcW w:w="473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086A7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</w:tbl>
    <w:p w14:paraId="35139FDB">
      <w:pPr>
        <w:spacing w:line="276" w:lineRule="auto"/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  <w:vertAlign w:val="superscript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>CRT modality was defined by the treatment received after induction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 therapy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: sequential radiotherapy alone (Sequential) or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>radi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val="en-US" w:eastAsia="zh-CN"/>
        </w:rPr>
        <w:t>o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therapy administrated concurrently with chemotherapy 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(Concurrent). </w:t>
      </w:r>
      <w:r>
        <w:rPr>
          <w:rFonts w:ascii="Times New Roman" w:hAnsi="Times New Roman" w:cs="Times New Roman"/>
          <w:szCs w:val="21"/>
          <w:highlight w:val="none"/>
        </w:rPr>
        <w:t>PSM, propensity score matching; CRT, chemoradiotherapy; I-CRT, immunochemotherapy plus chemoradiotherapy; ECOG PS, Eastern Cooperative Oncology Group performance status; PCI, prophylactic cranial irradiation.</w:t>
      </w:r>
    </w:p>
    <w:p w14:paraId="4CE85286">
      <w:pPr>
        <w:spacing w:line="276" w:lineRule="auto"/>
        <w:rPr>
          <w:rFonts w:ascii="Times New Roman" w:hAnsi="Times New Roman" w:cs="Times New Roman"/>
          <w:szCs w:val="21"/>
          <w:highlight w:val="none"/>
        </w:rPr>
      </w:pPr>
    </w:p>
    <w:p w14:paraId="7427272B">
      <w:pPr>
        <w:spacing w:line="276" w:lineRule="auto"/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0BF2711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Cs w:val="21"/>
          <w:highlight w:val="none"/>
        </w:rPr>
        <w:t>.</w:t>
      </w:r>
      <w:r>
        <w:rPr>
          <w:rFonts w:ascii="Times New Roman" w:hAnsi="Times New Roman" w:cs="Times New Roman"/>
          <w:szCs w:val="21"/>
          <w:highlight w:val="none"/>
        </w:rPr>
        <w:t xml:space="preserve"> Baseline characteristics of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p</w:t>
      </w:r>
      <w:r>
        <w:rPr>
          <w:rFonts w:ascii="Times New Roman" w:hAnsi="Times New Roman" w:cs="Times New Roman"/>
          <w:szCs w:val="21"/>
          <w:highlight w:val="none"/>
        </w:rPr>
        <w:t xml:space="preserve">atients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r</w:t>
      </w:r>
      <w:r>
        <w:rPr>
          <w:rFonts w:ascii="Times New Roman" w:hAnsi="Times New Roman" w:cs="Times New Roman"/>
          <w:szCs w:val="21"/>
          <w:highlight w:val="none"/>
        </w:rPr>
        <w:t xml:space="preserve">eceiving PD-1 versus PD-L1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i</w:t>
      </w:r>
      <w:r>
        <w:rPr>
          <w:rFonts w:ascii="Times New Roman" w:hAnsi="Times New Roman" w:cs="Times New Roman"/>
          <w:szCs w:val="21"/>
          <w:highlight w:val="none"/>
        </w:rPr>
        <w:t>nhibitors before and after PSM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 xml:space="preserve"> (I-CRT Cohort)</w:t>
      </w:r>
      <w:r>
        <w:rPr>
          <w:rFonts w:ascii="Times New Roman" w:hAnsi="Times New Roman" w:cs="Times New Roman"/>
          <w:szCs w:val="21"/>
          <w:highlight w:val="none"/>
        </w:rPr>
        <w:t>.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95"/>
        <w:gridCol w:w="949"/>
        <w:gridCol w:w="949"/>
        <w:gridCol w:w="488"/>
        <w:gridCol w:w="980"/>
        <w:gridCol w:w="875"/>
        <w:gridCol w:w="473"/>
      </w:tblGrid>
      <w:tr w14:paraId="40696B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vMerge w:val="restart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482FD1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Characteristic</w:t>
            </w:r>
          </w:p>
        </w:tc>
        <w:tc>
          <w:tcPr>
            <w:tcW w:w="1898" w:type="dxa"/>
            <w:gridSpan w:val="2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2B4863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Before PSM（n=97）</w:t>
            </w:r>
          </w:p>
        </w:tc>
        <w:tc>
          <w:tcPr>
            <w:tcW w:w="48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3F925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</w:t>
            </w:r>
          </w:p>
        </w:tc>
        <w:tc>
          <w:tcPr>
            <w:tcW w:w="1855" w:type="dxa"/>
            <w:gridSpan w:val="2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6464B2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After PSM (n=62)</w:t>
            </w:r>
          </w:p>
        </w:tc>
        <w:tc>
          <w:tcPr>
            <w:tcW w:w="473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2D20D2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</w:t>
            </w:r>
          </w:p>
        </w:tc>
      </w:tr>
      <w:tr w14:paraId="2984F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vMerge w:val="continue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3217B7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2C8EAB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PD-1</w:t>
            </w:r>
          </w:p>
          <w:p w14:paraId="5AB5CA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9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66FE7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PD-L1</w:t>
            </w:r>
          </w:p>
          <w:p w14:paraId="1C247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88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1E5CE3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</w:t>
            </w:r>
          </w:p>
        </w:tc>
        <w:tc>
          <w:tcPr>
            <w:tcW w:w="980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5CED57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PD-1</w:t>
            </w:r>
          </w:p>
          <w:p w14:paraId="715017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875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19B9B0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PD-L1</w:t>
            </w:r>
          </w:p>
          <w:p w14:paraId="43624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(n = 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73" w:type="dxa"/>
            <w:tcBorders>
              <w:top w:val="single" w:color="000000" w:sz="2" w:space="0"/>
              <w:bottom w:val="single" w:color="000000" w:sz="2" w:space="0"/>
            </w:tcBorders>
            <w:shd w:val="clear" w:color="auto" w:fill="FFFFFF"/>
            <w:vAlign w:val="center"/>
          </w:tcPr>
          <w:p w14:paraId="1E74F2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</w:t>
            </w:r>
          </w:p>
        </w:tc>
      </w:tr>
      <w:tr w14:paraId="67149B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24099F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Sex, n (%)</w:t>
            </w:r>
          </w:p>
        </w:tc>
        <w:tc>
          <w:tcPr>
            <w:tcW w:w="949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11FCE2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14EDFA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6B10D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</w:rPr>
              <w:t>0.0</w:t>
            </w:r>
            <w:r>
              <w:rPr>
                <w:rFonts w:hint="eastAsia" w:ascii="Times New Roman" w:hAnsi="Times New Roman" w:cs="Times New Roman"/>
                <w:b/>
                <w:bCs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980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13ED18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1BD075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single" w:color="000000" w:sz="2" w:space="0"/>
              <w:bottom w:val="nil"/>
            </w:tcBorders>
            <w:shd w:val="clear" w:color="auto" w:fill="FFFFFF"/>
            <w:vAlign w:val="center"/>
          </w:tcPr>
          <w:p w14:paraId="287E6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30</w:t>
            </w:r>
          </w:p>
        </w:tc>
      </w:tr>
      <w:tr w14:paraId="586E75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45AB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Male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C20A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79D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(8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7D64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FD6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F08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B7F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3DD964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742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Female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0CB7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29B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B754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8A01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57C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059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0E8133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6310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Age,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2061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60C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671D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837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026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922B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2254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552</w:t>
            </w:r>
          </w:p>
        </w:tc>
      </w:tr>
      <w:tr w14:paraId="7A542B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F9A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&lt;65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353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E25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C94B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F4EF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AA9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B06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ED51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44B3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≥65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201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80E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020C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A6F9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87A0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226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38DE7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D4D1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Smoking history,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DF2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0C84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8C47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  <w:t>&lt;.001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721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840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35DE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552</w:t>
            </w:r>
          </w:p>
        </w:tc>
      </w:tr>
      <w:tr w14:paraId="6D446A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9364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No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DD48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7D5A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751C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FF8A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6224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F316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5D103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F75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Yes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553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E79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D76A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AF4B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9B3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 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.8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A5EB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07DA2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FC47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ECOG PS,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032E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95D3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tbl>
            <w:tblPr>
              <w:tblStyle w:val="4"/>
              <w:tblW w:w="0" w:type="pct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3"/>
            </w:tblGrid>
            <w:tr w14:paraId="395188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left w:w="0" w:type="dxa"/>
                    <w:right w:w="0" w:type="dxa"/>
                  </w:tcMar>
                  <w:vAlign w:val="center"/>
                </w:tcPr>
                <w:p w14:paraId="66202668">
                  <w:pPr>
                    <w:keepNext w:val="0"/>
                    <w:keepLines w:val="0"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" w:hAnsi="Times New Roman" w:cs="Times New Roman"/>
                      <w:szCs w:val="21"/>
                      <w:highlight w:val="none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Cs w:val="21"/>
                      <w:highlight w:val="none"/>
                      <w:lang w:val="en-US" w:eastAsia="zh-CN"/>
                    </w:rPr>
                    <w:t>0.257</w:t>
                  </w:r>
                </w:p>
              </w:tc>
            </w:tr>
          </w:tbl>
          <w:p w14:paraId="40C9C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BD6E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78E4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4D20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0.555</w:t>
            </w:r>
          </w:p>
        </w:tc>
      </w:tr>
      <w:tr w14:paraId="191875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E75C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D02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20 (57.14)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95BE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28 (45.16)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DB66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D7B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10 (43.48)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ACC0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12 (52.17)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ED2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761126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711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DA34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15 (42.86)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E08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34 (54.84)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E9C3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1E8B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13 (56.52)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9E0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11 (47.83)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60F4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6A5421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C10D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Clinical stage,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CF7F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C80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90C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0.254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CB9B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47B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86CA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0.569</w:t>
            </w:r>
          </w:p>
        </w:tc>
      </w:tr>
      <w:tr w14:paraId="38566E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FEA3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ⅢA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E8D7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9 (25.71)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F69B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18 (29.03)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E944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381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7 (30.43)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B826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7 (30.43)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5B6B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6F834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83E7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ⅢB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5BC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14 (40.00)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7B77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32 (51.61)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FBA1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B8D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10 (43.48)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0DCE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7 (30.43)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083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67042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633B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ⅢC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505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12 (34.29)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2AFF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12 (19.35)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4F5D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498E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6 (26.09)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C9E8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9 (39.13)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3F8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474AB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4B9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Radiotherapy modality,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7E47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4777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BC63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000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F73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E8D7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835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000</w:t>
            </w:r>
          </w:p>
        </w:tc>
      </w:tr>
      <w:tr w14:paraId="5F40F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5354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Hypofractionated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9F65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 (5.71)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641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4 (6.45)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DD6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FFB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 (8.70)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0372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 (13.04)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986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686AF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459C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Hyperfractionated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B23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 (5.71)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039A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4 (6.45)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9344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712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 (8.70)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1725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 (8.70)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D59E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7BC64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BF4F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Conventional fractionated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9D33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31 (88.57)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7D3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54 (87.10)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9B2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DEB9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19 (82.61)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E65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18 (78.26)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A9F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28C30C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67762F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Radiotherapy timing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,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n 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A187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C0EE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0110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0.892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DC00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D60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3179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0.234</w:t>
            </w:r>
          </w:p>
        </w:tc>
      </w:tr>
      <w:tr w14:paraId="28F39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3DB388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Early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3DD4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17 (48.57)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609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31 (50.00)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913C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A414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11 (47.83)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CEA6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15 (65.22)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4BC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650D45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0CEAFC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Late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2CB2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18 (51.43)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B14D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31 (50.00)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29E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E3E8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12 (52.17)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9430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8 (34.78)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1AD5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4F84FD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BCF4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highlight w:val="none"/>
                <w:vertAlign w:val="superscript"/>
              </w:rPr>
              <w:t>*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CRT modality,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5B9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6F6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A863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Cs w:val="21"/>
                <w:highlight w:val="none"/>
                <w:lang w:val="en-US" w:eastAsia="en-US"/>
              </w:rPr>
              <w:t>0.527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9D6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F25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0B78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0.697</w:t>
            </w:r>
          </w:p>
        </w:tc>
      </w:tr>
      <w:tr w14:paraId="687776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5C11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Sequential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B814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31 (88.57)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59C8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52 (83.87)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2734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E549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20 (86.96)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63D7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18 (78.26)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BF24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758C6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47A3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Concurrent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BBA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4 (11.43)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0C94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10 (16.13)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9C79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F943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 (13.04)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75F9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5 (21.74)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4B6D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1C32EC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EF45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PCI, n (%)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D6CF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D981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tbl>
            <w:tblPr>
              <w:tblStyle w:val="4"/>
              <w:tblW w:w="0" w:type="pct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3"/>
            </w:tblGrid>
            <w:tr w14:paraId="71BC19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left w:w="0" w:type="dxa"/>
                    <w:right w:w="0" w:type="dxa"/>
                  </w:tcMar>
                  <w:vAlign w:val="center"/>
                </w:tcPr>
                <w:p w14:paraId="136E8040">
                  <w:pPr>
                    <w:keepNext w:val="0"/>
                    <w:keepLines w:val="0"/>
                    <w:suppressLineNumbers w:val="0"/>
                    <w:spacing w:before="0" w:beforeAutospacing="0" w:after="0" w:afterAutospacing="0"/>
                    <w:ind w:left="0" w:right="0"/>
                    <w:jc w:val="center"/>
                    <w:rPr>
                      <w:rFonts w:hint="default" w:ascii="Times New Roman" w:hAnsi="Times New Roman" w:cs="Times New Roman"/>
                      <w:szCs w:val="21"/>
                      <w:highlight w:val="none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Cs w:val="21"/>
                      <w:highlight w:val="none"/>
                      <w:lang w:val="en-US" w:eastAsia="zh-CN"/>
                    </w:rPr>
                    <w:t>0.809</w:t>
                  </w:r>
                </w:p>
              </w:tc>
            </w:tr>
          </w:tbl>
          <w:p w14:paraId="5D3977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8130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7B1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1D0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0.697</w:t>
            </w:r>
          </w:p>
        </w:tc>
      </w:tr>
      <w:tr w14:paraId="580EB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3EE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No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6EC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30 (85.71)</w:t>
            </w:r>
          </w:p>
        </w:tc>
        <w:tc>
          <w:tcPr>
            <w:tcW w:w="94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FCA4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52 (83.87)</w:t>
            </w:r>
          </w:p>
        </w:tc>
        <w:tc>
          <w:tcPr>
            <w:tcW w:w="4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601D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BAA9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20 (86.96)</w:t>
            </w:r>
          </w:p>
        </w:tc>
        <w:tc>
          <w:tcPr>
            <w:tcW w:w="87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14A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18 (78.26)</w:t>
            </w:r>
          </w:p>
        </w:tc>
        <w:tc>
          <w:tcPr>
            <w:tcW w:w="47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31AF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  <w:tr w14:paraId="5E9F9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07382B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Yes</w:t>
            </w:r>
          </w:p>
        </w:tc>
        <w:tc>
          <w:tcPr>
            <w:tcW w:w="949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3DAF25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5 (14.29)</w:t>
            </w:r>
          </w:p>
        </w:tc>
        <w:tc>
          <w:tcPr>
            <w:tcW w:w="949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14AF3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10 (16.13)</w:t>
            </w:r>
          </w:p>
        </w:tc>
        <w:tc>
          <w:tcPr>
            <w:tcW w:w="488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662068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80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4DCF15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3 (13.04)</w:t>
            </w:r>
          </w:p>
        </w:tc>
        <w:tc>
          <w:tcPr>
            <w:tcW w:w="875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2A13C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szCs w:val="21"/>
                <w:highlight w:val="none"/>
                <w:lang w:val="en-US" w:eastAsia="en-US"/>
              </w:rPr>
              <w:t>5 (21.74)</w:t>
            </w:r>
          </w:p>
        </w:tc>
        <w:tc>
          <w:tcPr>
            <w:tcW w:w="473" w:type="dxa"/>
            <w:tcBorders>
              <w:top w:val="nil"/>
              <w:bottom w:val="single" w:color="000000" w:sz="2" w:space="0"/>
            </w:tcBorders>
            <w:shd w:val="clear" w:color="auto" w:fill="FFFFFF"/>
            <w:vAlign w:val="center"/>
          </w:tcPr>
          <w:p w14:paraId="07C223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</w:tr>
    </w:tbl>
    <w:p w14:paraId="678729F3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  <w:vertAlign w:val="superscript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>CRT modality was defined by the treatment received after induction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 therapy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: sequential radiotherapy alone (Sequential) or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>radi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val="en-US" w:eastAsia="zh-CN"/>
        </w:rPr>
        <w:t>o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therapy administrated concurrently with chemotherapy 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(Concurrent). </w:t>
      </w:r>
      <w:r>
        <w:rPr>
          <w:rFonts w:ascii="Times New Roman" w:hAnsi="Times New Roman" w:cs="Times New Roman"/>
          <w:szCs w:val="21"/>
          <w:highlight w:val="none"/>
        </w:rPr>
        <w:t>PSM, propensity score matching; CRT, chemoradiotherapy; I-CRT, immunochemotherapy plus chemoradiotherapy; ECOG PS, Eastern Cooperative Oncology Group performance status; PCI, prophylactic cranial irradiation.</w:t>
      </w:r>
    </w:p>
    <w:p w14:paraId="13CD3981">
      <w:pPr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4948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5.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Baseline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haracteristics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efore and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fter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PSM after excluding patients receiving Hypofractionated Radiotherapy.</w:t>
      </w:r>
    </w:p>
    <w:tbl>
      <w:tblPr>
        <w:tblStyle w:val="4"/>
        <w:tblW w:w="511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1170"/>
        <w:gridCol w:w="1181"/>
        <w:gridCol w:w="631"/>
        <w:gridCol w:w="1077"/>
        <w:gridCol w:w="1237"/>
        <w:gridCol w:w="598"/>
      </w:tblGrid>
      <w:tr w14:paraId="50AD4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2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9A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Characteristic</w:t>
            </w:r>
          </w:p>
        </w:tc>
        <w:tc>
          <w:tcPr>
            <w:tcW w:w="1384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33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Before PSM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（n=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360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BF6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1362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F65E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After PSM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(n=1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66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)</w:t>
            </w:r>
          </w:p>
        </w:tc>
        <w:tc>
          <w:tcPr>
            <w:tcW w:w="35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953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1CCF5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2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120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8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B1B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CRT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group</w:t>
            </w:r>
          </w:p>
          <w:p w14:paraId="6AC982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269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6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17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I-CRT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499B7C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91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6D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i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kern w:val="0"/>
                <w:szCs w:val="21"/>
                <w:highlight w:val="none"/>
                <w:lang w:eastAsia="en-US"/>
              </w:rPr>
              <w:t>P</w:t>
            </w:r>
          </w:p>
        </w:tc>
        <w:tc>
          <w:tcPr>
            <w:tcW w:w="63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15E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CRT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2C8D0A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7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619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I-CRT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18A175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C17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i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kern w:val="0"/>
                <w:szCs w:val="21"/>
                <w:highlight w:val="none"/>
                <w:lang w:eastAsia="en-US"/>
              </w:rPr>
              <w:t>P</w:t>
            </w:r>
          </w:p>
        </w:tc>
      </w:tr>
      <w:tr w14:paraId="091C5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27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Sex, n (%)</w:t>
            </w:r>
          </w:p>
        </w:tc>
        <w:tc>
          <w:tcPr>
            <w:tcW w:w="68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CCB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3A4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32C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0.834</w:t>
            </w:r>
          </w:p>
        </w:tc>
        <w:tc>
          <w:tcPr>
            <w:tcW w:w="63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7A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6C76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6B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0.589</w:t>
            </w:r>
          </w:p>
        </w:tc>
      </w:tr>
      <w:tr w14:paraId="2A5E2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73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Male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26F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201 (74.72)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393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69 (75.82)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89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E38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64 (77.11)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78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61 (73.49)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B6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6133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CB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Female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4DB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68 (25.28)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0AC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22 (24.18)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04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A7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19 (22.89)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DC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22 (26.51)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47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4F113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162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Age,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C9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F06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A85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0.959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40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11C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3E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0.438</w:t>
            </w:r>
          </w:p>
        </w:tc>
      </w:tr>
      <w:tr w14:paraId="3139C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AD0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&lt;65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y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D94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144 (53.53)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FE6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49 (53.85)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03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B45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38 (45.78)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9D7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43 (51.81)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DFB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60A57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C7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≥65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y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E6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125 (46.47)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F00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42 (46.15)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067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9F5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45 (54.22)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E50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40 (48.19)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664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538A35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ADC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Smoking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history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616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0C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54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val="en-US" w:eastAsia="en-US"/>
              </w:rPr>
              <w:t>0.018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41F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05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4FC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0.421</w:t>
            </w:r>
          </w:p>
        </w:tc>
      </w:tr>
      <w:tr w14:paraId="76A62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BAF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No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54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79 (29.37)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C69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39 (42.86)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3F8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74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28 (33.73)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80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33 (39.76)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F72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8ED3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6F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Yes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A3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190 (70.63)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5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52 (57.14)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BCA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A6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55 (66.27)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D0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50 (60.24)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8F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10BC4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C91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ECOG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PS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F93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9D6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F48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0.582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756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8EA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09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0.158</w:t>
            </w:r>
          </w:p>
        </w:tc>
      </w:tr>
      <w:tr w14:paraId="36E5C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94F0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0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C0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142 (52.79)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0B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45 (49.45)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B78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7305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31 (37.35)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BB1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40 (48.19)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2A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07696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C9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1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16A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127 (47.21)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AE8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46 (50.55)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95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2F6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52 (62.65)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60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43 (51.81)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39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279E5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4A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Clinical stage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70B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3A0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8B9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0.122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F90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63B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72B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0.803</w:t>
            </w:r>
          </w:p>
        </w:tc>
      </w:tr>
      <w:tr w14:paraId="08C00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9B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ⅡB-ⅢA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D48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highlight w:val="none"/>
                <w:vertAlign w:val="superscript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109 (40.52)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D9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27 (29.67)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9DC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77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highlight w:val="none"/>
                <w:vertAlign w:val="superscript"/>
              </w:rPr>
              <w:t>†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31 (37.35)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EF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27 (32.53)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A22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49BE9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51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ⅢB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88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112 (41.64)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8E1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41 (45.05)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C5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D41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34 (40.96)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5A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36 (43.37)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DC3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2F8DA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82E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ⅢC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BE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48 (17.84)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98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23 (25.27)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6C3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5E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18 (21.69)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30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20 (24.10)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FD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18821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5AE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Radiotherapy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modality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E0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5B8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005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0.597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76D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86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B3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0.514</w:t>
            </w:r>
          </w:p>
        </w:tc>
      </w:tr>
      <w:tr w14:paraId="23ACC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802D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Hyperfractionated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78C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 (4.46)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3B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(6.59)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AF2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2D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 (4.82)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95A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(7.23)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8BA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62C66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895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onventional fractionated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51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257 (95.54)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F9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85 (93.41)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E5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09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79 (95.18)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58B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77 (92.77)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11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3AB32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DD5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Radiotherapy timing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DF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810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AFEF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val="en-US" w:eastAsia="en-US"/>
              </w:rPr>
              <w:t>&lt;.001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7D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DF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46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0.641</w:t>
            </w:r>
          </w:p>
        </w:tc>
      </w:tr>
      <w:tr w14:paraId="64246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C4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Early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599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199 (73.98)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35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46 (50.55)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020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EA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38 (45.78)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5E9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41 (49.40)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86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425A7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AA3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Late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0E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70 (26.02)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988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45 (49.45)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11A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59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45 (54.22)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5B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42 (50.60)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30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3080C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F7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highlight w:val="none"/>
                <w:vertAlign w:val="superscript"/>
              </w:rPr>
              <w:t>‡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CRT modality,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87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DB8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B5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Cs w:val="21"/>
                <w:highlight w:val="none"/>
                <w:lang w:val="en-US" w:eastAsia="en-US"/>
              </w:rPr>
              <w:t>&lt;.001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2D0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2D4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114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0.833</w:t>
            </w:r>
          </w:p>
        </w:tc>
      </w:tr>
      <w:tr w14:paraId="5C50B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4C2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Sequential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ACD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100 (37.17)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74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77 (84.62)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4BD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E8E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70 (84.34)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C6B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69 (83.13)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EF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595FA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B444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Concurrent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BD3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169 (62.83)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327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14 (15.38)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301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F5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13 (15.66)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71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14 (16.87)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A4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0FE78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3D1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PCI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C7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E3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D7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val="en-US" w:eastAsia="en-US"/>
              </w:rPr>
              <w:t>0.001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566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B1E9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919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0.360</w:t>
            </w:r>
          </w:p>
        </w:tc>
      </w:tr>
      <w:tr w14:paraId="13C77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9C0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No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01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183 (68.03)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39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78 (85.71)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61E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042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74 (89.16)</w:t>
            </w:r>
          </w:p>
        </w:tc>
        <w:tc>
          <w:tcPr>
            <w:tcW w:w="7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97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70 (84.34)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66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49533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F2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Yes</w:t>
            </w:r>
          </w:p>
        </w:tc>
        <w:tc>
          <w:tcPr>
            <w:tcW w:w="68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9D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86 (31.97)</w:t>
            </w:r>
          </w:p>
        </w:tc>
        <w:tc>
          <w:tcPr>
            <w:tcW w:w="695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DED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13 (14.29)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63D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1F7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9 (10.84)</w:t>
            </w:r>
          </w:p>
        </w:tc>
        <w:tc>
          <w:tcPr>
            <w:tcW w:w="728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675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13 (15.66)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BC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</w:tbl>
    <w:p w14:paraId="16D143E2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  <w:vertAlign w:val="superscript"/>
        </w:rPr>
        <w:t>*:</w:t>
      </w:r>
      <w:r>
        <w:rPr>
          <w:rFonts w:ascii="Times New Roman" w:hAnsi="Times New Roman" w:eastAsia="宋体" w:cs="Times New Roman"/>
          <w:kern w:val="0"/>
          <w:szCs w:val="21"/>
          <w:highlight w:val="none"/>
        </w:rPr>
        <w:t>Among 1</w:t>
      </w:r>
      <w:r>
        <w:rPr>
          <w:rFonts w:hint="eastAsia" w:ascii="Times New Roman" w:hAnsi="Times New Roman" w:eastAsia="宋体" w:cs="Times New Roman"/>
          <w:kern w:val="0"/>
          <w:szCs w:val="21"/>
          <w:highlight w:val="none"/>
          <w:lang w:val="en-US" w:eastAsia="zh-CN"/>
        </w:rPr>
        <w:t>09</w:t>
      </w:r>
      <w:r>
        <w:rPr>
          <w:rFonts w:ascii="Times New Roman" w:hAnsi="Times New Roman" w:eastAsia="宋体" w:cs="Times New Roman"/>
          <w:kern w:val="0"/>
          <w:szCs w:val="21"/>
          <w:highlight w:val="none"/>
        </w:rPr>
        <w:t xml:space="preserve"> cases, 12 were stage IIB.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Cs w:val="21"/>
          <w:highlight w:val="none"/>
          <w:vertAlign w:val="superscript"/>
        </w:rPr>
        <w:t>†: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Among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val="en-US" w:eastAsia="zh-CN"/>
        </w:rPr>
        <w:t>31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 cases,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val="en-US" w:eastAsia="zh-CN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 were stage IIB disease.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Cs w:val="21"/>
          <w:highlight w:val="none"/>
          <w:vertAlign w:val="superscript"/>
        </w:rPr>
        <w:t>‡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>CRT modality was defined by the treatment received after induction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 therapy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: sequential radiotherapy alone (Sequential) or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>radi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val="en-US" w:eastAsia="zh-CN"/>
        </w:rPr>
        <w:t>o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therapy administrated concurrently with chemotherapy 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(Concurrent). </w:t>
      </w:r>
      <w:r>
        <w:rPr>
          <w:rFonts w:ascii="Times New Roman" w:hAnsi="Times New Roman" w:cs="Times New Roman"/>
          <w:szCs w:val="21"/>
          <w:highlight w:val="none"/>
        </w:rPr>
        <w:t>PSM, propensity score matching; CRT, chemoradiotherapy; I-CRT, immunochemotherapy plus chemoradiotherapy; ECOG PS, Eastern Cooperative Oncology Group performance status; PCI, prophylactic cranial irradiation.</w:t>
      </w:r>
    </w:p>
    <w:p w14:paraId="3DDCCAC1">
      <w:pPr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279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Baseline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haracteristics of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atients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r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eceiving I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CRT versus CRT in the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equential CRT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tratum,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efore and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fter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PSM.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1065"/>
        <w:gridCol w:w="1211"/>
        <w:gridCol w:w="585"/>
        <w:gridCol w:w="1065"/>
        <w:gridCol w:w="1211"/>
        <w:gridCol w:w="571"/>
      </w:tblGrid>
      <w:tr w14:paraId="435C6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6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6F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Characteristic</w:t>
            </w:r>
          </w:p>
        </w:tc>
        <w:tc>
          <w:tcPr>
            <w:tcW w:w="137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AB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Before PSM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（n=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187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35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CA4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137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E1F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After PSM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(n=1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)</w:t>
            </w:r>
          </w:p>
        </w:tc>
        <w:tc>
          <w:tcPr>
            <w:tcW w:w="34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E1C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1AE5D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6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5F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8EC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CRT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group</w:t>
            </w:r>
          </w:p>
          <w:p w14:paraId="2CC41C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104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88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I-CRT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64EF49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6A7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i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kern w:val="0"/>
                <w:szCs w:val="21"/>
                <w:highlight w:val="none"/>
                <w:lang w:eastAsia="en-US"/>
              </w:rPr>
              <w:t>P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9E6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CRT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6886C2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139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I-CRT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565F63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990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i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kern w:val="0"/>
                <w:szCs w:val="21"/>
                <w:highlight w:val="none"/>
                <w:lang w:eastAsia="en-US"/>
              </w:rPr>
              <w:t>P</w:t>
            </w:r>
          </w:p>
        </w:tc>
      </w:tr>
      <w:tr w14:paraId="689DD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D76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Sex, n (%)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29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16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B96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0.466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487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BEA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01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0.298</w:t>
            </w:r>
          </w:p>
        </w:tc>
      </w:tr>
      <w:tr w14:paraId="2991F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64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Male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1E7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74 (71.15)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40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63 (75.90)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76A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41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48 (78.69)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35C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43 (70.49)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A7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0FC59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D35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Female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F4A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30 (28.85)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D60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20 (24.10)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323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BC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13 (21.31)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28D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18 (29.51)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B5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40CB3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B6D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Age,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5D4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AE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52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kern w:val="0"/>
                <w:szCs w:val="21"/>
                <w:highlight w:val="none"/>
                <w:lang w:val="en-US" w:eastAsia="en-US"/>
              </w:rPr>
              <w:t>0.034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92A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A53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E6E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1.000</w:t>
            </w:r>
          </w:p>
        </w:tc>
      </w:tr>
      <w:tr w14:paraId="7677F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9CF7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&lt;65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y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B1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39 (37.50)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34F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44 (53.01)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A5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E1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24 (39.34)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2B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24 (39.34)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A6C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31D46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9D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≥65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y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B7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65 (62.50)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83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39 (46.99)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3DF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FF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37 (60.66)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91E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37 (60.66)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4AB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5AB07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E81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Smoking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history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24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7C9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A23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kern w:val="0"/>
                <w:szCs w:val="21"/>
                <w:highlight w:val="none"/>
                <w:lang w:val="en-US" w:eastAsia="en-US"/>
              </w:rPr>
              <w:t>0.182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4E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8B5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716C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0.253</w:t>
            </w:r>
          </w:p>
        </w:tc>
      </w:tr>
      <w:tr w14:paraId="1481D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35F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No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1DC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34 (32.69)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B9D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35 (42.17)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F4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2C2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18 (29.51)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725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24 (39.34)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AEF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0C8B6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0CE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Yes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4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55"/>
            </w:tblGrid>
            <w:tr w14:paraId="4C33CC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left w:w="0" w:type="dxa"/>
                    <w:right w:w="0" w:type="dxa"/>
                  </w:tcMar>
                  <w:vAlign w:val="center"/>
                </w:tcPr>
                <w:p w14:paraId="21D81B4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</w:pBdr>
                    <w:spacing w:before="0" w:beforeAutospacing="0" w:after="0" w:afterAutospacing="0"/>
                    <w:ind w:left="40" w:right="40"/>
                    <w:jc w:val="center"/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  <w:t>70 (67.31)</w:t>
                  </w:r>
                </w:p>
              </w:tc>
            </w:tr>
          </w:tbl>
          <w:p w14:paraId="7B78C7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09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48 (57.83)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7E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E2F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43 (70.49)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AD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37 (60.66)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520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11CB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C5AB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ECOG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PS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ED3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53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4F6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0.288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B7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34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4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53"/>
            </w:tblGrid>
            <w:tr w14:paraId="2B111B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left w:w="0" w:type="dxa"/>
                    <w:right w:w="0" w:type="dxa"/>
                  </w:tcMar>
                  <w:vAlign w:val="center"/>
                </w:tcPr>
                <w:p w14:paraId="04110DB1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</w:pBdr>
                    <w:spacing w:before="0" w:beforeAutospacing="0" w:after="0" w:afterAutospacing="0"/>
                    <w:ind w:left="40" w:right="40"/>
                    <w:jc w:val="center"/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  <w:t>0.464</w:t>
                  </w:r>
                </w:p>
              </w:tc>
            </w:tr>
          </w:tbl>
          <w:p w14:paraId="1E41E4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0CDC6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2A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EAA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47 (45.19)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158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44 (53.01)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B56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E54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24 (39.34)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1E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28 (45.90)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997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697D9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116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D75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57 (54.81)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0E8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39 (46.99)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6D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CD0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37 (60.66)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E9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33 (54.10)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853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4EF69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A7B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Clinical stage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E7D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8C9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AB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0.304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19C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D7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4C2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0.693</w:t>
            </w:r>
          </w:p>
        </w:tc>
      </w:tr>
      <w:tr w14:paraId="7C6FE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A8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ⅡB-ⅢA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829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highlight w:val="none"/>
                <w:vertAlign w:val="superscript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37 (35.58)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8A2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21 (25.30)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EDB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D04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20 (32.79)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201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17 (27.87)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6F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0A04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C8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ⅢB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5D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45 (43.27)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B9B0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40 (48.19)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2C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04A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26 (42.62)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D1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25 (40.98)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8E8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0447E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49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ⅢC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10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22 (21.15)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99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22 (26.51)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BF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A3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15 (24.59)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322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19 (31.15)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D42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37A23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CE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Radiotherapy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modality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AA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8EC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182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0.552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EC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15E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5ED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0.676</w:t>
            </w:r>
          </w:p>
        </w:tc>
      </w:tr>
      <w:tr w14:paraId="46D56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AC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Hypofractionated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BC6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 (3.85)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3C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(7.23)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092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2E3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 (3.28)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119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 (4.92)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AA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5C289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1A1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Hyperfractionated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58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8 (7.69)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86E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 (6.02)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0D6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5C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 (4.92)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87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 (8.20)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32C9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11D85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575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onventional fractionated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A37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92 (88.46)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58C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72 (86.75)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C1E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4"/>
              <w:tblW w:w="0" w:type="auto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55"/>
            </w:tblGrid>
            <w:tr w14:paraId="4813AC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left w:w="0" w:type="dxa"/>
                    <w:right w:w="0" w:type="dxa"/>
                  </w:tcMar>
                  <w:vAlign w:val="center"/>
                </w:tcPr>
                <w:p w14:paraId="21DC111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</w:pBdr>
                    <w:spacing w:before="0" w:beforeAutospacing="0" w:after="0" w:afterAutospacing="0"/>
                    <w:ind w:left="40" w:right="40"/>
                    <w:jc w:val="center"/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  <w:t>56 (91.80)</w:t>
                  </w:r>
                </w:p>
              </w:tc>
            </w:tr>
          </w:tbl>
          <w:p w14:paraId="53E8BB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BC3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53 (86.89)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EF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0D45F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BFE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Radiotherapy timing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E0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83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AEB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kern w:val="0"/>
                <w:szCs w:val="21"/>
                <w:highlight w:val="none"/>
                <w:lang w:val="en-US" w:eastAsia="en-US"/>
              </w:rPr>
              <w:t>0.342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3378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5C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64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0.359</w:t>
            </w:r>
          </w:p>
        </w:tc>
      </w:tr>
      <w:tr w14:paraId="2110F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81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Early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12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38 (36.54)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00F0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36 (43.37)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72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12F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28 (45.90)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37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23 (37.70)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4C4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29A86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586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Late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FD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66 (63.46)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C5FE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47 (56.63)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58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9A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33 (54.10)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5AC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38 (62.30)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E0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0746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570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PCI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CA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08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B2D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kern w:val="0"/>
                <w:szCs w:val="21"/>
                <w:highlight w:val="none"/>
                <w:lang w:val="en-US" w:eastAsia="en-US"/>
              </w:rPr>
              <w:t>0.207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F91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54A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58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0.769</w:t>
            </w:r>
          </w:p>
        </w:tc>
      </w:tr>
      <w:tr w14:paraId="2B512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EB0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No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13EA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92 (88.46)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35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68 (81.93)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64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602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54 (88.52)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9A2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55 (90.16)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5A4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6C899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73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Yes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68B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 (11.54)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9D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15 (18.07)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88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F0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 (11.48)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CEB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(9.84)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C1DD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</w:tbl>
    <w:p w14:paraId="2C9085F3">
      <w:pPr>
        <w:spacing w:line="276" w:lineRule="auto"/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  <w:vertAlign w:val="superscript"/>
        </w:rPr>
        <w:t>*:</w:t>
      </w:r>
      <w:r>
        <w:rPr>
          <w:rFonts w:ascii="Times New Roman" w:hAnsi="Times New Roman" w:eastAsia="宋体" w:cs="Times New Roman"/>
          <w:kern w:val="0"/>
          <w:szCs w:val="21"/>
          <w:highlight w:val="none"/>
        </w:rPr>
        <w:t xml:space="preserve">Among </w:t>
      </w:r>
      <w:r>
        <w:rPr>
          <w:rFonts w:hint="eastAsia" w:ascii="Times New Roman" w:hAnsi="Times New Roman" w:eastAsia="宋体" w:cs="Times New Roman"/>
          <w:kern w:val="0"/>
          <w:szCs w:val="21"/>
          <w:highlight w:val="none"/>
          <w:lang w:val="en-US" w:eastAsia="zh-CN"/>
        </w:rPr>
        <w:t>37</w:t>
      </w:r>
      <w:r>
        <w:rPr>
          <w:rFonts w:ascii="Times New Roman" w:hAnsi="Times New Roman" w:eastAsia="宋体" w:cs="Times New Roman"/>
          <w:kern w:val="0"/>
          <w:szCs w:val="21"/>
          <w:highlight w:val="none"/>
        </w:rPr>
        <w:t xml:space="preserve"> cases, 2 were stage IIB. </w:t>
      </w:r>
      <w:r>
        <w:rPr>
          <w:rFonts w:ascii="Times New Roman" w:hAnsi="Times New Roman" w:cs="Times New Roman"/>
          <w:szCs w:val="21"/>
          <w:highlight w:val="none"/>
        </w:rPr>
        <w:t>PSM, propensity score matching; CRT, chemoradiotherapy; I-CRT, immunochemotherapy plus chemoradiotherapy; ECOG PS, Eastern Cooperative Oncology Group performance status; PCI, prophylactic cranial irradiation.</w:t>
      </w:r>
    </w:p>
    <w:p w14:paraId="7B3808D0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highlight w:val="none"/>
          <w:lang w:val="en-US" w:eastAsia="zh-CN" w:bidi="ar-SA"/>
        </w:rPr>
      </w:pPr>
    </w:p>
    <w:p w14:paraId="343D3806">
      <w:pPr>
        <w:tabs>
          <w:tab w:val="left" w:pos="6026"/>
        </w:tabs>
        <w:bidi w:val="0"/>
        <w:jc w:val="left"/>
        <w:rPr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highlight w:val="none"/>
          <w:lang w:val="en-US" w:eastAsia="zh-CN"/>
        </w:rPr>
        <w:tab/>
      </w:r>
    </w:p>
    <w:p w14:paraId="441CB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7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Baseline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haracteristics of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atients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r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eceiving I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CRT versus CRT in the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oncurrent CRT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tratum,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efore and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fter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PSM.</w:t>
      </w:r>
    </w:p>
    <w:tbl>
      <w:tblPr>
        <w:tblStyle w:val="4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1065"/>
        <w:gridCol w:w="1211"/>
        <w:gridCol w:w="585"/>
        <w:gridCol w:w="1065"/>
        <w:gridCol w:w="1211"/>
        <w:gridCol w:w="571"/>
      </w:tblGrid>
      <w:tr w14:paraId="7B235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62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4C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Characteristic</w:t>
            </w:r>
          </w:p>
        </w:tc>
        <w:tc>
          <w:tcPr>
            <w:tcW w:w="137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B1A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Before PSM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（n=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110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  <w:highlight w:val="none"/>
                <w:vertAlign w:val="superscript"/>
              </w:rPr>
              <w:t>*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35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178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137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21E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After PSM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(n=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)</w:t>
            </w:r>
          </w:p>
        </w:tc>
        <w:tc>
          <w:tcPr>
            <w:tcW w:w="34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86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AB50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62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1F0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CCF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CRT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group</w:t>
            </w:r>
          </w:p>
          <w:p w14:paraId="7A36B7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59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I-CRT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646082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59B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i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kern w:val="0"/>
                <w:szCs w:val="21"/>
                <w:highlight w:val="none"/>
                <w:lang w:eastAsia="en-US"/>
              </w:rPr>
              <w:t>P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004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CRT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187FF2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3EF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I-CRT 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group</w:t>
            </w:r>
          </w:p>
          <w:p w14:paraId="091A19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(n =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)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F6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i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iCs/>
                <w:color w:val="000000"/>
                <w:kern w:val="0"/>
                <w:szCs w:val="21"/>
                <w:highlight w:val="none"/>
                <w:lang w:eastAsia="en-US"/>
              </w:rPr>
              <w:t>P</w:t>
            </w:r>
          </w:p>
        </w:tc>
      </w:tr>
      <w:tr w14:paraId="17B64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0E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Sex, n (%)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AF9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CB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C97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0.724</w:t>
            </w:r>
          </w:p>
        </w:tc>
        <w:tc>
          <w:tcPr>
            <w:tcW w:w="64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1AF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2B4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5EB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0.727</w:t>
            </w:r>
          </w:p>
        </w:tc>
      </w:tr>
      <w:tr w14:paraId="46086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837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Male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8B6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70 (72.92)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72C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9 (64.29)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FA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C0B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14 (58.33)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CD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8 (66.67)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D90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5D4F4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F7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Female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30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26 (27.08)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C6BC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 (35.71)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FF5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961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10 (41.67)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E0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 (33.33)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1A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6B50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7C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Age,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F29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C02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09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0.198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D41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91E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01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1.000</w:t>
            </w:r>
          </w:p>
        </w:tc>
      </w:tr>
      <w:tr w14:paraId="55EE8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CEF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&lt;65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y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AA7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51 (53.12)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21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10 (71.43)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F05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FA5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15 (62.50)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283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8 (66.67)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82D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1DDB8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72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≥65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y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835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45 (46.88)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078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 (28.57)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D932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FBB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9 (37.50)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431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 (33.33)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70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27965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AD97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Smoking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history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28C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FE4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6A1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kern w:val="0"/>
                <w:szCs w:val="21"/>
                <w:highlight w:val="none"/>
                <w:lang w:val="en-US" w:eastAsia="en-US"/>
              </w:rPr>
              <w:t>0.126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07F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2B7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3C0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1.000</w:t>
            </w:r>
          </w:p>
        </w:tc>
      </w:tr>
      <w:tr w14:paraId="3E660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FF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No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847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25 (26.04)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6A9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 (50.00)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45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F8A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10 (41.67)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CD0B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 (41.67)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F70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59CF7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2E0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Yes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06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71 (73.96)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64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 (50.00)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FD7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71A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14 (58.33)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678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7 (58.33)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66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7DB9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D6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ECOG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 xml:space="preserve"> PS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72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49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03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0.086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3B13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D8E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C0F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0.481</w:t>
            </w:r>
          </w:p>
        </w:tc>
      </w:tr>
      <w:tr w14:paraId="78406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A2B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0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00E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51 (53.12)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FFC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 (28.57)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FC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3A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 (50.00)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883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 (33.33)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C7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A771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5DC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77E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45 (46.88)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50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10 (71.43)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7CD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80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 (50.00)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6A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8 (66.67)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D7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7FFCB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4C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Clinical stage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A98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70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F52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0.924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4CB8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69B3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C1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0.870</w:t>
            </w:r>
          </w:p>
        </w:tc>
      </w:tr>
      <w:tr w14:paraId="78184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CEF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ⅡB-ⅢA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1C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highlight w:val="none"/>
                <w:vertAlign w:val="superscript"/>
              </w:rPr>
              <w:t>†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36 (37.50)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1D1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(42.86)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42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0F3E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highlight w:val="none"/>
                <w:vertAlign w:val="superscript"/>
              </w:rPr>
              <w:t>‡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 (50.00)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F3A4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(50.00)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BC9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1811D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01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ⅢB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45A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44 (45.83)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57A4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(42.86)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0F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3C2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10 (41.67)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190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6 (50.00)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8FB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24462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37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</w:rPr>
              <w:t>ⅢC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6F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16 (16.67)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94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 (14.29)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D5D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33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 (8.33)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Style w:val="4"/>
              <w:tblW w:w="0" w:type="pct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45"/>
            </w:tblGrid>
            <w:tr w14:paraId="0DE07C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left w:w="0" w:type="dxa"/>
                    <w:right w:w="0" w:type="dxa"/>
                  </w:tcMar>
                  <w:vAlign w:val="center"/>
                </w:tcPr>
                <w:p w14:paraId="04C3E2C7"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000000" w:sz="0" w:space="0"/>
                      <w:left w:val="none" w:color="000000" w:sz="0" w:space="0"/>
                      <w:bottom w:val="none" w:color="000000" w:sz="0" w:space="0"/>
                      <w:right w:val="none" w:color="000000" w:sz="0" w:space="0"/>
                    </w:pBdr>
                    <w:spacing w:before="0" w:beforeAutospacing="0" w:after="0" w:afterAutospacing="0"/>
                    <w:ind w:left="40" w:right="40"/>
                    <w:jc w:val="center"/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000000"/>
                      <w:kern w:val="0"/>
                      <w:szCs w:val="21"/>
                      <w:highlight w:val="none"/>
                      <w:lang w:val="en-US" w:eastAsia="en-US"/>
                    </w:rPr>
                    <w:t>0 (0.00)</w:t>
                  </w:r>
                </w:p>
              </w:tc>
            </w:tr>
          </w:tbl>
          <w:p w14:paraId="4E88426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66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67B51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F71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Radiotherapy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modality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,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596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7B9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E6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val="en-US" w:eastAsia="en-US"/>
              </w:rPr>
              <w:t>0.501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31E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89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E76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val="en-US" w:eastAsia="zh-CN"/>
              </w:rPr>
              <w:t>1.000</w:t>
            </w:r>
          </w:p>
        </w:tc>
      </w:tr>
      <w:tr w14:paraId="037DB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1FA7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Hypofractionated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D14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 (1.04)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445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 (0.00)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666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CD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 (0.00)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410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0 (0.00)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38C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6C754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F3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Hyperfractionated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D8B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3 (3.12)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2C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 (7.14)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E93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A6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 (4.17)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CEE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 (8.33)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ABB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4B748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319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C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onventional fractionated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39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92 (95.83)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A8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13 (92.86)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DA80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FAE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23 (95.83)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97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11 (91.67)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99C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2D070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96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>Radiotherapy timing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highlight w:val="none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n (%)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FBDD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78A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EE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b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kern w:val="0"/>
                <w:szCs w:val="21"/>
                <w:highlight w:val="none"/>
                <w:lang w:val="en-US" w:eastAsia="en-US"/>
              </w:rPr>
              <w:t>0.218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97B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2D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B52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1.000</w:t>
            </w:r>
          </w:p>
        </w:tc>
      </w:tr>
      <w:tr w14:paraId="456AD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F9E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Early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6C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91 (94.79)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C9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12 (85.71)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4E9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kern w:val="0"/>
                <w:szCs w:val="21"/>
                <w:highlight w:val="none"/>
                <w:lang w:eastAsia="en-US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00C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23 (95.83)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BF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val="en-US" w:eastAsia="en-US"/>
              </w:rPr>
              <w:t>11 (91.67)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FD9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right="4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</w:pPr>
          </w:p>
        </w:tc>
      </w:tr>
      <w:tr w14:paraId="33837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E5B6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0" w:leftChars="0" w:right="0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Cs w:val="21"/>
                <w:highlight w:val="none"/>
                <w:lang w:eastAsia="en-US"/>
              </w:rPr>
              <w:t xml:space="preserve">  Late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26F9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leftChars="0" w:right="40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  <w:t>5 (5.21)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B9040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leftChars="0" w:right="40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  <w:t>2 (14.29)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075B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leftChars="0" w:right="40" w:rightChars="0"/>
              <w:jc w:val="center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C6B0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leftChars="0" w:right="40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  <w:t>1 (4.17)</w:t>
            </w:r>
          </w:p>
        </w:tc>
        <w:tc>
          <w:tcPr>
            <w:tcW w:w="729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9059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leftChars="0" w:right="40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  <w:t>1 (8.33)</w:t>
            </w:r>
          </w:p>
        </w:tc>
        <w:tc>
          <w:tcPr>
            <w:tcW w:w="343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1C92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beforeAutospacing="0" w:after="0" w:afterAutospacing="0"/>
              <w:ind w:left="40" w:leftChars="0" w:right="40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1"/>
                <w:szCs w:val="21"/>
                <w:highlight w:val="none"/>
                <w:lang w:val="en-US" w:eastAsia="en-US" w:bidi="ar-SA"/>
              </w:rPr>
            </w:pPr>
          </w:p>
        </w:tc>
      </w:tr>
    </w:tbl>
    <w:p w14:paraId="4589AAE2">
      <w:pPr>
        <w:spacing w:line="276" w:lineRule="auto"/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  <w:vertAlign w:val="superscript"/>
        </w:rPr>
        <w:t>†:</w:t>
      </w:r>
      <w:r>
        <w:rPr>
          <w:rFonts w:ascii="Times New Roman" w:hAnsi="Times New Roman" w:eastAsia="宋体" w:cs="Times New Roman"/>
          <w:kern w:val="0"/>
          <w:szCs w:val="21"/>
          <w:highlight w:val="none"/>
        </w:rPr>
        <w:t xml:space="preserve">Among </w:t>
      </w:r>
      <w:r>
        <w:rPr>
          <w:rFonts w:hint="eastAsia" w:ascii="Times New Roman" w:hAnsi="Times New Roman" w:eastAsia="宋体" w:cs="Times New Roman"/>
          <w:kern w:val="0"/>
          <w:szCs w:val="21"/>
          <w:highlight w:val="none"/>
          <w:lang w:val="en-US" w:eastAsia="zh-CN"/>
        </w:rPr>
        <w:t>36</w:t>
      </w:r>
      <w:r>
        <w:rPr>
          <w:rFonts w:ascii="Times New Roman" w:hAnsi="Times New Roman" w:eastAsia="宋体" w:cs="Times New Roman"/>
          <w:kern w:val="0"/>
          <w:szCs w:val="21"/>
          <w:highlight w:val="none"/>
        </w:rPr>
        <w:t xml:space="preserve"> cases, </w:t>
      </w:r>
      <w:r>
        <w:rPr>
          <w:rFonts w:hint="eastAsia" w:ascii="Times New Roman" w:hAnsi="Times New Roman" w:eastAsia="宋体" w:cs="Times New Roman"/>
          <w:kern w:val="0"/>
          <w:szCs w:val="21"/>
          <w:highlight w:val="none"/>
          <w:lang w:val="en-US" w:eastAsia="zh-CN"/>
        </w:rPr>
        <w:t>5</w:t>
      </w:r>
      <w:r>
        <w:rPr>
          <w:rFonts w:ascii="Times New Roman" w:hAnsi="Times New Roman" w:eastAsia="宋体" w:cs="Times New Roman"/>
          <w:kern w:val="0"/>
          <w:szCs w:val="21"/>
          <w:highlight w:val="none"/>
        </w:rPr>
        <w:t xml:space="preserve"> were stage IIB.</w:t>
      </w:r>
      <w:r>
        <w:rPr>
          <w:rFonts w:hint="eastAsia" w:ascii="Times New Roman" w:hAnsi="Times New Roman" w:eastAsia="宋体" w:cs="Times New Roman"/>
          <w:kern w:val="0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Cs w:val="21"/>
          <w:highlight w:val="none"/>
          <w:vertAlign w:val="superscript"/>
        </w:rPr>
        <w:t>‡: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Among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val="en-US" w:eastAsia="zh-CN"/>
        </w:rPr>
        <w:t>12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 cases,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highlight w:val="none"/>
          <w:lang w:val="en-US" w:eastAsia="zh-CN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Cs w:val="21"/>
          <w:highlight w:val="none"/>
        </w:rPr>
        <w:t xml:space="preserve"> were stage IIB disease. </w:t>
      </w:r>
      <w:r>
        <w:rPr>
          <w:rFonts w:ascii="Times New Roman" w:hAnsi="Times New Roman" w:cs="Times New Roman"/>
          <w:szCs w:val="21"/>
          <w:highlight w:val="none"/>
        </w:rPr>
        <w:t>PSM, propensity score matching; CRT, chemoradiotherapy; I-CRT, immunochemotherapy plus chemoradiotherapy; ECOG PS, Eastern Cooperative Oncology Group performance status; PCI, prophylactic cranial irradiation.</w:t>
      </w:r>
    </w:p>
    <w:p w14:paraId="38BA52E3">
      <w:pPr>
        <w:spacing w:line="276" w:lineRule="auto"/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b/>
          <w:bCs/>
          <w:kern w:val="0"/>
          <w:szCs w:val="21"/>
          <w:highlight w:val="none"/>
          <w:vertAlign w:val="superscript"/>
        </w:rPr>
        <w:t>*</w:t>
      </w:r>
      <w:r>
        <w:rPr>
          <w:rFonts w:hint="eastAsia" w:ascii="Times New Roman" w:hAnsi="Times New Roman" w:cs="Times New Roman"/>
          <w:szCs w:val="21"/>
          <w:highlight w:val="none"/>
        </w:rPr>
        <w:t xml:space="preserve">Note on sample size: The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szCs w:val="21"/>
          <w:highlight w:val="none"/>
        </w:rPr>
        <w:t xml:space="preserve">oncurrent CRT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s</w:t>
      </w:r>
      <w:r>
        <w:rPr>
          <w:rFonts w:hint="eastAsia" w:ascii="Times New Roman" w:hAnsi="Times New Roman" w:cs="Times New Roman"/>
          <w:szCs w:val="21"/>
          <w:highlight w:val="none"/>
        </w:rPr>
        <w:t>tratum initially included 171 patients. After excluding 75 patients who received PCI, 96 patients who received CRT without PCI and 14 patients who received I-CRT without PCI (total n=110) were eligible for the present comparison before PSM.</w:t>
      </w:r>
    </w:p>
    <w:p w14:paraId="5D195961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>8</w:t>
      </w:r>
      <w:r>
        <w:rPr>
          <w:rFonts w:ascii="Times New Roman" w:hAnsi="Times New Roman" w:cs="Times New Roman"/>
          <w:b/>
          <w:bCs/>
          <w:szCs w:val="21"/>
          <w:highlight w:val="none"/>
        </w:rPr>
        <w:t>.</w:t>
      </w:r>
      <w:r>
        <w:rPr>
          <w:rFonts w:ascii="Times New Roman" w:hAnsi="Times New Roman" w:cs="Times New Roman"/>
          <w:szCs w:val="21"/>
          <w:highlight w:val="none"/>
        </w:rPr>
        <w:t xml:space="preserve"> Adverse events in the overall cohort.</w:t>
      </w:r>
    </w:p>
    <w:tbl>
      <w:tblPr>
        <w:tblStyle w:val="4"/>
        <w:tblW w:w="1087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228"/>
        <w:gridCol w:w="1013"/>
        <w:gridCol w:w="732"/>
        <w:gridCol w:w="243"/>
        <w:gridCol w:w="1051"/>
        <w:gridCol w:w="1039"/>
        <w:gridCol w:w="691"/>
        <w:gridCol w:w="240"/>
        <w:gridCol w:w="1075"/>
        <w:gridCol w:w="900"/>
        <w:gridCol w:w="717"/>
      </w:tblGrid>
      <w:tr w14:paraId="20708A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41" w:type="dxa"/>
            <w:vMerge w:val="restart"/>
            <w:tcBorders>
              <w:top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429BFD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adverse events</w:t>
            </w:r>
          </w:p>
        </w:tc>
        <w:tc>
          <w:tcPr>
            <w:tcW w:w="2973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53C46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Grade 1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highlight w:val="none"/>
              </w:rPr>
              <w:t>–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2 n (%)</w:t>
            </w:r>
          </w:p>
        </w:tc>
        <w:tc>
          <w:tcPr>
            <w:tcW w:w="24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8C89C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209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E458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Grade 3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highlight w:val="none"/>
              </w:rPr>
              <w:t>–</w:t>
            </w: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4 n (%)</w:t>
            </w:r>
          </w:p>
        </w:tc>
        <w:tc>
          <w:tcPr>
            <w:tcW w:w="69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48AA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BBCC1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2692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5B55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Grade 5 n (%)</w:t>
            </w:r>
          </w:p>
        </w:tc>
      </w:tr>
      <w:tr w14:paraId="4C112D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41" w:type="dxa"/>
            <w:vMerge w:val="continue"/>
            <w:tcBorders>
              <w:top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77FA9B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22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C8C6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 xml:space="preserve">CRT </w:t>
            </w:r>
          </w:p>
          <w:p w14:paraId="5311A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  <w:p w14:paraId="662F2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(n = 275)</w:t>
            </w: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E2D5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I-CRT</w:t>
            </w:r>
          </w:p>
          <w:p w14:paraId="7EC053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  <w:p w14:paraId="723916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(n = 97)</w:t>
            </w:r>
          </w:p>
        </w:tc>
        <w:tc>
          <w:tcPr>
            <w:tcW w:w="73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A50B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P</w:t>
            </w:r>
          </w:p>
        </w:tc>
        <w:tc>
          <w:tcPr>
            <w:tcW w:w="24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1EDDD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33A53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 xml:space="preserve">CRT </w:t>
            </w:r>
          </w:p>
          <w:p w14:paraId="077326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  <w:p w14:paraId="28A539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(n = 275)</w:t>
            </w:r>
          </w:p>
        </w:tc>
        <w:tc>
          <w:tcPr>
            <w:tcW w:w="103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46CF2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I-CRT</w:t>
            </w:r>
          </w:p>
          <w:p w14:paraId="6E143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  <w:p w14:paraId="38577A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(n = 97)</w:t>
            </w:r>
          </w:p>
        </w:tc>
        <w:tc>
          <w:tcPr>
            <w:tcW w:w="69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9776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E8AC9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E5770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 xml:space="preserve">CRT </w:t>
            </w:r>
          </w:p>
          <w:p w14:paraId="270B2B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  <w:p w14:paraId="62F2D5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(n = 275)</w:t>
            </w:r>
          </w:p>
        </w:tc>
        <w:tc>
          <w:tcPr>
            <w:tcW w:w="9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5F18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I-CRT</w:t>
            </w:r>
          </w:p>
          <w:p w14:paraId="22798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</w:p>
          <w:p w14:paraId="10BBBA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(n= 97)</w:t>
            </w:r>
          </w:p>
        </w:tc>
        <w:tc>
          <w:tcPr>
            <w:tcW w:w="71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17FE4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Cs w:val="21"/>
                <w:highlight w:val="none"/>
              </w:rPr>
              <w:t>P</w:t>
            </w:r>
          </w:p>
        </w:tc>
      </w:tr>
      <w:tr w14:paraId="5235E5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1" w:type="dxa"/>
            <w:tcBorders>
              <w:top w:val="single" w:color="000000" w:sz="8" w:space="0"/>
              <w:bottom w:val="nil"/>
              <w:right w:val="nil"/>
            </w:tcBorders>
            <w:vAlign w:val="center"/>
          </w:tcPr>
          <w:p w14:paraId="59AAA0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Leukopenia</w:t>
            </w:r>
          </w:p>
        </w:tc>
        <w:tc>
          <w:tcPr>
            <w:tcW w:w="122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6B0F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101 (36.7)</w:t>
            </w: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28168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32(33.0)</w:t>
            </w:r>
          </w:p>
        </w:tc>
        <w:tc>
          <w:tcPr>
            <w:tcW w:w="73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07E6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0.509</w:t>
            </w:r>
          </w:p>
        </w:tc>
        <w:tc>
          <w:tcPr>
            <w:tcW w:w="24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C2FD0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78F6D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54 (19.6)</w:t>
            </w:r>
          </w:p>
        </w:tc>
        <w:tc>
          <w:tcPr>
            <w:tcW w:w="1039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18CCD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19 (19.6)</w:t>
            </w:r>
          </w:p>
        </w:tc>
        <w:tc>
          <w:tcPr>
            <w:tcW w:w="691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56186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0.992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9BE09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0BC1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0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7ECBE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56E5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65C93D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1" w:type="dxa"/>
            <w:tcBorders>
              <w:top w:val="nil"/>
              <w:bottom w:val="nil"/>
              <w:right w:val="nil"/>
            </w:tcBorders>
            <w:vAlign w:val="center"/>
          </w:tcPr>
          <w:p w14:paraId="27D689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Neutropenia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76B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95 (34.5)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4F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41 (42.3)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A6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0.175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6A6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D1A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92 (33.5)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900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31 (32.0)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12C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0.788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A7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5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C5A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4B5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142C10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1" w:type="dxa"/>
            <w:tcBorders>
              <w:top w:val="nil"/>
              <w:bottom w:val="nil"/>
              <w:right w:val="nil"/>
            </w:tcBorders>
            <w:vAlign w:val="center"/>
          </w:tcPr>
          <w:p w14:paraId="1E2026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Anemia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EB5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52 (18.9)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57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18 (18.6)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69B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0.939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3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1E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 (1.5)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EB9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4E8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0.576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4BB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31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205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60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7E46B9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1" w:type="dxa"/>
            <w:tcBorders>
              <w:top w:val="nil"/>
              <w:bottom w:val="nil"/>
              <w:right w:val="nil"/>
            </w:tcBorders>
            <w:vAlign w:val="center"/>
          </w:tcPr>
          <w:p w14:paraId="76165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Thrombocytopenia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A8B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58 (21.1)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382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17 (17.5)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F75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0.452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130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B57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27 (9.8)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AE3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 (7.2)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311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0.445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05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06D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263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AEC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29121E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1" w:type="dxa"/>
            <w:tcBorders>
              <w:top w:val="nil"/>
              <w:bottom w:val="nil"/>
              <w:right w:val="nil"/>
            </w:tcBorders>
            <w:vAlign w:val="center"/>
          </w:tcPr>
          <w:p w14:paraId="2C2BE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Pneumonitis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C5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99 (36.0)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CA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38 (39.2)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64D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0.577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C2C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1A7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 (2.5)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136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6 (6.2)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3EE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0.175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22E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D0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 (0.36)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74A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 (1.0)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C9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0.454</w:t>
            </w:r>
          </w:p>
        </w:tc>
      </w:tr>
      <w:tr w14:paraId="2CF474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1" w:type="dxa"/>
            <w:tcBorders>
              <w:top w:val="nil"/>
              <w:bottom w:val="single" w:color="000000" w:sz="8" w:space="0"/>
              <w:right w:val="nil"/>
            </w:tcBorders>
            <w:vAlign w:val="center"/>
          </w:tcPr>
          <w:p w14:paraId="11582E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Esophagitis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22ABB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87 (31.6)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9510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28 (28.9)</w:t>
            </w:r>
          </w:p>
        </w:tc>
        <w:tc>
          <w:tcPr>
            <w:tcW w:w="73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FAF9A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0.612</w:t>
            </w:r>
          </w:p>
        </w:tc>
        <w:tc>
          <w:tcPr>
            <w:tcW w:w="24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B9E1B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5B65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0158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148A9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A404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DCB58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B21C0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EE74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</w:tbl>
    <w:p w14:paraId="0DE469F6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szCs w:val="21"/>
          <w:highlight w:val="none"/>
        </w:rPr>
        <w:t>CRT, chemoradiotherapy; I-CRT, immunochemotherapy plus chemoradiotherapy.</w:t>
      </w:r>
    </w:p>
    <w:p w14:paraId="79AB3F79">
      <w:pPr>
        <w:rPr>
          <w:rFonts w:ascii="Times New Roman" w:hAnsi="Times New Roman" w:cs="Times New Roman"/>
          <w:szCs w:val="21"/>
          <w:highlight w:val="none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52245B3">
      <w:pPr>
        <w:rPr>
          <w:rFonts w:hint="eastAsia" w:ascii="Times New Roman" w:hAnsi="Times New Roman" w:cs="Times New Roman" w:eastAsiaTheme="minorEastAsia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>9</w:t>
      </w:r>
      <w:r>
        <w:rPr>
          <w:rFonts w:ascii="Times New Roman" w:hAnsi="Times New Roman" w:cs="Times New Roman"/>
          <w:b/>
          <w:bCs/>
          <w:szCs w:val="21"/>
          <w:highlight w:val="none"/>
        </w:rPr>
        <w:t>.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  <w:highlight w:val="none"/>
        </w:rPr>
        <w:t xml:space="preserve">Adverse events during 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 xml:space="preserve">the </w:t>
      </w:r>
      <w:bookmarkStart w:id="0" w:name="_GoBack"/>
      <w:bookmarkEnd w:id="0"/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induction therapy</w:t>
      </w:r>
      <w:r>
        <w:rPr>
          <w:rFonts w:ascii="Times New Roman" w:hAnsi="Times New Roman" w:cs="Times New Roman"/>
          <w:szCs w:val="21"/>
          <w:highlight w:val="none"/>
        </w:rPr>
        <w:t xml:space="preserve"> phase (matched cohort)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.</w:t>
      </w:r>
    </w:p>
    <w:tbl>
      <w:tblPr>
        <w:tblStyle w:val="4"/>
        <w:tblW w:w="1042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1013"/>
        <w:gridCol w:w="1035"/>
        <w:gridCol w:w="690"/>
        <w:gridCol w:w="240"/>
        <w:gridCol w:w="990"/>
        <w:gridCol w:w="1042"/>
        <w:gridCol w:w="713"/>
        <w:gridCol w:w="240"/>
        <w:gridCol w:w="937"/>
        <w:gridCol w:w="968"/>
        <w:gridCol w:w="706"/>
      </w:tblGrid>
      <w:tr w14:paraId="5C5D6C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1846" w:type="dxa"/>
            <w:vMerge w:val="restart"/>
            <w:tcBorders>
              <w:top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2C8C9E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adverse events</w:t>
            </w:r>
          </w:p>
        </w:tc>
        <w:tc>
          <w:tcPr>
            <w:tcW w:w="2738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31B8E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Grade 1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highlight w:val="none"/>
              </w:rPr>
              <w:t>–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2 n (%)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2CF34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203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90083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Grade 3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highlight w:val="none"/>
              </w:rPr>
              <w:t>–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4 n (%)</w:t>
            </w:r>
          </w:p>
        </w:tc>
        <w:tc>
          <w:tcPr>
            <w:tcW w:w="7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CEEE9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530C6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26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9AC21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Grade 5 n (%)</w:t>
            </w:r>
          </w:p>
        </w:tc>
      </w:tr>
      <w:tr w14:paraId="720D45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1846" w:type="dxa"/>
            <w:vMerge w:val="continue"/>
            <w:tcBorders>
              <w:top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2B6681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E8DB0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CRT </w:t>
            </w:r>
          </w:p>
          <w:p w14:paraId="7F94FF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1933D8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6D6A7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I-CRT </w:t>
            </w:r>
          </w:p>
          <w:p w14:paraId="5548F0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762D82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6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1DC78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25648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03C69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CRT</w:t>
            </w:r>
          </w:p>
          <w:p w14:paraId="41991A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224947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10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AF2F4D5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I-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CRT</w:t>
            </w:r>
          </w:p>
          <w:p w14:paraId="1422FE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38CB25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7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D1920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CCE17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FFE96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CRT </w:t>
            </w:r>
          </w:p>
          <w:p w14:paraId="791CFB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5A5E42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96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342EC8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I-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CRT</w:t>
            </w:r>
          </w:p>
          <w:p w14:paraId="2D8033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 </w:t>
            </w:r>
          </w:p>
          <w:p w14:paraId="76699B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70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AB171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P</w:t>
            </w:r>
          </w:p>
        </w:tc>
      </w:tr>
      <w:tr w14:paraId="0C96CF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single" w:color="000000" w:sz="8" w:space="0"/>
              <w:bottom w:val="nil"/>
              <w:right w:val="nil"/>
            </w:tcBorders>
            <w:vAlign w:val="center"/>
          </w:tcPr>
          <w:p w14:paraId="2126D1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Leukopenia</w:t>
            </w: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AA728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18456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 xml:space="preserve">23 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69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073AF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2DED6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5A929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4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90318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71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283CD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829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1FE4B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6D57C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B1DA9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D0CC8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112C39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0F8F45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Neutropenia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411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8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033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22.2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903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C31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C51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F8D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28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F1C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627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94E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156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60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B8B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2C5C20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0459EF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Anemia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2BE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CB4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C4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FA2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179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 (1.1)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B25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5A2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01F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25C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55F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C53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225CDD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60E7D9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Thrombocytopenia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EC8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723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44D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518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24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CC3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6.7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5C4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 (7.8)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733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028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AE1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B34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CE1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1EEE0A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3FC691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Pneumonitis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757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A12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074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054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244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7B9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F53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A50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381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1C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211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0AA0A2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single" w:color="000000" w:sz="8" w:space="0"/>
              <w:right w:val="nil"/>
            </w:tcBorders>
            <w:vAlign w:val="center"/>
          </w:tcPr>
          <w:p w14:paraId="35FE81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Esophagitis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9A39B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1FFC7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B4735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7FC7E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CF78E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E5E2D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270C4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0B270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78F00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E440F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7E233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</w:tbl>
    <w:p w14:paraId="4EE427AF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szCs w:val="21"/>
          <w:highlight w:val="none"/>
        </w:rPr>
        <w:t>CRT, chemoradiotherapy; I-CRT, immunochemotherapy plus chemoradiotherapy.</w:t>
      </w:r>
    </w:p>
    <w:p w14:paraId="223220E1">
      <w:pPr>
        <w:rPr>
          <w:rFonts w:hint="eastAsia" w:ascii="Times New Roman" w:hAnsi="Times New Roman" w:cs="Times New Roman" w:eastAsiaTheme="minorEastAsia"/>
          <w:szCs w:val="21"/>
          <w:highlight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C1B50FC">
      <w:pPr>
        <w:rPr>
          <w:rFonts w:hint="eastAsia" w:ascii="Times New Roman" w:hAnsi="Times New Roman" w:cs="Times New Roman" w:eastAsiaTheme="minorEastAsia"/>
          <w:szCs w:val="21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>10</w:t>
      </w:r>
      <w:r>
        <w:rPr>
          <w:rFonts w:ascii="Times New Roman" w:hAnsi="Times New Roman" w:cs="Times New Roman"/>
          <w:b/>
          <w:bCs/>
          <w:szCs w:val="21"/>
          <w:highlight w:val="none"/>
        </w:rPr>
        <w:t>.</w:t>
      </w:r>
      <w:r>
        <w:rPr>
          <w:rFonts w:hint="eastAsia" w:ascii="Times New Roman" w:hAnsi="Times New Roman" w:cs="Times New Roman"/>
          <w:b/>
          <w:bCs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Cs w:val="21"/>
          <w:highlight w:val="none"/>
        </w:rPr>
        <w:t>Adverse events during the CRT phase (matched cohort)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>.</w:t>
      </w:r>
    </w:p>
    <w:tbl>
      <w:tblPr>
        <w:tblStyle w:val="4"/>
        <w:tblW w:w="1042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1013"/>
        <w:gridCol w:w="1035"/>
        <w:gridCol w:w="690"/>
        <w:gridCol w:w="240"/>
        <w:gridCol w:w="990"/>
        <w:gridCol w:w="1042"/>
        <w:gridCol w:w="713"/>
        <w:gridCol w:w="240"/>
        <w:gridCol w:w="937"/>
        <w:gridCol w:w="968"/>
        <w:gridCol w:w="706"/>
      </w:tblGrid>
      <w:tr w14:paraId="1B41E1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1846" w:type="dxa"/>
            <w:vMerge w:val="restart"/>
            <w:tcBorders>
              <w:top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0E93AF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adverse events</w:t>
            </w:r>
          </w:p>
        </w:tc>
        <w:tc>
          <w:tcPr>
            <w:tcW w:w="2738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2E4DB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Grade 1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highlight w:val="none"/>
              </w:rPr>
              <w:t>–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2 n (%)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6A0D3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203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CCE7C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Grade 3</w:t>
            </w:r>
            <w:r>
              <w:rPr>
                <w:rFonts w:hint="default" w:ascii="Times New Roman" w:hAnsi="Times New Roman" w:cs="Times New Roman"/>
                <w:b w:val="0"/>
                <w:bCs/>
                <w:szCs w:val="21"/>
                <w:highlight w:val="none"/>
              </w:rPr>
              <w:t>–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4 n (%)</w:t>
            </w:r>
          </w:p>
        </w:tc>
        <w:tc>
          <w:tcPr>
            <w:tcW w:w="7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45C6C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CC2B7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261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D9B25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Grade 5 n (%)</w:t>
            </w:r>
          </w:p>
        </w:tc>
      </w:tr>
      <w:tr w14:paraId="346710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</w:trPr>
        <w:tc>
          <w:tcPr>
            <w:tcW w:w="1846" w:type="dxa"/>
            <w:vMerge w:val="continue"/>
            <w:tcBorders>
              <w:top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45DE32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CFBC6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CRT </w:t>
            </w:r>
          </w:p>
          <w:p w14:paraId="093062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32397C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7CEC1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I-CRT </w:t>
            </w:r>
          </w:p>
          <w:p w14:paraId="581C42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717E70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6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1E7E7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4E7B7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DAADA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CRT</w:t>
            </w:r>
          </w:p>
          <w:p w14:paraId="2AE5C4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19B56C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104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A160EF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I-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CRT</w:t>
            </w:r>
          </w:p>
          <w:p w14:paraId="0983C0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1A3D89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71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43014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A9A6B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17607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CRT </w:t>
            </w:r>
          </w:p>
          <w:p w14:paraId="6EF315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</w:p>
          <w:p w14:paraId="1CB735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96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E7D98E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I-</w:t>
            </w: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CRT</w:t>
            </w:r>
          </w:p>
          <w:p w14:paraId="0FE9CD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 xml:space="preserve"> </w:t>
            </w:r>
          </w:p>
          <w:p w14:paraId="211D76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(n = 90)</w:t>
            </w:r>
          </w:p>
        </w:tc>
        <w:tc>
          <w:tcPr>
            <w:tcW w:w="70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62C99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Cs w:val="21"/>
                <w:highlight w:val="none"/>
              </w:rPr>
              <w:t>P</w:t>
            </w:r>
          </w:p>
        </w:tc>
      </w:tr>
      <w:tr w14:paraId="7CC950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single" w:color="000000" w:sz="8" w:space="0"/>
              <w:bottom w:val="nil"/>
              <w:right w:val="nil"/>
            </w:tcBorders>
            <w:vAlign w:val="center"/>
          </w:tcPr>
          <w:p w14:paraId="07A765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Leukopenia</w:t>
            </w:r>
          </w:p>
        </w:tc>
        <w:tc>
          <w:tcPr>
            <w:tcW w:w="101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03351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EC23A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69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FA7AC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488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EB6BE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6BD736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(7.8)</w:t>
            </w:r>
          </w:p>
        </w:tc>
        <w:tc>
          <w:tcPr>
            <w:tcW w:w="104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66A9E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4.4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713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23C46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51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5CDC7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43A07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97321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BEC14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4B3C8B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47C840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Neutropenia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F3C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39F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(3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821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874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C8E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761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(7.8)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484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0EC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998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61F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495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95C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6AB938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6EA19F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Anemia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AE0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B3D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(7.8)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37B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CD7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000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012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A55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094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32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FE9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45D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596132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606988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Thrombocytopenia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55D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0C6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7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CF6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445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6E5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1A0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 xml:space="preserve">4 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(4.4)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090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 xml:space="preserve"> (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2.2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16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</w:t>
            </w:r>
            <w:r>
              <w:rPr>
                <w:rFonts w:hint="eastAsia" w:ascii="Times New Roman" w:hAnsi="Times New Roman" w:cs="Times New Roman"/>
                <w:szCs w:val="21"/>
                <w:highlight w:val="none"/>
                <w:lang w:val="en-US" w:eastAsia="zh-CN"/>
              </w:rPr>
              <w:t>682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440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A24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84E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DDF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163701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nil"/>
              <w:right w:val="nil"/>
            </w:tcBorders>
            <w:vAlign w:val="center"/>
          </w:tcPr>
          <w:p w14:paraId="052773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Pneumonitis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FDD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30 (33.3)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161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33 (36.7)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ACE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0.639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351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E16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4 (4.4)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A1D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5 (5.6)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066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AF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C3D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CD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 (1.1)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FA7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  <w:tr w14:paraId="6246BE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46" w:type="dxa"/>
            <w:tcBorders>
              <w:top w:val="nil"/>
              <w:bottom w:val="single" w:color="000000" w:sz="8" w:space="0"/>
              <w:right w:val="nil"/>
            </w:tcBorders>
            <w:vAlign w:val="center"/>
          </w:tcPr>
          <w:p w14:paraId="125D2C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Esophagitis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CBA3C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26 (28.9)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72524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24 (26.7)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3EA70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0.739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CF429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A6EA5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26FF3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B7960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94053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8F01D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994ED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0 (0.0)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C3762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szCs w:val="21"/>
                <w:highlight w:val="none"/>
              </w:rPr>
              <w:t>1.000</w:t>
            </w:r>
          </w:p>
        </w:tc>
      </w:tr>
    </w:tbl>
    <w:p w14:paraId="61AD7894">
      <w:pPr>
        <w:rPr>
          <w:rFonts w:ascii="Times New Roman" w:hAnsi="Times New Roman" w:cs="Times New Roman"/>
          <w:szCs w:val="21"/>
          <w:highlight w:val="none"/>
        </w:rPr>
      </w:pPr>
      <w:r>
        <w:rPr>
          <w:rFonts w:ascii="Times New Roman" w:hAnsi="Times New Roman" w:cs="Times New Roman"/>
          <w:szCs w:val="21"/>
          <w:highlight w:val="none"/>
        </w:rPr>
        <w:t>CRT, chemoradiotherapy; I-CRT, immunochemotherapy plus chemoradiotherapy.</w:t>
      </w:r>
    </w:p>
    <w:p w14:paraId="0E1E8835">
      <w:pPr>
        <w:rPr>
          <w:rFonts w:ascii="Times New Roman" w:hAnsi="Times New Roman" w:cs="Times New Roman"/>
          <w:szCs w:val="21"/>
          <w:highlight w:val="none"/>
        </w:rPr>
      </w:pPr>
    </w:p>
    <w:p w14:paraId="433D6FC0">
      <w:pPr>
        <w:spacing w:line="276" w:lineRule="auto"/>
        <w:rPr>
          <w:rFonts w:ascii="Times New Roman" w:hAnsi="Times New Roman" w:cs="Times New Roman"/>
          <w:szCs w:val="21"/>
          <w:highlight w:val="none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7B2C0D7">
      <w:pPr>
        <w:spacing w:line="276" w:lineRule="auto"/>
        <w:rPr>
          <w:rFonts w:ascii="Times New Roman" w:hAnsi="Times New Roman" w:cs="Times New Roman"/>
          <w:szCs w:val="21"/>
          <w:highlight w:val="none"/>
        </w:rPr>
      </w:pPr>
      <w:r>
        <w:rPr>
          <w:rFonts w:hint="eastAsia" w:ascii="Times New Roman" w:hAnsi="Times New Roman" w:cs="Times New Roman"/>
          <w:szCs w:val="21"/>
          <w:highlight w:val="none"/>
        </w:rPr>
        <w:drawing>
          <wp:inline distT="0" distB="0" distL="114300" distR="114300">
            <wp:extent cx="5268595" cy="7042785"/>
            <wp:effectExtent l="0" t="0" r="8255" b="5715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04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CA9A1">
      <w:pPr>
        <w:spacing w:line="276" w:lineRule="auto"/>
        <w:rPr>
          <w:rFonts w:ascii="Times New Roman" w:hAnsi="Times New Roman" w:eastAsia="宋体" w:cs="Times New Roman"/>
          <w:szCs w:val="21"/>
          <w:highlight w:val="none"/>
        </w:rPr>
      </w:pPr>
      <w:r>
        <w:rPr>
          <w:rFonts w:ascii="Times New Roman" w:hAnsi="Times New Roman" w:cs="Times New Roman"/>
          <w:b/>
          <w:bCs/>
          <w:szCs w:val="21"/>
          <w:highlight w:val="none"/>
        </w:rPr>
        <w:t>Supplementary Figure 1.</w:t>
      </w:r>
      <w:r>
        <w:rPr>
          <w:rFonts w:ascii="Times New Roman" w:hAnsi="Times New Roman" w:cs="Times New Roman"/>
          <w:szCs w:val="21"/>
          <w:highlight w:val="none"/>
        </w:rPr>
        <w:t xml:space="preserve"> Kaplan-Meier curves for OS </w:t>
      </w:r>
      <w:r>
        <w:rPr>
          <w:rFonts w:ascii="Times New Roman" w:hAnsi="Times New Roman" w:cs="Times New Roman"/>
          <w:b/>
          <w:bCs/>
          <w:szCs w:val="21"/>
          <w:highlight w:val="none"/>
        </w:rPr>
        <w:t>(A)</w:t>
      </w:r>
      <w:r>
        <w:rPr>
          <w:rFonts w:ascii="Times New Roman" w:hAnsi="Times New Roman" w:cs="Times New Roman"/>
          <w:szCs w:val="21"/>
          <w:highlight w:val="none"/>
        </w:rPr>
        <w:t xml:space="preserve"> and PFS </w:t>
      </w:r>
      <w:r>
        <w:rPr>
          <w:rFonts w:ascii="Times New Roman" w:hAnsi="Times New Roman" w:cs="Times New Roman"/>
          <w:b/>
          <w:bCs/>
          <w:szCs w:val="21"/>
          <w:highlight w:val="none"/>
        </w:rPr>
        <w:t>(B)</w:t>
      </w:r>
      <w:r>
        <w:rPr>
          <w:rFonts w:ascii="Times New Roman" w:hAnsi="Times New Roman" w:cs="Times New Roman"/>
          <w:szCs w:val="21"/>
          <w:highlight w:val="none"/>
        </w:rPr>
        <w:t xml:space="preserve"> after PSM, </w:t>
      </w:r>
      <w:r>
        <w:rPr>
          <w:rFonts w:ascii="Times New Roman" w:hAnsi="Times New Roman" w:eastAsia="宋体" w:cs="Times New Roman"/>
          <w:szCs w:val="21"/>
          <w:highlight w:val="none"/>
        </w:rPr>
        <w:t xml:space="preserve">comparing I-CRT patients receiving ≤3 </w:t>
      </w:r>
      <w:r>
        <w:rPr>
          <w:rFonts w:ascii="Times New Roman" w:hAnsi="Times New Roman" w:cs="Times New Roman"/>
          <w:szCs w:val="21"/>
          <w:highlight w:val="none"/>
        </w:rPr>
        <w:t>versus</w:t>
      </w:r>
      <w:r>
        <w:rPr>
          <w:rFonts w:ascii="Times New Roman" w:hAnsi="Times New Roman" w:eastAsia="宋体" w:cs="Times New Roman"/>
          <w:szCs w:val="21"/>
          <w:highlight w:val="none"/>
        </w:rPr>
        <w:t xml:space="preserve"> &gt;3 cycles of induction immunochemotherapy. OS, overall survival; PFS, progression-free survival; I-CRT, immunochemotherapy plus chemoradiotherapy; PSM, propensity score matching.</w:t>
      </w:r>
    </w:p>
    <w:p w14:paraId="45340576">
      <w:pPr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E17C65">
      <w:pPr>
        <w:rPr>
          <w:rFonts w:hint="eastAsia" w:ascii="Times New Roman" w:hAnsi="Times New Roman" w:cs="Times New Roman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drawing>
          <wp:inline distT="0" distB="0" distL="114300" distR="114300">
            <wp:extent cx="5273040" cy="3636645"/>
            <wp:effectExtent l="0" t="0" r="3810" b="1905"/>
            <wp:docPr id="6" name="图片 6" descr="补充表-PDL1（不带PSM字样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补充表-PDL1（不带PSM字样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02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Supplementary Fig. 2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comparing patients treated with PD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1 versus PD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L1 inhibitors before PSM. 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comparing patients treated with PD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1 versus PD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L1 inhibitors after PSM. OS, overall survival; PFS, progression-free survival; PSM, propensity score matching.</w:t>
      </w:r>
    </w:p>
    <w:p w14:paraId="3593A657">
      <w:pP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44B0330">
      <w:pPr>
        <w:rPr>
          <w:rFonts w:hint="eastAsia" w:ascii="Times New Roman" w:hAnsi="Times New Roman" w:cs="Times New Roman" w:eastAsiaTheme="minorEastAsia"/>
          <w:szCs w:val="21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szCs w:val="21"/>
          <w:highlight w:val="none"/>
          <w:lang w:eastAsia="zh-CN"/>
        </w:rPr>
        <w:drawing>
          <wp:inline distT="0" distB="0" distL="114300" distR="114300">
            <wp:extent cx="5273040" cy="3644265"/>
            <wp:effectExtent l="0" t="0" r="3810" b="3810"/>
            <wp:docPr id="7" name="图片 7" descr="去除大分割（不带PSM字样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去除大分割（不带PSM字样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4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E7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default" w:ascii="Times New Roman" w:hAnsi="Times New Roman" w:cs="Times New Roman"/>
          <w:b w:val="0"/>
          <w:bCs w:val="0"/>
          <w:color w:val="0000FF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Supplementary Fig. 3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Exploratory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 analysis excluding Hypofractionated Radiotherapy: 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comparing the I-CRT and CRT groups before PSM. 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) comparing the I-CRT and CRT groups after PSM. OS, overall survival; PFS, progression-free survival; </w:t>
      </w:r>
      <w:r>
        <w:rPr>
          <w:rFonts w:ascii="Times New Roman" w:hAnsi="Times New Roman" w:cs="Times New Roman"/>
          <w:szCs w:val="21"/>
          <w:highlight w:val="none"/>
        </w:rPr>
        <w:t>CRT, chemoradiotherapy; I-CRT, immunochemotherapy plus chemoradiotherapy;</w:t>
      </w:r>
      <w:r>
        <w:rPr>
          <w:rFonts w:hint="eastAsia" w:ascii="Times New Roman" w:hAnsi="Times New Roman" w:cs="Times New Roman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PSM, propensity score matching.</w:t>
      </w:r>
    </w:p>
    <w:p w14:paraId="5E0A2414">
      <w:pPr>
        <w:rPr>
          <w:rFonts w:ascii="Times New Roman" w:hAnsi="Times New Roman" w:cs="Times New Roman"/>
          <w:szCs w:val="2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E8BE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default" w:ascii="Times New Roman" w:hAnsi="Times New Roman" w:cs="Times New Roman"/>
          <w:b w:val="0"/>
          <w:bCs w:val="0"/>
          <w:color w:val="0000FF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FF"/>
          <w:sz w:val="21"/>
          <w:szCs w:val="21"/>
          <w:highlight w:val="none"/>
          <w:lang w:val="en-US" w:eastAsia="zh-CN"/>
        </w:rPr>
        <w:drawing>
          <wp:inline distT="0" distB="0" distL="114300" distR="114300">
            <wp:extent cx="5273040" cy="3639185"/>
            <wp:effectExtent l="0" t="0" r="3810" b="8890"/>
            <wp:docPr id="8" name="图片 8" descr="SCRT（不带PSM字样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CRT（不带PSM字样）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DD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 xml:space="preserve">Supplementary Fig.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Outcomes in the sequential CRT stratum: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comparing I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CRT versus CRT before PSM. 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comparing I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CRT versus CRT after PSM. OS, overall survival; PFS, progression-free survival;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"/>
        </w:rPr>
        <w:t>CRT, chemoradiotherapy; I-CRT, immunochemotherapy plus chemoradiotherapy;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PSM, propensity score matching.</w:t>
      </w:r>
    </w:p>
    <w:p w14:paraId="2CBEB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</w:pPr>
    </w:p>
    <w:p w14:paraId="755E0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4DA2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="0" w:leftChars="0" w:firstLine="0" w:firstLineChars="0"/>
        <w:textAlignment w:val="auto"/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drawing>
          <wp:inline distT="0" distB="0" distL="114300" distR="114300">
            <wp:extent cx="5273040" cy="3638550"/>
            <wp:effectExtent l="0" t="0" r="3810" b="0"/>
            <wp:docPr id="4" name="图片 4" descr="psm1：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psm1：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86B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4" w:lineRule="auto"/>
        <w:ind w:left="0" w:leftChars="0" w:firstLine="0" w:firstLineChars="0"/>
        <w:textAlignment w:val="auto"/>
        <w:rPr>
          <w:rFonts w:ascii="Times New Roman" w:hAnsi="Times New Roman" w:cs="Times New Roman"/>
          <w:szCs w:val="21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 xml:space="preserve">Supplementary Fig. </w:t>
      </w:r>
      <w:r>
        <w:rPr>
          <w:rFonts w:hint="eastAsia" w:ascii="Times New Roman" w:hAnsi="Times New Roman" w:cs="Times New Roman"/>
          <w:b/>
          <w:bCs/>
          <w:color w:val="auto"/>
          <w:sz w:val="21"/>
          <w:szCs w:val="21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 xml:space="preserve"> Outcomes in the concurrent CRT stratum: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comparing I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CRT versus CRT before PSM. Kaplan-Meier curves for OS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and PFS (</w:t>
      </w:r>
      <w:r>
        <w:rPr>
          <w:rFonts w:hint="eastAsia" w:ascii="Times New Roman" w:hAnsi="Times New Roman" w:cs="Times New Roman"/>
          <w:b/>
          <w:bCs/>
          <w:sz w:val="21"/>
          <w:szCs w:val="21"/>
          <w:highlight w:val="none"/>
          <w:lang w:val="en-US" w:eastAsia="zh-CN"/>
        </w:rPr>
        <w:t>D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) comparing I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noBreakHyphen/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 xml:space="preserve">CRT versus CRT after PSM. OS, overall survival; PFS, progression-free survival; 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"/>
        </w:rPr>
        <w:t>CRT, chemoradiotherapy; I-CRT, immunochemotherapy plus chemoradiotherapy;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highlight w:val="none"/>
          <w:lang w:val="en-US" w:eastAsia="zh-CN"/>
        </w:rPr>
        <w:t>PSM, propensity score matching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626"/>
    <w:rsid w:val="00125166"/>
    <w:rsid w:val="004D4649"/>
    <w:rsid w:val="005C7626"/>
    <w:rsid w:val="0066795B"/>
    <w:rsid w:val="007004BF"/>
    <w:rsid w:val="007E4B02"/>
    <w:rsid w:val="0095683A"/>
    <w:rsid w:val="00981837"/>
    <w:rsid w:val="00A60270"/>
    <w:rsid w:val="00AD7338"/>
    <w:rsid w:val="00C07CAF"/>
    <w:rsid w:val="00C6664C"/>
    <w:rsid w:val="00D348C5"/>
    <w:rsid w:val="00DC620E"/>
    <w:rsid w:val="01853E11"/>
    <w:rsid w:val="02B7624C"/>
    <w:rsid w:val="03B22EB7"/>
    <w:rsid w:val="03E017D2"/>
    <w:rsid w:val="03F4702C"/>
    <w:rsid w:val="0442423B"/>
    <w:rsid w:val="04567CE7"/>
    <w:rsid w:val="04A171B4"/>
    <w:rsid w:val="04B14F1D"/>
    <w:rsid w:val="04BC365E"/>
    <w:rsid w:val="05B922DB"/>
    <w:rsid w:val="062F259D"/>
    <w:rsid w:val="07972AF0"/>
    <w:rsid w:val="07CB777B"/>
    <w:rsid w:val="080041F1"/>
    <w:rsid w:val="08607386"/>
    <w:rsid w:val="08CC0577"/>
    <w:rsid w:val="08FB2C0B"/>
    <w:rsid w:val="0906710B"/>
    <w:rsid w:val="092C1016"/>
    <w:rsid w:val="094620D8"/>
    <w:rsid w:val="095F13EB"/>
    <w:rsid w:val="0A93759F"/>
    <w:rsid w:val="0AFF4706"/>
    <w:rsid w:val="0BF027CF"/>
    <w:rsid w:val="0D175DE3"/>
    <w:rsid w:val="0D4E59FF"/>
    <w:rsid w:val="0D643474"/>
    <w:rsid w:val="0D8E229F"/>
    <w:rsid w:val="0E146C48"/>
    <w:rsid w:val="0E2A1FC8"/>
    <w:rsid w:val="0E5B4877"/>
    <w:rsid w:val="0F8B02EB"/>
    <w:rsid w:val="10616D58"/>
    <w:rsid w:val="108654B0"/>
    <w:rsid w:val="10D044AA"/>
    <w:rsid w:val="11731ED8"/>
    <w:rsid w:val="11800151"/>
    <w:rsid w:val="11BD3153"/>
    <w:rsid w:val="11CD7E2D"/>
    <w:rsid w:val="11EB5F12"/>
    <w:rsid w:val="12AB744F"/>
    <w:rsid w:val="12BE716A"/>
    <w:rsid w:val="1356385F"/>
    <w:rsid w:val="13712447"/>
    <w:rsid w:val="1376180B"/>
    <w:rsid w:val="138E4DA7"/>
    <w:rsid w:val="139E0D62"/>
    <w:rsid w:val="13CA1B57"/>
    <w:rsid w:val="13DD7ADC"/>
    <w:rsid w:val="13DF5603"/>
    <w:rsid w:val="13E1581F"/>
    <w:rsid w:val="142A7204"/>
    <w:rsid w:val="142E20E6"/>
    <w:rsid w:val="145D0881"/>
    <w:rsid w:val="145F04F1"/>
    <w:rsid w:val="146A12C7"/>
    <w:rsid w:val="14C03686"/>
    <w:rsid w:val="15453B8B"/>
    <w:rsid w:val="15545B7C"/>
    <w:rsid w:val="15995C85"/>
    <w:rsid w:val="1658169C"/>
    <w:rsid w:val="169A1CB5"/>
    <w:rsid w:val="17163A31"/>
    <w:rsid w:val="17326391"/>
    <w:rsid w:val="173714F6"/>
    <w:rsid w:val="17C074F9"/>
    <w:rsid w:val="181B2993"/>
    <w:rsid w:val="184243B2"/>
    <w:rsid w:val="190F0738"/>
    <w:rsid w:val="191A0E8B"/>
    <w:rsid w:val="196B7938"/>
    <w:rsid w:val="19DF40F0"/>
    <w:rsid w:val="1A051B3B"/>
    <w:rsid w:val="1A1A3838"/>
    <w:rsid w:val="1ADA6B24"/>
    <w:rsid w:val="1ADC6D40"/>
    <w:rsid w:val="1BBA312A"/>
    <w:rsid w:val="1BC33A5C"/>
    <w:rsid w:val="1C0227D6"/>
    <w:rsid w:val="1C3F7586"/>
    <w:rsid w:val="1C73723E"/>
    <w:rsid w:val="1D322C47"/>
    <w:rsid w:val="1DB573D4"/>
    <w:rsid w:val="1DD45AAC"/>
    <w:rsid w:val="1DE877AA"/>
    <w:rsid w:val="1E067C30"/>
    <w:rsid w:val="1E450758"/>
    <w:rsid w:val="1E8474D2"/>
    <w:rsid w:val="1EB853CE"/>
    <w:rsid w:val="1EC91389"/>
    <w:rsid w:val="1F372797"/>
    <w:rsid w:val="1F645556"/>
    <w:rsid w:val="1FF95C9E"/>
    <w:rsid w:val="212307EB"/>
    <w:rsid w:val="214967B1"/>
    <w:rsid w:val="216B497A"/>
    <w:rsid w:val="220F17A9"/>
    <w:rsid w:val="226118D9"/>
    <w:rsid w:val="22835CF3"/>
    <w:rsid w:val="22E26EBD"/>
    <w:rsid w:val="22F4099F"/>
    <w:rsid w:val="232474D6"/>
    <w:rsid w:val="23AD73A3"/>
    <w:rsid w:val="24127EF7"/>
    <w:rsid w:val="243C43AB"/>
    <w:rsid w:val="2454306B"/>
    <w:rsid w:val="24762109"/>
    <w:rsid w:val="25AC38D5"/>
    <w:rsid w:val="25F0369F"/>
    <w:rsid w:val="270D202F"/>
    <w:rsid w:val="27787DF0"/>
    <w:rsid w:val="27BB1A8B"/>
    <w:rsid w:val="27D03788"/>
    <w:rsid w:val="27D843EB"/>
    <w:rsid w:val="27E64D5A"/>
    <w:rsid w:val="282E04AF"/>
    <w:rsid w:val="28CA0B7C"/>
    <w:rsid w:val="290A4A78"/>
    <w:rsid w:val="29AC6145"/>
    <w:rsid w:val="29BF1D06"/>
    <w:rsid w:val="2A8E3487"/>
    <w:rsid w:val="2A9036A3"/>
    <w:rsid w:val="2A97233B"/>
    <w:rsid w:val="2A9F19FC"/>
    <w:rsid w:val="2B634913"/>
    <w:rsid w:val="2BDB26FC"/>
    <w:rsid w:val="2BDE3F9A"/>
    <w:rsid w:val="2C5524AE"/>
    <w:rsid w:val="2C7A3CC3"/>
    <w:rsid w:val="2D3518B8"/>
    <w:rsid w:val="2EFA733D"/>
    <w:rsid w:val="2F1403FE"/>
    <w:rsid w:val="2F511653"/>
    <w:rsid w:val="2FA31782"/>
    <w:rsid w:val="30316D8E"/>
    <w:rsid w:val="305B3E0B"/>
    <w:rsid w:val="309C68FD"/>
    <w:rsid w:val="30B56C49"/>
    <w:rsid w:val="31CA56EC"/>
    <w:rsid w:val="320F4EAD"/>
    <w:rsid w:val="328238D1"/>
    <w:rsid w:val="329B4993"/>
    <w:rsid w:val="329D705A"/>
    <w:rsid w:val="32A23F73"/>
    <w:rsid w:val="32E4633A"/>
    <w:rsid w:val="32F53FB6"/>
    <w:rsid w:val="3321133C"/>
    <w:rsid w:val="33CD6DCE"/>
    <w:rsid w:val="3461207D"/>
    <w:rsid w:val="347436ED"/>
    <w:rsid w:val="348E47AF"/>
    <w:rsid w:val="34C24459"/>
    <w:rsid w:val="34DB551B"/>
    <w:rsid w:val="35CA11B9"/>
    <w:rsid w:val="35E52AF5"/>
    <w:rsid w:val="36592B9B"/>
    <w:rsid w:val="3679323D"/>
    <w:rsid w:val="367F1169"/>
    <w:rsid w:val="383C5F9A"/>
    <w:rsid w:val="386D0B7F"/>
    <w:rsid w:val="39561614"/>
    <w:rsid w:val="39A700C1"/>
    <w:rsid w:val="3A145757"/>
    <w:rsid w:val="3A185D48"/>
    <w:rsid w:val="3A3E4582"/>
    <w:rsid w:val="3ADB0022"/>
    <w:rsid w:val="3B190B4B"/>
    <w:rsid w:val="3BC93FB9"/>
    <w:rsid w:val="3CA37266"/>
    <w:rsid w:val="3CAE3557"/>
    <w:rsid w:val="3DE2791A"/>
    <w:rsid w:val="3DE6740A"/>
    <w:rsid w:val="3DF17B5D"/>
    <w:rsid w:val="3E500D27"/>
    <w:rsid w:val="3EC62D97"/>
    <w:rsid w:val="3F6A5E19"/>
    <w:rsid w:val="400E49F6"/>
    <w:rsid w:val="40B05AAD"/>
    <w:rsid w:val="4143073E"/>
    <w:rsid w:val="41434B73"/>
    <w:rsid w:val="416D1FB5"/>
    <w:rsid w:val="41735459"/>
    <w:rsid w:val="4191768D"/>
    <w:rsid w:val="41B82E6B"/>
    <w:rsid w:val="41C31810"/>
    <w:rsid w:val="41F61BE6"/>
    <w:rsid w:val="42044303"/>
    <w:rsid w:val="422C1AAB"/>
    <w:rsid w:val="42BD2703"/>
    <w:rsid w:val="42BF231A"/>
    <w:rsid w:val="43394480"/>
    <w:rsid w:val="434F15AD"/>
    <w:rsid w:val="43943464"/>
    <w:rsid w:val="43CC2BFE"/>
    <w:rsid w:val="43E55CD4"/>
    <w:rsid w:val="44446C38"/>
    <w:rsid w:val="4456696C"/>
    <w:rsid w:val="446A2417"/>
    <w:rsid w:val="44D501D8"/>
    <w:rsid w:val="45513D03"/>
    <w:rsid w:val="458A4B1F"/>
    <w:rsid w:val="45BC6CA2"/>
    <w:rsid w:val="46003033"/>
    <w:rsid w:val="46845A12"/>
    <w:rsid w:val="46971BE9"/>
    <w:rsid w:val="47242D51"/>
    <w:rsid w:val="47705F96"/>
    <w:rsid w:val="47B75973"/>
    <w:rsid w:val="48270D4B"/>
    <w:rsid w:val="486A50DB"/>
    <w:rsid w:val="48A73C3A"/>
    <w:rsid w:val="490B41C9"/>
    <w:rsid w:val="4929734E"/>
    <w:rsid w:val="49380D36"/>
    <w:rsid w:val="49520049"/>
    <w:rsid w:val="499A72FA"/>
    <w:rsid w:val="49A60395"/>
    <w:rsid w:val="49D62A28"/>
    <w:rsid w:val="49EC224C"/>
    <w:rsid w:val="4B6B0F4E"/>
    <w:rsid w:val="4C2D26A8"/>
    <w:rsid w:val="4C6065D9"/>
    <w:rsid w:val="4CE0596C"/>
    <w:rsid w:val="4D4E28D6"/>
    <w:rsid w:val="4D73233C"/>
    <w:rsid w:val="4E712D20"/>
    <w:rsid w:val="4E926A60"/>
    <w:rsid w:val="4F5166AD"/>
    <w:rsid w:val="4F7C5E20"/>
    <w:rsid w:val="50323D78"/>
    <w:rsid w:val="50650662"/>
    <w:rsid w:val="50E83041"/>
    <w:rsid w:val="511913A4"/>
    <w:rsid w:val="51CB2747"/>
    <w:rsid w:val="51FB0B52"/>
    <w:rsid w:val="52263E21"/>
    <w:rsid w:val="525C3CE7"/>
    <w:rsid w:val="52C84ED8"/>
    <w:rsid w:val="52E066C6"/>
    <w:rsid w:val="52E361B6"/>
    <w:rsid w:val="52F45CCD"/>
    <w:rsid w:val="536651D5"/>
    <w:rsid w:val="53682217"/>
    <w:rsid w:val="53B813F1"/>
    <w:rsid w:val="540E1011"/>
    <w:rsid w:val="546649A9"/>
    <w:rsid w:val="54DC110F"/>
    <w:rsid w:val="55142657"/>
    <w:rsid w:val="5531145B"/>
    <w:rsid w:val="56026953"/>
    <w:rsid w:val="563034C0"/>
    <w:rsid w:val="563A7E9B"/>
    <w:rsid w:val="56554CD5"/>
    <w:rsid w:val="56E16569"/>
    <w:rsid w:val="56F444EE"/>
    <w:rsid w:val="571A1A7B"/>
    <w:rsid w:val="57F95B34"/>
    <w:rsid w:val="58B8154B"/>
    <w:rsid w:val="58EC59A6"/>
    <w:rsid w:val="58F72073"/>
    <w:rsid w:val="59036C6A"/>
    <w:rsid w:val="593C03CE"/>
    <w:rsid w:val="597E7244"/>
    <w:rsid w:val="59D2488F"/>
    <w:rsid w:val="5A90452E"/>
    <w:rsid w:val="5AB20948"/>
    <w:rsid w:val="5AF30F60"/>
    <w:rsid w:val="5B1C2265"/>
    <w:rsid w:val="5B423069"/>
    <w:rsid w:val="5B484E08"/>
    <w:rsid w:val="5B721E85"/>
    <w:rsid w:val="5BD90156"/>
    <w:rsid w:val="5C6F4617"/>
    <w:rsid w:val="5C78796F"/>
    <w:rsid w:val="5D1551BE"/>
    <w:rsid w:val="5D6121B1"/>
    <w:rsid w:val="5D814602"/>
    <w:rsid w:val="5D83037A"/>
    <w:rsid w:val="5EAE1426"/>
    <w:rsid w:val="5ED30FD4"/>
    <w:rsid w:val="5F1F40D2"/>
    <w:rsid w:val="5F37766E"/>
    <w:rsid w:val="5F64242D"/>
    <w:rsid w:val="5F9525E6"/>
    <w:rsid w:val="60206354"/>
    <w:rsid w:val="60563B24"/>
    <w:rsid w:val="608A1A1F"/>
    <w:rsid w:val="60CC028A"/>
    <w:rsid w:val="60D96503"/>
    <w:rsid w:val="60E76E71"/>
    <w:rsid w:val="610C0686"/>
    <w:rsid w:val="617B75FE"/>
    <w:rsid w:val="61E95C00"/>
    <w:rsid w:val="625B18C5"/>
    <w:rsid w:val="62650996"/>
    <w:rsid w:val="628801E0"/>
    <w:rsid w:val="629E7A04"/>
    <w:rsid w:val="63286425"/>
    <w:rsid w:val="633B34A5"/>
    <w:rsid w:val="6449399F"/>
    <w:rsid w:val="64FF0C2E"/>
    <w:rsid w:val="650F4BE9"/>
    <w:rsid w:val="651B533C"/>
    <w:rsid w:val="65F8567D"/>
    <w:rsid w:val="67D0065F"/>
    <w:rsid w:val="68FD10B6"/>
    <w:rsid w:val="6A9B7263"/>
    <w:rsid w:val="6B4F2D1C"/>
    <w:rsid w:val="6B9320D0"/>
    <w:rsid w:val="6BC26511"/>
    <w:rsid w:val="6BCE3A0D"/>
    <w:rsid w:val="6CA33B4D"/>
    <w:rsid w:val="6CCE0EE6"/>
    <w:rsid w:val="6CE34991"/>
    <w:rsid w:val="6CF92406"/>
    <w:rsid w:val="6D365409"/>
    <w:rsid w:val="6D401DE3"/>
    <w:rsid w:val="6D531695"/>
    <w:rsid w:val="6DD30EA9"/>
    <w:rsid w:val="6E0F17B6"/>
    <w:rsid w:val="6E6C09B6"/>
    <w:rsid w:val="6E7D0E15"/>
    <w:rsid w:val="6EA2262A"/>
    <w:rsid w:val="7047792D"/>
    <w:rsid w:val="70893AA1"/>
    <w:rsid w:val="711461F7"/>
    <w:rsid w:val="71BC3298"/>
    <w:rsid w:val="71D40D4C"/>
    <w:rsid w:val="72834520"/>
    <w:rsid w:val="73702CF6"/>
    <w:rsid w:val="7386100C"/>
    <w:rsid w:val="73F531FC"/>
    <w:rsid w:val="74424693"/>
    <w:rsid w:val="745919DD"/>
    <w:rsid w:val="74604B19"/>
    <w:rsid w:val="74A62F76"/>
    <w:rsid w:val="74E27C24"/>
    <w:rsid w:val="75367B70"/>
    <w:rsid w:val="75C17839"/>
    <w:rsid w:val="760F453B"/>
    <w:rsid w:val="763D7808"/>
    <w:rsid w:val="77350B62"/>
    <w:rsid w:val="77C67389"/>
    <w:rsid w:val="77E31CE9"/>
    <w:rsid w:val="78081C2B"/>
    <w:rsid w:val="78520C1D"/>
    <w:rsid w:val="786F7A21"/>
    <w:rsid w:val="789D27E0"/>
    <w:rsid w:val="798219D5"/>
    <w:rsid w:val="79A96F62"/>
    <w:rsid w:val="79FA156C"/>
    <w:rsid w:val="7A480258"/>
    <w:rsid w:val="7A4F7B0A"/>
    <w:rsid w:val="7A5A200A"/>
    <w:rsid w:val="7B2C7846"/>
    <w:rsid w:val="7B6B0973"/>
    <w:rsid w:val="7BFF730D"/>
    <w:rsid w:val="7C5B5C25"/>
    <w:rsid w:val="7CC06A9D"/>
    <w:rsid w:val="7D456FA2"/>
    <w:rsid w:val="7D733B0F"/>
    <w:rsid w:val="7D7B29C4"/>
    <w:rsid w:val="7D8F646F"/>
    <w:rsid w:val="7DD52996"/>
    <w:rsid w:val="7E2E7A36"/>
    <w:rsid w:val="7EDE320A"/>
    <w:rsid w:val="7EEA7E01"/>
    <w:rsid w:val="7F126607"/>
    <w:rsid w:val="7F530EE5"/>
    <w:rsid w:val="7FAC155A"/>
    <w:rsid w:val="7FB623D9"/>
    <w:rsid w:val="7FC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Cambria" w:hAnsi="Cambria" w:eastAsia="Cambria" w:cs="Cambria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729</Words>
  <Characters>3694</Characters>
  <Lines>377</Lines>
  <Paragraphs>264</Paragraphs>
  <TotalTime>0</TotalTime>
  <ScaleCrop>false</ScaleCrop>
  <LinksUpToDate>false</LinksUpToDate>
  <CharactersWithSpaces>4106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2025-11-10T01:11:00Z</dcterms:created>
  <dc:creator>xinhou</dc:creator>
  <cp:lastModifiedBy>再见二丁目</cp:lastModifiedBy>
  <dcterms:modified xsi:type="dcterms:W3CDTF">2026-01-12T14:58:47Z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eyJoZGlkIjoiMjM4MTVjMThkYzQ4ZDJmNGIxNTliZTBmMzAzMDc2ZjYiLCJ1c2VySWQiOiIxMDYxNjg1NTg4In0=</vt:lpwstr>
  </property>
  <property fmtid="{D5CDD505-2E9C-101B-9397-08002B2CF9AE}" pid="4" name="ICV">
    <vt:lpwstr>DD67CC0E42C94AA785AC9E5ABF47A18F_13</vt:lpwstr>
  </property>
</Properties>
</file>