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138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Tables</w:t>
      </w:r>
      <w:bookmarkStart w:id="0" w:name="_GoBack"/>
      <w:bookmarkEnd w:id="0"/>
    </w:p>
    <w:tbl>
      <w:tblPr>
        <w:tblStyle w:val="2"/>
        <w:tblW w:w="648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8"/>
        <w:gridCol w:w="2912"/>
      </w:tblGrid>
      <w:tr w14:paraId="60EED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A5F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Supplementary Table 1</w:t>
            </w:r>
            <w:r>
              <w:rPr>
                <w:rStyle w:val="5"/>
                <w:rFonts w:hint="eastAsia" w:ascii="Times New Roman" w:hAnsi="Times New Roman" w:eastAsia="宋体" w:cs="Times New Roman"/>
                <w:lang w:val="en-US" w:eastAsia="zh-CN" w:bidi="ar"/>
              </w:rPr>
              <w:t>.</w:t>
            </w: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 xml:space="preserve"> Baseline characteristics of NPC patients with “D-D-D” type</w:t>
            </w:r>
            <w:r>
              <w:rPr>
                <w:rStyle w:val="5"/>
                <w:rFonts w:hint="default" w:ascii="Times New Roman" w:hAnsi="Times New Roman" w:eastAsia="宋体" w:cs="Times New Roman"/>
                <w:vertAlign w:val="superscript"/>
                <w:lang w:val="en-US" w:eastAsia="zh-CN" w:bidi="ar"/>
              </w:rPr>
              <w:t>*</w:t>
            </w:r>
          </w:p>
        </w:tc>
      </w:tr>
      <w:tr w14:paraId="27669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356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7095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291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FAAA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(N = 295)</w:t>
            </w:r>
          </w:p>
        </w:tc>
      </w:tr>
      <w:tr w14:paraId="6B3FB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D2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(IQR, years)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24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 (41, 55)</w:t>
            </w:r>
          </w:p>
        </w:tc>
      </w:tr>
      <w:tr w14:paraId="05299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BA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Sex, n (%)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6455E">
            <w:pPr>
              <w:jc w:val="left"/>
              <w:rPr>
                <w:rFonts w:hint="default" w:ascii="Times New Roman" w:hAnsi="Times New Roman" w:eastAsia="Cambri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B1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C4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33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 (78.0)</w:t>
            </w:r>
          </w:p>
        </w:tc>
      </w:tr>
      <w:tr w14:paraId="28BB5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47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85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 (22.0)</w:t>
            </w:r>
          </w:p>
        </w:tc>
      </w:tr>
      <w:tr w14:paraId="0340B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36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 category, n (%)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FC461">
            <w:pPr>
              <w:jc w:val="left"/>
              <w:rPr>
                <w:rFonts w:hint="default" w:ascii="Times New Roman" w:hAnsi="Times New Roman" w:eastAsia="Cambri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16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E3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T1-2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B1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 (34.9)</w:t>
            </w:r>
          </w:p>
        </w:tc>
      </w:tr>
      <w:tr w14:paraId="1C489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5E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T3-4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7A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 (65.1)</w:t>
            </w:r>
          </w:p>
        </w:tc>
      </w:tr>
      <w:tr w14:paraId="62E86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0D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 category, n (%)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378F6">
            <w:pPr>
              <w:jc w:val="left"/>
              <w:rPr>
                <w:rFonts w:hint="default" w:ascii="Times New Roman" w:hAnsi="Times New Roman" w:eastAsia="Cambri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23C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FF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N0-1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EE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 (31.2)</w:t>
            </w:r>
          </w:p>
        </w:tc>
      </w:tr>
      <w:tr w14:paraId="7CE76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49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N2-3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41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 (68.8)</w:t>
            </w:r>
          </w:p>
        </w:tc>
      </w:tr>
      <w:tr w14:paraId="7FAA8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FE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Stage, n (%)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3E05F">
            <w:pPr>
              <w:jc w:val="left"/>
              <w:rPr>
                <w:rFonts w:hint="default" w:ascii="Times New Roman" w:hAnsi="Times New Roman" w:eastAsia="Cambri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8D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8B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Stage Ⅱ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C3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 (3.7)</w:t>
            </w:r>
          </w:p>
        </w:tc>
      </w:tr>
      <w:tr w14:paraId="59AFA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7B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Stage Ⅲ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6D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 (39.3)</w:t>
            </w:r>
          </w:p>
        </w:tc>
      </w:tr>
      <w:tr w14:paraId="29CAC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5D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Stage Ⅳa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5C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 (57.0)</w:t>
            </w:r>
          </w:p>
        </w:tc>
      </w:tr>
      <w:tr w14:paraId="309B9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AF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EBV DNA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bscript"/>
                <w:lang w:val="en-US" w:eastAsia="zh-CN" w:bidi="ar"/>
              </w:rPr>
              <w:t>baseline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(IQR, copies/mL)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2C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7640.00 (1590.00, 40750.00)</w:t>
            </w:r>
          </w:p>
        </w:tc>
      </w:tr>
      <w:tr w14:paraId="434D6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B0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EBV DNA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bscript"/>
                <w:lang w:val="en-US" w:eastAsia="zh-CN" w:bidi="ar"/>
              </w:rPr>
              <w:t>post-IC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(IQR, copies/mL)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74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1000.00 (215.50, 6220.00)</w:t>
            </w:r>
          </w:p>
        </w:tc>
      </w:tr>
      <w:tr w14:paraId="24E50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A4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EBV DNA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bscript"/>
                <w:lang w:val="en-US" w:eastAsia="zh-CN" w:bidi="ar"/>
              </w:rPr>
              <w:t>post-RT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(IQR, copies/mL)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91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 (48.95, 412.00)</w:t>
            </w:r>
          </w:p>
        </w:tc>
      </w:tr>
      <w:tr w14:paraId="76F3E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E9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GTV-T, Gy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42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70.00 (69.96, 70.95)</w:t>
            </w:r>
          </w:p>
        </w:tc>
      </w:tr>
      <w:tr w14:paraId="525FF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85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GTV-N, Gy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BB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69.96 (69.30, 71.88)</w:t>
            </w:r>
          </w:p>
        </w:tc>
      </w:tr>
      <w:tr w14:paraId="3904A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DD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 region, n (%)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0676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1E4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9A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GP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ED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 (57.3)</w:t>
            </w:r>
          </w:p>
        </w:tc>
      </w:tr>
      <w:tr w14:paraId="1F09B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C0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65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 (39.3)</w:t>
            </w:r>
          </w:p>
        </w:tc>
      </w:tr>
      <w:tr w14:paraId="10987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98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D8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(3.4)</w:t>
            </w:r>
          </w:p>
        </w:tc>
      </w:tr>
      <w:tr w14:paraId="44839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90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Concurrent  chemotherapy, n (%)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253F0">
            <w:pPr>
              <w:jc w:val="left"/>
              <w:rPr>
                <w:rFonts w:hint="default" w:ascii="Times New Roman" w:hAnsi="Times New Roman" w:eastAsia="Cambri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5E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70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3D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 (26.8)</w:t>
            </w:r>
          </w:p>
        </w:tc>
      </w:tr>
      <w:tr w14:paraId="2DD3A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A8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69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 (73.2)</w:t>
            </w:r>
          </w:p>
        </w:tc>
      </w:tr>
      <w:tr w14:paraId="7C351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D7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Adjuvant chemotherapy, n (%)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11F17">
            <w:pPr>
              <w:jc w:val="left"/>
              <w:rPr>
                <w:rFonts w:hint="default" w:ascii="Times New Roman" w:hAnsi="Times New Roman" w:eastAsia="Cambria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29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9A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83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 (86.4)</w:t>
            </w:r>
          </w:p>
        </w:tc>
      </w:tr>
      <w:tr w14:paraId="30D76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356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8FD5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291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908F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 (13.6)</w:t>
            </w:r>
          </w:p>
        </w:tc>
      </w:tr>
      <w:tr w14:paraId="5E1D4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BB6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Continuous variables were represented as median with IQR; while categorical data were represented as absolute values and proportions.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Patients with EBV DNA persistent-positivity during treatment, that is, those whose EBV DNA was positive at baseline, post-IC, and postRT.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D, detectable; EBV DNA, Epstein-Barr virus DNA; GTV-N, gross tumor volume of lymph nodes; GP, gemcitabine combined with platinum; GTV-T, gross tumor volume of primary nasopharyngeal tumor; IC, induction chemotherapy; IQR, interquartile range; NPC, nasopharyngeal carcinoma; RT, radiation therapy; TP, paclitaxel or docetaxel combined with platinum.</w:t>
            </w:r>
          </w:p>
        </w:tc>
      </w:tr>
    </w:tbl>
    <w:p w14:paraId="3F7D66C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tbl>
      <w:tblPr>
        <w:tblStyle w:val="2"/>
        <w:tblW w:w="104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5"/>
        <w:gridCol w:w="2410"/>
        <w:gridCol w:w="1030"/>
        <w:gridCol w:w="240"/>
        <w:gridCol w:w="2430"/>
        <w:gridCol w:w="1030"/>
        <w:gridCol w:w="240"/>
      </w:tblGrid>
      <w:tr w14:paraId="1673B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0425" w:type="dxa"/>
            <w:gridSpan w:val="7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F4FE90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Supplementary Table 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lang w:bidi="ar"/>
              </w:rPr>
              <w:t>Multivariate time-dependent Cox regression model for NPC patients with “D-D-D” type</w:t>
            </w:r>
            <w:r>
              <w:rPr>
                <w:rStyle w:val="7"/>
                <w:rFonts w:hint="default" w:ascii="Times New Roman" w:hAnsi="Times New Roman" w:eastAsia="宋体" w:cs="Times New Roman"/>
                <w:b w:val="0"/>
                <w:bCs w:val="0"/>
                <w:vertAlign w:val="superscript"/>
                <w:lang w:bidi="ar"/>
              </w:rPr>
              <w:t>*</w:t>
            </w:r>
          </w:p>
        </w:tc>
      </w:tr>
      <w:tr w14:paraId="69568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3045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B0665B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Characteristic</w:t>
            </w:r>
          </w:p>
        </w:tc>
        <w:tc>
          <w:tcPr>
            <w:tcW w:w="3440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30B054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PFS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A2C0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26B70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OS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E574F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31E1B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304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1A9B096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747B0B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Multivariable-adjusted HR (95% CI)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7753AA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214ADCA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BB277B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Multivariable-adjusted HR (95% CI)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5E659B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DC5860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1273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29A4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EBV DNA status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FE995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24AE3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72A26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8D3A4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AFA51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59F3C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43A6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1E67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Undetectable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BC1F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5066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CA17C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4018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04D32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B20FC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BFBC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FF6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Detectable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8145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2.804 (2.273-3.460)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CFE2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36F75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933F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2.772 (2.088-3.682)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5C4D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1F34A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6A33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4753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Age (years)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5BD8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1.003 (0.996-1.011)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719E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0.387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6139B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4C76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1.029 (1.018-1.040)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D0C5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E8CF4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3CCF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6182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Sex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470FA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D3C1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98465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0087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D13A1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36FFE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9270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8976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A9AE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A534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02A42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042B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CB08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3236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462B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8D59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60D3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0.622 (0.488-0.793)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5D03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91C1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6541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0.775 (0.572-1.052)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050D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01EC2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50AD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7222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 category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6801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7A9F1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E8645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FB46B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1B542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2E3E1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1BB4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15CD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T1-2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4BED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1D623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E37AB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07E5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3BA4B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38C8F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90D3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B95F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T3-4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C048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1.582 (1.306-1.915)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648E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29E63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FE6A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1.669 (1.278-2.179)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DFA4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CAFE5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3EAA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D2AB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 category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A022F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F5313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F8C9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A7CD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BE8D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5A51D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5290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544F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N0-1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2386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C1AA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E9061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AF54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7B18A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B543B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4B93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11D3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N2-3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10A5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1.524 (1.240-1.874)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87A3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CACE5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F744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1.449 (1.101-1.906)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06C1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E40FD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AFD9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DE92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EBV DNA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vertAlign w:val="subscript"/>
                <w:lang w:bidi="ar"/>
              </w:rPr>
              <w:t>baseline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(copies/mL)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9B28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1.108 (1.009-1.215)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15A0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0.031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940DD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5977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1.085 (0.957-1.231)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95E4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6044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1DF7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F481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EBV DNA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vertAlign w:val="subscript"/>
                <w:lang w:bidi="ar"/>
              </w:rPr>
              <w:t>post-IC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(copies/mL)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334C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0.996 (0.899-1.103)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5E68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0.936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BC0ED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82AF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1.126 (0.981-1.293)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DF4B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0.091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7DCB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0548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0FCD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EBV DNA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vertAlign w:val="subscript"/>
                <w:lang w:bidi="ar"/>
              </w:rPr>
              <w:t>post-RT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(copies/mL)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D0AA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1.250 (1.085-1.439)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49BC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ACFF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BED1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1.465 (1.213-1.768)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35F9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AAA8C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4D7E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DA43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IC regimen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F7105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30341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FE4F3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6ED4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81F22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A5B76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6133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1C1B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GP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82EF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EFF0C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D84C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E82A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2CDFE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2DE9A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6EBC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6007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TP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A49F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0.982 (0.821-1.175)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8234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0.841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163CB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82B7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0.964 (0.756-1.230)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3F87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0.769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70CE3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F23A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3564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Other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83FB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0.914 (0.579-1.441)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4331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0.698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950CC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E280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1.182 (0.693-2.018)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3C04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0.540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218E4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EBA1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9A6E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Concurrent chemotherapy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DE188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555B2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E202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06AC3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CF0C5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B4DB1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2363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F153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FC7A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F089F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0AB73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AF62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1E804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F107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61EC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8307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454F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0.826 (0.678-1.007)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C2C8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0.058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EB828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9D42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0.733 (0.566-0.949)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0AC4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34EEC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3573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85A1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Adjuvant chemotherapy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BA04B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42DB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4EF56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C2A97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2E63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73D98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1943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FEF9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6FA9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CE9F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6FC6F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577F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 (Reference)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74879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ED332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BBCF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304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884AEE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5BAEF1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1.178 (0.928-1.496)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5E5D65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0.178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9EA248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086F07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1.057 (0.755-1.479)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BF2F8C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0.748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309ACD0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120C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104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17DB0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*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Patients with EBV DNA persistent-positivity during treatment, that is, those whose EBV DNA was positive at baseline, post-IC, and post-RT.</w:t>
            </w:r>
          </w:p>
          <w:p w14:paraId="27A40B6E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†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Time-dependent variable.</w:t>
            </w:r>
          </w:p>
          <w:p w14:paraId="03648F5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EBV DNA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Epstein-Barr virus DNA; GP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gemcitabine combined with platinum; IC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induction chemotherapy; NPC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nasopharyngeal carcinoma; OS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overall survival; PFS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progression-free survival; 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radi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therapy; TP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paclitaxel or docetaxel combined with platinum.</w:t>
            </w:r>
          </w:p>
        </w:tc>
      </w:tr>
    </w:tbl>
    <w:p w14:paraId="3FAC875E">
      <w:pPr>
        <w:rPr>
          <w:rFonts w:hint="default" w:ascii="Times New Roman" w:hAnsi="Times New Roman" w:cs="Times New Roman"/>
          <w:sz w:val="22"/>
          <w:szCs w:val="2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2"/>
        <w:tblW w:w="163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2330"/>
        <w:gridCol w:w="1810"/>
        <w:gridCol w:w="2654"/>
        <w:gridCol w:w="4289"/>
        <w:gridCol w:w="3902"/>
      </w:tblGrid>
      <w:tr w14:paraId="34436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63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98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Supplementary Table 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Style w:val="7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Longitudinal analysis of post-radiotherapy EBV DNA clearance in nasopharyngeal carcinoma</w:t>
            </w:r>
          </w:p>
        </w:tc>
      </w:tr>
      <w:tr w14:paraId="7F633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39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F94C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33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26FF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Patient characteristics</w:t>
            </w:r>
          </w:p>
        </w:tc>
        <w:tc>
          <w:tcPr>
            <w:tcW w:w="181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252E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Patient resources</w:t>
            </w:r>
          </w:p>
        </w:tc>
        <w:tc>
          <w:tcPr>
            <w:tcW w:w="265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8A51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Timepoints of EBV DNA measurement</w:t>
            </w:r>
          </w:p>
        </w:tc>
        <w:tc>
          <w:tcPr>
            <w:tcW w:w="428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75F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Predictive value of multi-point EBV DNA</w:t>
            </w:r>
          </w:p>
        </w:tc>
        <w:tc>
          <w:tcPr>
            <w:tcW w:w="390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403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Key contributions</w:t>
            </w:r>
          </w:p>
        </w:tc>
      </w:tr>
      <w:tr w14:paraId="46326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13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47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Hui, 2021 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[6]</w:t>
            </w:r>
          </w:p>
        </w:tc>
        <w:tc>
          <w:tcPr>
            <w:tcW w:w="2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EC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789 NPC patients; 104 with detectable post-RT EBV DNA randomized to adjuvant chemotherapy vs. observation (Prospective study)</w:t>
            </w:r>
          </w:p>
        </w:tc>
        <w:tc>
          <w:tcPr>
            <w:tcW w:w="1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71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Multi-center, Hong Kong, China</w:t>
            </w:r>
          </w:p>
        </w:tc>
        <w:tc>
          <w:tcPr>
            <w:tcW w:w="26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37F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weeks post-RT;</w:t>
            </w:r>
          </w:p>
          <w:p w14:paraId="7072D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months post-randomization</w:t>
            </w:r>
          </w:p>
        </w:tc>
        <w:tc>
          <w:tcPr>
            <w:tcW w:w="42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2D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 second test (6 months) had better predictive performance than the first (AUC: 0.78 vs. 0.65)</w:t>
            </w:r>
          </w:p>
        </w:tc>
        <w:tc>
          <w:tcPr>
            <w:tcW w:w="39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02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EBV DNA clearance is an early surrogate endpoint for survival and adjuvant chemotherapy did not increase the clearance rate</w:t>
            </w:r>
          </w:p>
        </w:tc>
      </w:tr>
      <w:tr w14:paraId="4CE00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  <w:jc w:val="center"/>
        </w:trPr>
        <w:tc>
          <w:tcPr>
            <w:tcW w:w="13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92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Li, 2021 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[15]</w:t>
            </w:r>
          </w:p>
        </w:tc>
        <w:tc>
          <w:tcPr>
            <w:tcW w:w="2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F1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1077 non-metastatic NPC patients; 252 with tests at 4 timepoints</w:t>
            </w:r>
          </w:p>
        </w:tc>
        <w:tc>
          <w:tcPr>
            <w:tcW w:w="1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37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Nanfang Hospital, Southern Medical University, China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B5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Pre-treatment;</w:t>
            </w:r>
          </w:p>
          <w:p w14:paraId="618C8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months post-treatment;</w:t>
            </w:r>
          </w:p>
          <w:p w14:paraId="024AC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months post-treatment;</w:t>
            </w:r>
          </w:p>
          <w:p w14:paraId="7D674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months post-treatment;</w:t>
            </w:r>
          </w:p>
          <w:p w14:paraId="24585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 months post-treatment</w:t>
            </w:r>
          </w:p>
        </w:tc>
        <w:tc>
          <w:tcPr>
            <w:tcW w:w="42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12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Dynamic change patterns across multiple timepoints provided superior prognostic value over any single timepoint (AUC for PFS: 0.805)</w:t>
            </w:r>
          </w:p>
        </w:tc>
        <w:tc>
          <w:tcPr>
            <w:tcW w:w="39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AE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Long-term serial monitoring (up to 24 months) allows for accurate risk stratification and identifies patients with the worst prognosis</w:t>
            </w:r>
          </w:p>
        </w:tc>
      </w:tr>
      <w:tr w14:paraId="7DA6F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13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50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Gibbid, 2023 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[13]</w:t>
            </w:r>
          </w:p>
        </w:tc>
        <w:tc>
          <w:tcPr>
            <w:tcW w:w="2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96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 NPC patients with long-term follow-up</w:t>
            </w:r>
          </w:p>
        </w:tc>
        <w:tc>
          <w:tcPr>
            <w:tcW w:w="1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53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Mohammed IV Center for Cancer Treatment of Casablanca, Morocco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7A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Pre-treatment;</w:t>
            </w:r>
          </w:p>
          <w:p w14:paraId="49D7D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End of treatment;</w:t>
            </w:r>
          </w:p>
          <w:p w14:paraId="6BB88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months post-treatment;</w:t>
            </w:r>
          </w:p>
          <w:p w14:paraId="4327D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 months post-treatment;</w:t>
            </w:r>
          </w:p>
          <w:p w14:paraId="2557A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months post-treatment</w:t>
            </w:r>
          </w:p>
        </w:tc>
        <w:tc>
          <w:tcPr>
            <w:tcW w:w="428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9E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Combining pre- and post-treatment EBV DNA loads improved prediction of LRRFS, DMFS, and PFS</w:t>
            </w:r>
          </w:p>
        </w:tc>
        <w:tc>
          <w:tcPr>
            <w:tcW w:w="39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03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 dynamic change of EBV DNA over a long-term period is more valuable than a single measurement for predicting prognosis</w:t>
            </w:r>
          </w:p>
        </w:tc>
      </w:tr>
      <w:tr w14:paraId="23A46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B3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Neo, 2024 </w:t>
            </w:r>
            <w:r>
              <w:rPr>
                <w:rStyle w:val="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[7]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7F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 non-metastatic NPC patients; 110 had a repeat test at 8-12 weeks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B5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National Cancer Centre Singapore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F4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 diagnosis;</w:t>
            </w:r>
          </w:p>
          <w:p w14:paraId="5ACE4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0-2 weeks post-RT;</w:t>
            </w:r>
          </w:p>
          <w:p w14:paraId="46CDC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8-12 weeks post-RT</w:t>
            </w:r>
          </w:p>
        </w:tc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D1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EBV DNA at 8-12 weeks was a stronger predictor of relapse than at 0-2 weeks (AUC: 0.817 vs. 0.654)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E9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Delayed monitoring (8-12 weeks post-RT) better enriches for high-risk patients. Early testing may be suboptimal for adjuvant therapy trials</w:t>
            </w:r>
          </w:p>
        </w:tc>
      </w:tr>
      <w:tr w14:paraId="7CBAF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236A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Neo, 2025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vertAlign w:val="superscript"/>
                <w:lang w:val="en-US" w:eastAsia="zh-CN" w:bidi="ar"/>
              </w:rPr>
              <w:t>[17]</w:t>
            </w:r>
          </w:p>
        </w:tc>
        <w:tc>
          <w:tcPr>
            <w:tcW w:w="23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236C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393 non-metastatic NPC patients with ≥ 1 EBV DNA reading taken within 3 years post-RT</w:t>
            </w:r>
          </w:p>
        </w:tc>
        <w:tc>
          <w:tcPr>
            <w:tcW w:w="18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67A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National Cancer Centre Singapore, Singapore</w:t>
            </w:r>
          </w:p>
        </w:tc>
        <w:tc>
          <w:tcPr>
            <w:tcW w:w="26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41F2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Within 3 years post-RT (varied frequency); analysis windows: 0–3, 3–6, 6–9, 9–12 months post-test</w:t>
            </w:r>
          </w:p>
        </w:tc>
        <w:tc>
          <w:tcPr>
            <w:tcW w:w="42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E818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NPV: &gt; 97% across all windows;</w:t>
            </w:r>
          </w:p>
          <w:p w14:paraId="685DC4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PPV: modest overall (26.3–34.3% in Window 1; 2.6–10.5% in Windows 2–4);</w:t>
            </w:r>
          </w:p>
          <w:p w14:paraId="013858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PPV threshold-dependent: ≥ 500 copies/mL → 71.4–100% in Window 1; &lt; 500 copies/mL → 16.9–23.1%</w:t>
            </w:r>
          </w:p>
        </w:tc>
        <w:tc>
          <w:tcPr>
            <w:tcW w:w="39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D503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A2F45"/>
                <w:spacing w:val="0"/>
                <w:sz w:val="20"/>
                <w:szCs w:val="20"/>
                <w:highlight w:val="none"/>
                <w:shd w:val="clear" w:fill="FFFFFF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PingFangSC-Regular" w:cs="Times New Roman"/>
                <w:i w:val="0"/>
                <w:iCs w:val="0"/>
                <w:caps w:val="0"/>
                <w:color w:val="2A2F45"/>
                <w:spacing w:val="0"/>
                <w:sz w:val="20"/>
                <w:szCs w:val="20"/>
                <w:highlight w:val="none"/>
                <w:shd w:val="clear" w:fill="FFFFFF"/>
                <w:vertAlign w:val="baseline"/>
              </w:rPr>
              <w:t>roposed a stratified surveillance strategy based on EBV DNA levels to guide imaging use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A2F45"/>
                <w:spacing w:val="0"/>
                <w:sz w:val="20"/>
                <w:szCs w:val="20"/>
                <w:highlight w:val="none"/>
                <w:shd w:val="clear" w:fill="FFFFFF"/>
                <w:vertAlign w:val="baseline"/>
                <w:lang w:val="en-US" w:eastAsia="zh-CN"/>
              </w:rPr>
              <w:t>: High NPV supports reducing imaging for EBV DNA-negative patients. PPV is level-dependent: ≥ 500 copies/mL warrants prompt imaging; low-level positives may benefit from repeat testing before imaging</w:t>
            </w:r>
          </w:p>
        </w:tc>
      </w:tr>
      <w:tr w14:paraId="26D3B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382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9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AUC, area under the curve; DMFS, distant metastasis-free survival; EBV DNA, Epstein-Barr virus DNA; LRRFS, locoregional recurrence-free survival; NPC, nasopharyngeal carcinoma; NPV, negative predictive value; OS, overall survival; PFS, progression-free survival; PPV, positive predictive value; RT, radiotherapy.</w:t>
            </w:r>
          </w:p>
        </w:tc>
      </w:tr>
    </w:tbl>
    <w:p w14:paraId="0D76DF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PingFang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iZmZmMTE5MGUwN2I3OWQ4ZDc5NjgxMDFmYmE3NjQifQ=="/>
  </w:docVars>
  <w:rsids>
    <w:rsidRoot w:val="00000000"/>
    <w:rsid w:val="02F57268"/>
    <w:rsid w:val="0F101C16"/>
    <w:rsid w:val="21F50E3F"/>
    <w:rsid w:val="23697924"/>
    <w:rsid w:val="29472CA5"/>
    <w:rsid w:val="2D381E06"/>
    <w:rsid w:val="3381627F"/>
    <w:rsid w:val="445B5A08"/>
    <w:rsid w:val="46130810"/>
    <w:rsid w:val="4DC00452"/>
    <w:rsid w:val="51A72530"/>
    <w:rsid w:val="52D94894"/>
    <w:rsid w:val="58505DDC"/>
    <w:rsid w:val="66F7665B"/>
    <w:rsid w:val="687D0EEA"/>
    <w:rsid w:val="68FA30E7"/>
    <w:rsid w:val="6E813261"/>
    <w:rsid w:val="731D4CFF"/>
    <w:rsid w:val="7953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2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8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913</Words>
  <Characters>5619</Characters>
  <Lines>0</Lines>
  <Paragraphs>0</Paragraphs>
  <TotalTime>3</TotalTime>
  <ScaleCrop>false</ScaleCrop>
  <LinksUpToDate>false</LinksUpToDate>
  <CharactersWithSpaces>6325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2025-10-01T15:37:00Z</dcterms:created>
  <dc:creator>lying</dc:creator>
  <cp:lastModifiedBy>李莹</cp:lastModifiedBy>
  <dcterms:modified xsi:type="dcterms:W3CDTF">2026-01-14T02:22:02Z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8C8DEEA610EC4B1C899471FC6996FD81_12</vt:lpwstr>
  </property>
  <property fmtid="{D5CDD505-2E9C-101B-9397-08002B2CF9AE}" pid="4" name="KSOTemplateDocerSaveRecord">
    <vt:lpwstr>eyJoZGlkIjoiM2RiZmZmMTE5MGUwN2I3OWQ4ZDc5NjgxMDFmYmE3NjQiLCJ1c2VySWQiOiIxNjkyNTQwNjQ4In0=</vt:lpwstr>
  </property>
</Properties>
</file>