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B31552" w14:textId="77777777" w:rsidR="00E83544" w:rsidRDefault="00000000">
      <w:pPr>
        <w:keepNext/>
        <w:spacing w:after="80"/>
        <w:rPr>
          <w:rFonts w:ascii="Times New Roman Regular" w:hAnsi="Times New Roman Regular" w:cs="Times New Roman Regular"/>
          <w:b/>
          <w:bCs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5. Univariable and Multivariable Cox Proportional Hazards Analyses for Distant Metastasis-Free Survival (DMFS) in the Propensity-Score-Matched Cohort.</w:t>
      </w:r>
    </w:p>
    <w:tbl>
      <w:tblPr>
        <w:tblW w:w="870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200"/>
        <w:gridCol w:w="1300"/>
        <w:gridCol w:w="950"/>
        <w:gridCol w:w="1200"/>
        <w:gridCol w:w="1300"/>
        <w:gridCol w:w="950"/>
      </w:tblGrid>
      <w:tr w:rsidR="00E83544" w14:paraId="7851696A" w14:textId="77777777" w:rsidTr="00111532">
        <w:trPr>
          <w:tblHeader/>
          <w:jc w:val="center"/>
        </w:trPr>
        <w:tc>
          <w:tcPr>
            <w:tcW w:w="1800" w:type="dxa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5CA06" w14:textId="77777777" w:rsidR="00E83544" w:rsidRDefault="00E8354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41CD8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Univariable Analysis</w:t>
            </w: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946A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Multivariable Analysis</w:t>
            </w:r>
          </w:p>
        </w:tc>
      </w:tr>
      <w:tr w:rsidR="00E83544" w14:paraId="247DE643" w14:textId="77777777">
        <w:trPr>
          <w:tblHeader/>
          <w:jc w:val="center"/>
        </w:trPr>
        <w:tc>
          <w:tcPr>
            <w:tcW w:w="18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60F93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Variable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7536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674A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7772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2A07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31AD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E793D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</w:tr>
      <w:tr w:rsidR="00111532" w14:paraId="7397FDC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6EA9" w14:textId="2C28B084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Group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D067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B82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ACF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17DE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828F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477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0.098</w:t>
            </w:r>
          </w:p>
        </w:tc>
      </w:tr>
      <w:tr w:rsidR="00111532" w14:paraId="5B81CA5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32DC" w14:textId="515586DE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Sequential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DAC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5726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3301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8A53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238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E3DB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66810519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BCB50" w14:textId="50FABFF5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SIB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38AE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0.53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039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0.25, 1.14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FC5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934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F60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0.23, 1.13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F49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5C4286C4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D76A8" w14:textId="0B748286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Age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DFE6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1.00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6449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0.98, 1.03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EFA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C11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1.00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C29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0.98, 1.02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BA8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</w:tr>
      <w:tr w:rsidR="00111532" w14:paraId="5F65D76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FB58" w14:textId="56A92CF9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 w:hint="eastAsia"/>
                <w:sz w:val="18"/>
              </w:rPr>
              <w:t>Sex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5F9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2BF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71DA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C29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120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C98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</w:tr>
      <w:tr w:rsidR="00111532" w14:paraId="4C63B9A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5DB5" w14:textId="36F35435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CEC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9DD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FA7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B97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DFD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FA5A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5D9FC29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803E" w14:textId="7D2A64E3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Female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938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8928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0.22, 1.48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B317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69BC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39F9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0.22, 1.38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9D2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7714048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86056" w14:textId="25315B63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Tumor s</w:t>
            </w:r>
            <w:r>
              <w:rPr>
                <w:rFonts w:ascii="Times New Roman" w:eastAsia="Times New Roman" w:hAnsi="Times New Roman" w:cs="Times New Roman"/>
                <w:sz w:val="18"/>
              </w:rPr>
              <w:t>ite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A26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171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C19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F36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BB0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F72C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</w:tr>
      <w:tr w:rsidR="00111532" w14:paraId="0E3AB08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F8C82" w14:textId="14300F8B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Extremity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37A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1F7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069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0AC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3D0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DD8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5C56C6C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E408" w14:textId="784F9C12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Trunk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0D5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0.94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241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0.41, 2.13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822C8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B3FF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2343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0.44, 3.04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CB2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6EF35532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57753" w14:textId="6501F040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Tumor Size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F5E4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B8C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0.99, 1.13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A4D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4BB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F224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0.94, 1.17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7D8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</w:tr>
      <w:tr w:rsidR="00111532" w14:paraId="16FEF37E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83F00" w14:textId="17F43004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Grade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5A2C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02C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9AB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DD3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36D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8B89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</w:tr>
      <w:tr w:rsidR="00111532" w14:paraId="02635084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FF2CD" w14:textId="500C15E6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8DF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3C3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D5E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190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8718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78F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75E50EC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79D2" w14:textId="706708D6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G2/G3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24B0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1EF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BD6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EAE38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E951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E7F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7B0B0B3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C188" w14:textId="731D5F1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Margin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1652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1A46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5E7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597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20B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06C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</w:tr>
      <w:tr w:rsidR="00111532" w14:paraId="4F72693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0D68" w14:textId="540C172E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E3E5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AC80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A8E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836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BBAC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9D66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4222E150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F165" w14:textId="73D29E31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9E4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D344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845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4F36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57F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98CF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4BE0AD59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8943" w14:textId="47234282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/>
                <w:sz w:val="18"/>
              </w:rPr>
              <w:t>Tumor depth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0A8F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E7BC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1A5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88E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692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793E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</w:t>
            </w:r>
          </w:p>
        </w:tc>
      </w:tr>
      <w:tr w:rsidR="00111532" w14:paraId="46AF0CAF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71949" w14:textId="61D25C7C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Superficial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B2D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72AE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250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8600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D37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678A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27B65E7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7F00" w14:textId="63C9DCAE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Deep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2EC4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1.76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525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0.58, 5.35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62E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C6DC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BB89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0.44, 4.85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479E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1611572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3F05" w14:textId="496F1E2A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/>
                <w:sz w:val="18"/>
              </w:rPr>
              <w:t>Radiotherapy setting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56E5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0368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73AA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142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FC6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FD16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</w:tr>
      <w:tr w:rsidR="00111532" w14:paraId="76E5A52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3AE0" w14:textId="5AB11DB8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Primary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76B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63E8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77B9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640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788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9880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53183D4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EA79B" w14:textId="16BB2531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Recurrent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D3A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830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0.34, 1.76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105C1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67EE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F29D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0.39, 2.52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46F8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747849C5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AA74" w14:textId="0C675D42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Adjuvant </w:t>
            </w:r>
            <w:r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chemotherapy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EFFEE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D147F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071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6EC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853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35F2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</w:tr>
      <w:tr w:rsidR="00111532" w14:paraId="616B035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07FF" w14:textId="3C09D9C3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69E0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92499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C1F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4A4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D504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CAC6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111532" w14:paraId="24EBC1D8" w14:textId="77777777">
        <w:trPr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12B8" w14:textId="07A4548B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0F30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0.94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5EF5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0.42, 2.10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DB187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3753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0.92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7363B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0.37, 2.29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4F6D" w14:textId="77777777" w:rsidR="00111532" w:rsidRDefault="00111532" w:rsidP="0011153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E83544" w14:paraId="39201860" w14:textId="77777777">
        <w:trPr>
          <w:jc w:val="center"/>
        </w:trPr>
        <w:tc>
          <w:tcPr>
            <w:tcW w:w="8700" w:type="dxa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84C9F" w14:textId="77777777" w:rsidR="00E8354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Abbreviations: CI = confidence interval; HR = hazard ratio; NE = not estimable. Models used propensity-score-matching weights and robust standard errors clustered by matched pair. Matched cohort: n = 192 (96 pairs), with 27 DMFS events. Because 10 covariates were included despite sparse events, the multivariable model is an exploratory sensitivity analysis and may be overfit; NE denotes unstable estimation caused by zero-event separation.</w:t>
            </w:r>
          </w:p>
        </w:tc>
      </w:tr>
    </w:tbl>
    <w:p w14:paraId="1F53DF96" w14:textId="77777777" w:rsidR="00E83544" w:rsidRDefault="00E83544">
      <w:pPr>
        <w:rPr>
          <w:rFonts w:ascii="Times New Roman Regular" w:hAnsi="Times New Roman Regular" w:cs="Times New Roman Regular"/>
        </w:rPr>
      </w:pPr>
    </w:p>
    <w:sectPr w:rsidR="00E83544">
      <w:headerReference w:type="default" r:id="rId7"/>
      <w:footerReference w:type="default" r:id="rId8"/>
      <w:type w:val="continuous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85DE13" w14:textId="77777777" w:rsidR="005A47AE" w:rsidRDefault="005A47AE">
      <w:r>
        <w:separator/>
      </w:r>
    </w:p>
  </w:endnote>
  <w:endnote w:type="continuationSeparator" w:id="0">
    <w:p w14:paraId="0BDA27BE" w14:textId="77777777" w:rsidR="005A47AE" w:rsidRDefault="005A4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4D9EE" w14:textId="77777777" w:rsidR="00E83544" w:rsidRDefault="00E835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3C387" w14:textId="77777777" w:rsidR="005A47AE" w:rsidRDefault="005A47AE">
      <w:r>
        <w:separator/>
      </w:r>
    </w:p>
  </w:footnote>
  <w:footnote w:type="continuationSeparator" w:id="0">
    <w:p w14:paraId="7DF47EAD" w14:textId="77777777" w:rsidR="005A47AE" w:rsidRDefault="005A4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F5623" w14:textId="77777777" w:rsidR="00E83544" w:rsidRDefault="00E835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78513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bordersDoNotSurroundHeader/>
  <w:bordersDoNotSurroundFooter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250"/>
    <w:rsid w:val="0010751D"/>
    <w:rsid w:val="00111532"/>
    <w:rsid w:val="00297250"/>
    <w:rsid w:val="002D167B"/>
    <w:rsid w:val="00422D91"/>
    <w:rsid w:val="005A47AE"/>
    <w:rsid w:val="00641B04"/>
    <w:rsid w:val="0070377B"/>
    <w:rsid w:val="00E72F4F"/>
    <w:rsid w:val="00E83544"/>
    <w:rsid w:val="2DF2A596"/>
    <w:rsid w:val="3FFFC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7677594-77CA-F447-9DF9-52454A7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Lucida Grande" w:hAnsi="Lucida Grande"/>
      <w:sz w:val="18"/>
      <w:szCs w:val="18"/>
    </w:rPr>
  </w:style>
  <w:style w:type="paragraph" w:styleId="a5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uiPriority w:val="99"/>
    <w:semiHidden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pPr>
      <w:spacing w:after="100"/>
      <w:ind w:left="240"/>
    </w:pPr>
  </w:style>
  <w:style w:type="table" w:styleId="a7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a"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Shijie Yang</dc:creator>
  <cp:lastModifiedBy>Shijie Yang</cp:lastModifiedBy>
  <cp:revision>12</cp:revision>
  <dcterms:created xsi:type="dcterms:W3CDTF">2017-03-01T03:18:00Z</dcterms:created>
  <dcterms:modified xsi:type="dcterms:W3CDTF">2026-08-14T16:06:00Z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29D2AFAB9482F440B5EE8369FFA6A2CA_42</vt:lpwstr>
  </property>
</Properties>
</file>