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352" w:rsidRPr="00A017FA" w:rsidRDefault="00904352" w:rsidP="00904352">
      <w:pPr>
        <w:autoSpaceDE w:val="0"/>
        <w:autoSpaceDN w:val="0"/>
        <w:adjustRightInd w:val="0"/>
        <w:spacing w:after="0" w:line="480" w:lineRule="auto"/>
        <w:rPr>
          <w:rFonts w:ascii="Times New Roman" w:hAnsi="Times New Roman"/>
          <w:b/>
          <w:bCs/>
          <w:color w:val="auto"/>
          <w:sz w:val="24"/>
        </w:rPr>
      </w:pPr>
    </w:p>
    <w:p w:rsidR="00904352" w:rsidRDefault="00F737F6" w:rsidP="00F737F6">
      <w:pPr>
        <w:autoSpaceDE w:val="0"/>
        <w:autoSpaceDN w:val="0"/>
        <w:adjustRightInd w:val="0"/>
        <w:spacing w:after="0" w:line="480" w:lineRule="auto"/>
        <w:ind w:left="718"/>
        <w:rPr>
          <w:rFonts w:asciiTheme="majorBidi" w:eastAsiaTheme="minorHAnsi" w:hAnsiTheme="majorBidi" w:cstheme="majorBidi"/>
          <w:b/>
          <w:bCs/>
          <w:color w:val="auto"/>
          <w:sz w:val="24"/>
          <w:lang w:val="en-US" w:bidi="he-IL"/>
        </w:rPr>
      </w:pPr>
      <w:proofErr w:type="gramStart"/>
      <w:r>
        <w:rPr>
          <w:rFonts w:asciiTheme="majorBidi" w:eastAsiaTheme="minorHAnsi" w:hAnsiTheme="majorBidi" w:cstheme="majorBidi"/>
          <w:b/>
          <w:bCs/>
          <w:color w:val="auto"/>
          <w:sz w:val="24"/>
          <w:lang w:val="en-US" w:bidi="he-IL"/>
        </w:rPr>
        <w:t>Table 3.</w:t>
      </w:r>
      <w:proofErr w:type="gramEnd"/>
      <w:r>
        <w:rPr>
          <w:rFonts w:asciiTheme="majorBidi" w:eastAsiaTheme="minorHAnsi" w:hAnsiTheme="majorBidi" w:cstheme="majorBidi"/>
          <w:b/>
          <w:bCs/>
          <w:color w:val="auto"/>
          <w:sz w:val="24"/>
          <w:lang w:val="en-US" w:bidi="he-IL"/>
        </w:rPr>
        <w:t xml:space="preserve"> </w:t>
      </w:r>
      <w:r w:rsidR="001B0D79" w:rsidRPr="00A017FA">
        <w:rPr>
          <w:rFonts w:asciiTheme="majorBidi" w:eastAsiaTheme="minorHAnsi" w:hAnsiTheme="majorBidi" w:cstheme="majorBidi"/>
          <w:b/>
          <w:bCs/>
          <w:color w:val="auto"/>
          <w:sz w:val="24"/>
          <w:lang w:val="en-US" w:bidi="he-IL"/>
        </w:rPr>
        <w:t>Summary of the updated 202</w:t>
      </w:r>
      <w:r w:rsidR="00A86484" w:rsidRPr="00A017FA">
        <w:rPr>
          <w:rFonts w:asciiTheme="majorBidi" w:eastAsiaTheme="minorHAnsi" w:hAnsiTheme="majorBidi" w:cstheme="majorBidi"/>
          <w:b/>
          <w:bCs/>
          <w:color w:val="auto"/>
          <w:sz w:val="24"/>
          <w:lang w:val="en-US" w:bidi="he-IL"/>
        </w:rPr>
        <w:t>2</w:t>
      </w:r>
      <w:r w:rsidR="001B0D79" w:rsidRPr="00A017FA">
        <w:rPr>
          <w:rFonts w:asciiTheme="majorBidi" w:eastAsiaTheme="minorHAnsi" w:hAnsiTheme="majorBidi" w:cstheme="majorBidi"/>
          <w:b/>
          <w:bCs/>
          <w:color w:val="auto"/>
          <w:sz w:val="24"/>
          <w:lang w:val="en-US" w:bidi="he-IL"/>
        </w:rPr>
        <w:t xml:space="preserve"> guidelines </w:t>
      </w:r>
      <w:r w:rsidR="00531ECA">
        <w:rPr>
          <w:rFonts w:asciiTheme="majorBidi" w:eastAsiaTheme="minorHAnsi" w:hAnsiTheme="majorBidi" w:cstheme="majorBidi"/>
          <w:b/>
          <w:bCs/>
          <w:color w:val="auto"/>
          <w:sz w:val="24"/>
          <w:lang w:val="en-US" w:bidi="he-IL"/>
        </w:rPr>
        <w:t xml:space="preserve">for AMI: </w:t>
      </w:r>
      <w:r w:rsidR="001B0D79" w:rsidRPr="00A017FA">
        <w:rPr>
          <w:rFonts w:asciiTheme="majorBidi" w:eastAsiaTheme="minorHAnsi" w:hAnsiTheme="majorBidi" w:cstheme="majorBidi"/>
          <w:b/>
          <w:bCs/>
          <w:color w:val="auto"/>
          <w:sz w:val="24"/>
          <w:lang w:val="en-US" w:bidi="he-IL"/>
        </w:rPr>
        <w:t>statements and recommendations</w:t>
      </w:r>
      <w:r w:rsidR="00A017FA">
        <w:rPr>
          <w:rFonts w:asciiTheme="majorBidi" w:eastAsiaTheme="minorHAnsi" w:hAnsiTheme="majorBidi" w:cstheme="majorBidi"/>
          <w:b/>
          <w:bCs/>
          <w:color w:val="auto"/>
          <w:sz w:val="24"/>
          <w:lang w:val="en-US" w:bidi="he-IL"/>
        </w:rPr>
        <w:t>.</w:t>
      </w:r>
      <w:bookmarkStart w:id="0" w:name="_GoBack"/>
      <w:bookmarkEnd w:id="0"/>
    </w:p>
    <w:p w:rsidR="00A017FA" w:rsidRPr="00F737F6" w:rsidRDefault="00A017FA" w:rsidP="00A86484">
      <w:pPr>
        <w:autoSpaceDE w:val="0"/>
        <w:autoSpaceDN w:val="0"/>
        <w:adjustRightInd w:val="0"/>
        <w:spacing w:after="0" w:line="480" w:lineRule="auto"/>
        <w:ind w:left="718"/>
        <w:rPr>
          <w:rFonts w:asciiTheme="majorBidi" w:hAnsiTheme="majorBidi" w:cstheme="majorBidi"/>
          <w:b/>
          <w:bCs/>
          <w:iCs/>
          <w:color w:val="auto"/>
          <w:sz w:val="36"/>
          <w:szCs w:val="36"/>
          <w:lang w:val="en-US"/>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531ECA" w:rsidRPr="00531ECA" w:rsidTr="00531ECA">
        <w:tc>
          <w:tcPr>
            <w:tcW w:w="9576" w:type="dxa"/>
            <w:tcBorders>
              <w:top w:val="single" w:sz="4" w:space="0" w:color="auto"/>
            </w:tcBorders>
          </w:tcPr>
          <w:p w:rsidR="00531ECA" w:rsidRPr="00531ECA" w:rsidRDefault="00531ECA" w:rsidP="004827C2">
            <w:pPr>
              <w:pStyle w:val="Paragraphedeliste"/>
              <w:ind w:left="0"/>
              <w:rPr>
                <w:rFonts w:ascii="Times New Roman" w:eastAsia="Times New Roman" w:hAnsi="Times New Roman" w:cs="Times New Roman"/>
                <w:b/>
                <w:bCs/>
                <w:color w:val="auto"/>
                <w:sz w:val="24"/>
                <w:szCs w:val="24"/>
                <w:lang w:val="en-US"/>
              </w:rPr>
            </w:pPr>
            <w:r w:rsidRPr="00531ECA">
              <w:rPr>
                <w:rFonts w:ascii="Times New Roman" w:hAnsi="Times New Roman"/>
                <w:b/>
                <w:bCs/>
                <w:color w:val="auto"/>
                <w:sz w:val="24"/>
                <w:szCs w:val="24"/>
                <w:lang w:val="en-US"/>
              </w:rPr>
              <w:t>Primary assessment and diagnosis</w:t>
            </w:r>
          </w:p>
        </w:tc>
      </w:tr>
      <w:tr w:rsidR="00531ECA" w:rsidRPr="00531ECA" w:rsidTr="00531ECA">
        <w:tc>
          <w:tcPr>
            <w:tcW w:w="9576" w:type="dxa"/>
          </w:tcPr>
          <w:p w:rsidR="00531ECA" w:rsidRPr="00531ECA" w:rsidRDefault="00531ECA" w:rsidP="004827C2">
            <w:pPr>
              <w:autoSpaceDE w:val="0"/>
              <w:autoSpaceDN w:val="0"/>
              <w:adjustRightInd w:val="0"/>
              <w:spacing w:line="480" w:lineRule="auto"/>
              <w:rPr>
                <w:rFonts w:ascii="Times New Roman" w:hAnsi="Times New Roman"/>
                <w:bCs/>
                <w:iCs/>
                <w:color w:val="auto"/>
                <w:sz w:val="24"/>
                <w:lang w:val="en-GB"/>
              </w:rPr>
            </w:pPr>
          </w:p>
        </w:tc>
      </w:tr>
      <w:tr w:rsidR="00531ECA" w:rsidRPr="00531ECA" w:rsidTr="00531ECA">
        <w:tc>
          <w:tcPr>
            <w:tcW w:w="9576" w:type="dxa"/>
          </w:tcPr>
          <w:p w:rsidR="00531ECA" w:rsidRPr="00531ECA" w:rsidRDefault="00531ECA" w:rsidP="004827C2">
            <w:pPr>
              <w:numPr>
                <w:ilvl w:val="0"/>
                <w:numId w:val="1"/>
              </w:numPr>
              <w:autoSpaceDE w:val="0"/>
              <w:autoSpaceDN w:val="0"/>
              <w:adjustRightInd w:val="0"/>
              <w:spacing w:line="480" w:lineRule="auto"/>
              <w:rPr>
                <w:rFonts w:ascii="Times New Roman" w:hAnsi="Times New Roman"/>
                <w:bCs/>
                <w:iCs/>
                <w:color w:val="auto"/>
                <w:sz w:val="24"/>
                <w:lang w:val="en-GB"/>
              </w:rPr>
            </w:pPr>
            <w:r w:rsidRPr="00531ECA">
              <w:rPr>
                <w:rFonts w:ascii="Times New Roman" w:hAnsi="Times New Roman"/>
                <w:b/>
                <w:bCs/>
                <w:color w:val="auto"/>
                <w:sz w:val="24"/>
              </w:rPr>
              <w:t>Severe abdominal pain out of proportion to physical examination findings</w:t>
            </w:r>
            <w:r w:rsidRPr="00531ECA">
              <w:rPr>
                <w:rFonts w:ascii="Times New Roman" w:hAnsi="Times New Roman"/>
                <w:b/>
                <w:bCs/>
                <w:color w:val="auto"/>
                <w:sz w:val="24"/>
                <w:lang w:val="en-GB"/>
              </w:rPr>
              <w:t xml:space="preserve"> should be assumed to be  AMI until disproven.</w:t>
            </w:r>
            <w:r w:rsidRPr="00531ECA">
              <w:rPr>
                <w:rFonts w:ascii="Times New Roman" w:hAnsi="Times New Roman"/>
                <w:bCs/>
                <w:iCs/>
                <w:color w:val="auto"/>
                <w:sz w:val="24"/>
                <w:lang w:val="en-GB"/>
              </w:rPr>
              <w:t xml:space="preserve"> </w:t>
            </w:r>
            <w:r w:rsidRPr="00531ECA">
              <w:rPr>
                <w:rFonts w:ascii="Times New Roman" w:hAnsi="Times New Roman"/>
                <w:b/>
                <w:bCs/>
                <w:iCs/>
                <w:color w:val="auto"/>
                <w:sz w:val="24"/>
                <w:lang w:val="en-GB"/>
              </w:rPr>
              <w:t>(Strong recommendation based on low-quality evidence 1C)</w:t>
            </w:r>
          </w:p>
        </w:tc>
      </w:tr>
      <w:tr w:rsidR="00531ECA" w:rsidRPr="00531ECA" w:rsidTr="00531ECA">
        <w:tc>
          <w:tcPr>
            <w:tcW w:w="9576" w:type="dxa"/>
          </w:tcPr>
          <w:p w:rsidR="00531ECA" w:rsidRPr="00531ECA" w:rsidRDefault="00531ECA" w:rsidP="004827C2">
            <w:pPr>
              <w:numPr>
                <w:ilvl w:val="0"/>
                <w:numId w:val="1"/>
              </w:numPr>
              <w:autoSpaceDE w:val="0"/>
              <w:autoSpaceDN w:val="0"/>
              <w:adjustRightInd w:val="0"/>
              <w:spacing w:line="480" w:lineRule="auto"/>
              <w:rPr>
                <w:rFonts w:ascii="Times New Roman" w:hAnsi="Times New Roman"/>
                <w:bCs/>
                <w:iCs/>
                <w:color w:val="auto"/>
                <w:sz w:val="24"/>
                <w:lang w:val="en-GB"/>
              </w:rPr>
            </w:pPr>
            <w:r w:rsidRPr="00531ECA">
              <w:rPr>
                <w:rFonts w:ascii="Times New Roman" w:hAnsi="Times New Roman"/>
                <w:b/>
                <w:bCs/>
                <w:color w:val="auto"/>
                <w:sz w:val="24"/>
              </w:rPr>
              <w:t>Clinical scenario</w:t>
            </w:r>
            <w:r w:rsidRPr="00531ECA">
              <w:rPr>
                <w:rFonts w:ascii="Times New Roman" w:hAnsi="Times New Roman"/>
                <w:b/>
                <w:bCs/>
                <w:color w:val="auto"/>
                <w:sz w:val="24"/>
                <w:lang w:val="en-GB"/>
              </w:rPr>
              <w:t xml:space="preserve"> and risk factors differentiate AMI as mesenteric arterial emboli, mesenteric arterial thrombosis, NOMI or mesenteric venous thrombosis.</w:t>
            </w:r>
            <w:r w:rsidRPr="00531ECA">
              <w:rPr>
                <w:rFonts w:ascii="Times New Roman" w:hAnsi="Times New Roman"/>
                <w:bCs/>
                <w:iCs/>
                <w:color w:val="auto"/>
                <w:sz w:val="24"/>
                <w:lang w:val="en-GB"/>
              </w:rPr>
              <w:t xml:space="preserve"> </w:t>
            </w:r>
            <w:r w:rsidRPr="00531ECA">
              <w:rPr>
                <w:rFonts w:ascii="Times New Roman" w:hAnsi="Times New Roman"/>
                <w:b/>
                <w:bCs/>
                <w:iCs/>
                <w:color w:val="auto"/>
                <w:sz w:val="24"/>
                <w:lang w:val="en-GB"/>
              </w:rPr>
              <w:t>(Weak recommendation based on low-quality evidence 1C)</w:t>
            </w:r>
          </w:p>
        </w:tc>
      </w:tr>
      <w:tr w:rsidR="00531ECA" w:rsidRPr="00531ECA" w:rsidTr="00531ECA">
        <w:tc>
          <w:tcPr>
            <w:tcW w:w="9576" w:type="dxa"/>
          </w:tcPr>
          <w:p w:rsidR="00531ECA" w:rsidRPr="00531ECA" w:rsidRDefault="00531ECA" w:rsidP="004827C2">
            <w:pPr>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480" w:lineRule="auto"/>
              <w:rPr>
                <w:rFonts w:ascii="Times New Roman" w:hAnsi="Times New Roman"/>
                <w:b/>
                <w:bCs/>
                <w:color w:val="auto"/>
                <w:sz w:val="24"/>
                <w:lang w:val="en-GB"/>
              </w:rPr>
            </w:pPr>
            <w:r w:rsidRPr="00531ECA">
              <w:rPr>
                <w:rFonts w:ascii="Times New Roman" w:hAnsi="Times New Roman"/>
                <w:b/>
                <w:bCs/>
                <w:color w:val="auto"/>
                <w:sz w:val="24"/>
                <w:u w:color="FF0000"/>
                <w:lang w:val="it-IT"/>
              </w:rPr>
              <w:t xml:space="preserve">Plain X-ray in not recommended in evaluating patients for intestinal ischemia </w:t>
            </w:r>
            <w:r w:rsidRPr="00531ECA">
              <w:rPr>
                <w:rFonts w:ascii="Times New Roman" w:hAnsi="Times New Roman"/>
                <w:b/>
                <w:bCs/>
                <w:color w:val="auto"/>
                <w:sz w:val="24"/>
                <w:lang w:val="en-GB"/>
              </w:rPr>
              <w:t>(</w:t>
            </w:r>
            <w:r w:rsidRPr="00531ECA">
              <w:rPr>
                <w:rFonts w:ascii="Times New Roman" w:hAnsi="Times New Roman"/>
                <w:b/>
                <w:bCs/>
                <w:iCs/>
                <w:color w:val="auto"/>
                <w:sz w:val="24"/>
                <w:lang w:val="en-GB"/>
              </w:rPr>
              <w:t>Strong recommendation based on moderate-quality evidence 1B</w:t>
            </w:r>
            <w:r w:rsidRPr="00531ECA">
              <w:rPr>
                <w:rFonts w:ascii="Times New Roman" w:hAnsi="Times New Roman"/>
                <w:b/>
                <w:bCs/>
                <w:color w:val="auto"/>
                <w:sz w:val="24"/>
                <w:lang w:val="en-GB"/>
              </w:rPr>
              <w:t>)</w:t>
            </w:r>
          </w:p>
        </w:tc>
      </w:tr>
      <w:tr w:rsidR="00531ECA" w:rsidRPr="00531ECA" w:rsidTr="00531ECA">
        <w:tc>
          <w:tcPr>
            <w:tcW w:w="9576" w:type="dxa"/>
          </w:tcPr>
          <w:p w:rsidR="00531ECA" w:rsidRPr="00531ECA" w:rsidRDefault="00531ECA" w:rsidP="004827C2">
            <w:pPr>
              <w:numPr>
                <w:ilvl w:val="0"/>
                <w:numId w:val="1"/>
              </w:numPr>
              <w:autoSpaceDE w:val="0"/>
              <w:autoSpaceDN w:val="0"/>
              <w:adjustRightInd w:val="0"/>
              <w:spacing w:line="480" w:lineRule="auto"/>
              <w:rPr>
                <w:rFonts w:ascii="Times New Roman" w:hAnsi="Times New Roman"/>
                <w:b/>
                <w:i/>
                <w:color w:val="auto"/>
                <w:sz w:val="24"/>
                <w:u w:val="single"/>
                <w:lang w:val="en-GB"/>
              </w:rPr>
            </w:pPr>
            <w:r w:rsidRPr="00531ECA">
              <w:rPr>
                <w:rFonts w:ascii="Times New Roman" w:eastAsia="Times New Roman" w:hAnsi="Times New Roman"/>
                <w:b/>
                <w:color w:val="auto"/>
                <w:sz w:val="24"/>
                <w:lang w:val="en-US" w:eastAsia="pt-BR"/>
              </w:rPr>
              <w:t xml:space="preserve">There are no laboratory parameters that are sufficiently accurate to conclusively identify the presence or absence of ischemic or necrotic bowel, although elevated l-lactate, leukocytosis and D-dimer may assist. </w:t>
            </w:r>
            <w:r w:rsidRPr="00531ECA">
              <w:rPr>
                <w:rFonts w:ascii="Times New Roman" w:hAnsi="Times New Roman"/>
                <w:b/>
                <w:bCs/>
                <w:color w:val="auto"/>
                <w:sz w:val="24"/>
                <w:lang w:val="en-GB"/>
              </w:rPr>
              <w:t>(</w:t>
            </w:r>
            <w:r w:rsidRPr="00531ECA">
              <w:rPr>
                <w:rFonts w:ascii="Times New Roman" w:hAnsi="Times New Roman"/>
                <w:b/>
                <w:bCs/>
                <w:iCs/>
                <w:color w:val="auto"/>
                <w:sz w:val="24"/>
                <w:lang w:val="en-GB"/>
              </w:rPr>
              <w:t>Weak recommendation based on moderate-quality evidence 2B</w:t>
            </w:r>
            <w:r w:rsidRPr="00531ECA">
              <w:rPr>
                <w:rFonts w:ascii="Times New Roman" w:hAnsi="Times New Roman"/>
                <w:b/>
                <w:bCs/>
                <w:color w:val="auto"/>
                <w:sz w:val="24"/>
                <w:lang w:val="en-GB"/>
              </w:rPr>
              <w:t>)</w:t>
            </w:r>
          </w:p>
        </w:tc>
      </w:tr>
      <w:tr w:rsidR="00531ECA" w:rsidRPr="00531ECA" w:rsidTr="00531ECA">
        <w:tc>
          <w:tcPr>
            <w:tcW w:w="9576" w:type="dxa"/>
          </w:tcPr>
          <w:p w:rsidR="00531ECA" w:rsidRPr="00531ECA" w:rsidRDefault="00531ECA" w:rsidP="004827C2">
            <w:pPr>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480" w:lineRule="auto"/>
              <w:rPr>
                <w:rFonts w:ascii="Times New Roman" w:hAnsi="Times New Roman"/>
                <w:b/>
                <w:bCs/>
                <w:color w:val="auto"/>
                <w:sz w:val="24"/>
                <w:lang w:val="en-GB"/>
              </w:rPr>
            </w:pPr>
            <w:r w:rsidRPr="00531ECA">
              <w:rPr>
                <w:rFonts w:ascii="Times New Roman" w:hAnsi="Times New Roman"/>
                <w:b/>
                <w:bCs/>
                <w:color w:val="auto"/>
                <w:sz w:val="24"/>
              </w:rPr>
              <w:t>Co</w:t>
            </w:r>
            <w:proofErr w:type="spellStart"/>
            <w:r w:rsidRPr="00531ECA">
              <w:rPr>
                <w:rFonts w:ascii="Times New Roman" w:hAnsi="Times New Roman"/>
                <w:b/>
                <w:bCs/>
                <w:color w:val="auto"/>
                <w:sz w:val="24"/>
                <w:shd w:val="clear" w:color="auto" w:fill="FFFFFF"/>
                <w:lang w:val="en-GB"/>
              </w:rPr>
              <w:t>m</w:t>
            </w:r>
            <w:r w:rsidRPr="00531ECA">
              <w:rPr>
                <w:rFonts w:ascii="Times New Roman" w:hAnsi="Times New Roman"/>
                <w:b/>
                <w:color w:val="auto"/>
                <w:sz w:val="24"/>
                <w:shd w:val="clear" w:color="auto" w:fill="FFFFFF"/>
                <w:lang w:val="en-GB"/>
              </w:rPr>
              <w:t>puted</w:t>
            </w:r>
            <w:proofErr w:type="spellEnd"/>
            <w:r w:rsidRPr="00531ECA">
              <w:rPr>
                <w:rFonts w:ascii="Times New Roman" w:hAnsi="Times New Roman"/>
                <w:b/>
                <w:color w:val="auto"/>
                <w:sz w:val="24"/>
                <w:shd w:val="clear" w:color="auto" w:fill="FFFFFF"/>
                <w:lang w:val="en-GB"/>
              </w:rPr>
              <w:t xml:space="preserve"> tomography angiography (CTA)  should be performed without delay in any patient with suspicion for AMI. </w:t>
            </w:r>
            <w:r w:rsidRPr="00531ECA">
              <w:rPr>
                <w:rFonts w:ascii="Times New Roman" w:hAnsi="Times New Roman"/>
                <w:b/>
                <w:bCs/>
                <w:color w:val="auto"/>
                <w:sz w:val="24"/>
                <w:lang w:val="en-GB"/>
              </w:rPr>
              <w:t>(</w:t>
            </w:r>
            <w:r w:rsidRPr="00531ECA">
              <w:rPr>
                <w:rFonts w:ascii="Times New Roman" w:hAnsi="Times New Roman"/>
                <w:b/>
                <w:bCs/>
                <w:iCs/>
                <w:color w:val="auto"/>
                <w:sz w:val="24"/>
                <w:lang w:val="en-GB"/>
              </w:rPr>
              <w:t>Strong recommendation based on high-quality evidence 1A</w:t>
            </w:r>
            <w:r w:rsidRPr="00531ECA">
              <w:rPr>
                <w:rFonts w:ascii="Times New Roman" w:hAnsi="Times New Roman"/>
                <w:b/>
                <w:bCs/>
                <w:color w:val="auto"/>
                <w:sz w:val="24"/>
                <w:lang w:val="en-GB"/>
              </w:rPr>
              <w:t>)</w:t>
            </w:r>
            <w:r w:rsidRPr="00531ECA">
              <w:rPr>
                <w:rFonts w:ascii="Times New Roman" w:hAnsi="Times New Roman"/>
                <w:color w:val="auto"/>
                <w:sz w:val="24"/>
                <w:lang w:val="en-GB"/>
              </w:rPr>
              <w:t xml:space="preserve"> </w:t>
            </w:r>
          </w:p>
        </w:tc>
      </w:tr>
      <w:tr w:rsidR="00531ECA" w:rsidRPr="00531ECA" w:rsidTr="00531ECA">
        <w:tc>
          <w:tcPr>
            <w:tcW w:w="9576" w:type="dxa"/>
          </w:tcPr>
          <w:p w:rsidR="00531ECA" w:rsidRPr="00531ECA" w:rsidRDefault="00531ECA" w:rsidP="004827C2">
            <w:pPr>
              <w:numPr>
                <w:ilvl w:val="0"/>
                <w:numId w:val="1"/>
              </w:numPr>
              <w:autoSpaceDE w:val="0"/>
              <w:autoSpaceDN w:val="0"/>
              <w:adjustRightInd w:val="0"/>
              <w:spacing w:line="480" w:lineRule="auto"/>
              <w:rPr>
                <w:rFonts w:ascii="Times New Roman" w:hAnsi="Times New Roman"/>
                <w:b/>
                <w:iCs/>
                <w:color w:val="auto"/>
                <w:sz w:val="24"/>
                <w:shd w:val="clear" w:color="auto" w:fill="FFFFFF"/>
                <w:lang w:val="en-GB"/>
              </w:rPr>
            </w:pPr>
            <w:proofErr w:type="spellStart"/>
            <w:r w:rsidRPr="00531ECA">
              <w:rPr>
                <w:rFonts w:ascii="Times New Roman" w:hAnsi="Times New Roman"/>
                <w:b/>
                <w:iCs/>
                <w:color w:val="auto"/>
                <w:sz w:val="24"/>
                <w:shd w:val="clear" w:color="auto" w:fill="FFFFFF"/>
                <w:lang w:val="en-GB"/>
              </w:rPr>
              <w:lastRenderedPageBreak/>
              <w:t>Nonocclusive</w:t>
            </w:r>
            <w:proofErr w:type="spellEnd"/>
            <w:r w:rsidRPr="00531ECA">
              <w:rPr>
                <w:rFonts w:ascii="Times New Roman" w:hAnsi="Times New Roman"/>
                <w:b/>
                <w:iCs/>
                <w:color w:val="auto"/>
                <w:sz w:val="24"/>
                <w:shd w:val="clear" w:color="auto" w:fill="FFFFFF"/>
                <w:lang w:val="en-GB"/>
              </w:rPr>
              <w:t xml:space="preserve"> mesenteric ischemia (NOMI) should be suspected in critically ill patients with abdominal pain or distension requiring vasopressor support and evidence of </w:t>
            </w:r>
            <w:proofErr w:type="spellStart"/>
            <w:r w:rsidRPr="00531ECA">
              <w:rPr>
                <w:rFonts w:ascii="Times New Roman" w:hAnsi="Times New Roman"/>
                <w:b/>
                <w:iCs/>
                <w:color w:val="auto"/>
                <w:sz w:val="24"/>
                <w:shd w:val="clear" w:color="auto" w:fill="FFFFFF"/>
                <w:lang w:val="en-GB"/>
              </w:rPr>
              <w:t>multiorgan</w:t>
            </w:r>
            <w:proofErr w:type="spellEnd"/>
            <w:r w:rsidRPr="00531ECA">
              <w:rPr>
                <w:rFonts w:ascii="Times New Roman" w:hAnsi="Times New Roman"/>
                <w:b/>
                <w:iCs/>
                <w:color w:val="auto"/>
                <w:sz w:val="24"/>
                <w:shd w:val="clear" w:color="auto" w:fill="FFFFFF"/>
                <w:lang w:val="en-GB"/>
              </w:rPr>
              <w:t xml:space="preserve"> dysfunction. </w:t>
            </w:r>
            <w:r w:rsidRPr="00531ECA">
              <w:rPr>
                <w:rFonts w:ascii="Times New Roman" w:hAnsi="Times New Roman"/>
                <w:b/>
                <w:bCs/>
                <w:color w:val="auto"/>
                <w:sz w:val="24"/>
                <w:lang w:val="en-GB"/>
              </w:rPr>
              <w:t>(</w:t>
            </w:r>
            <w:r w:rsidRPr="00531ECA">
              <w:rPr>
                <w:rFonts w:ascii="Times New Roman" w:hAnsi="Times New Roman"/>
                <w:b/>
                <w:bCs/>
                <w:iCs/>
                <w:color w:val="auto"/>
                <w:sz w:val="24"/>
                <w:lang w:val="en-GB"/>
              </w:rPr>
              <w:t>Weak recommendation based on low-quality evidence 2C</w:t>
            </w:r>
            <w:r w:rsidRPr="00531ECA">
              <w:rPr>
                <w:rFonts w:ascii="Times New Roman" w:hAnsi="Times New Roman"/>
                <w:b/>
                <w:bCs/>
                <w:color w:val="auto"/>
                <w:sz w:val="24"/>
                <w:lang w:val="en-GB"/>
              </w:rPr>
              <w:t>)</w:t>
            </w:r>
          </w:p>
        </w:tc>
      </w:tr>
      <w:tr w:rsidR="00531ECA" w:rsidRPr="00531ECA" w:rsidTr="00531ECA">
        <w:tc>
          <w:tcPr>
            <w:tcW w:w="9576" w:type="dxa"/>
          </w:tcPr>
          <w:p w:rsidR="00531ECA" w:rsidRPr="00531ECA" w:rsidRDefault="00531ECA" w:rsidP="004827C2">
            <w:pPr>
              <w:numPr>
                <w:ilvl w:val="0"/>
                <w:numId w:val="1"/>
              </w:numPr>
              <w:autoSpaceDE w:val="0"/>
              <w:autoSpaceDN w:val="0"/>
              <w:adjustRightInd w:val="0"/>
              <w:spacing w:line="480" w:lineRule="auto"/>
              <w:rPr>
                <w:rFonts w:ascii="Times New Roman" w:hAnsi="Times New Roman"/>
                <w:b/>
                <w:bCs/>
                <w:iCs/>
                <w:color w:val="auto"/>
                <w:sz w:val="24"/>
                <w:shd w:val="clear" w:color="auto" w:fill="FFFFFF"/>
                <w:lang w:val="en-GB"/>
              </w:rPr>
            </w:pPr>
            <w:r w:rsidRPr="00531ECA">
              <w:rPr>
                <w:rFonts w:ascii="Times New Roman" w:eastAsia="Times New Roman" w:hAnsi="Times New Roman"/>
                <w:b/>
                <w:bCs/>
                <w:color w:val="auto"/>
                <w:sz w:val="24"/>
                <w:lang w:val="en-US" w:bidi="he-IL"/>
              </w:rPr>
              <w:t>When the diagnosis of AMI is made, fluid resuscitation should commence immediately to enhance visceral perfusion.</w:t>
            </w:r>
            <w:r w:rsidRPr="00531ECA">
              <w:rPr>
                <w:rFonts w:ascii="Times New Roman" w:hAnsi="Times New Roman"/>
                <w:b/>
                <w:bCs/>
                <w:iCs/>
                <w:color w:val="auto"/>
                <w:sz w:val="24"/>
                <w:shd w:val="clear" w:color="auto" w:fill="FFFFFF"/>
                <w:lang w:val="en-US"/>
              </w:rPr>
              <w:t xml:space="preserve"> Electrolyte abnormalities should be corrected, and nasogastric decompression initiated. </w:t>
            </w:r>
            <w:r w:rsidRPr="00531ECA">
              <w:rPr>
                <w:rFonts w:ascii="Times New Roman" w:hAnsi="Times New Roman"/>
                <w:b/>
                <w:bCs/>
                <w:color w:val="auto"/>
                <w:sz w:val="24"/>
                <w:lang w:val="en-GB"/>
              </w:rPr>
              <w:t>(</w:t>
            </w:r>
            <w:r w:rsidRPr="00531ECA">
              <w:rPr>
                <w:rFonts w:ascii="Times New Roman" w:hAnsi="Times New Roman"/>
                <w:b/>
                <w:bCs/>
                <w:iCs/>
                <w:color w:val="auto"/>
                <w:sz w:val="24"/>
                <w:lang w:val="en-GB"/>
              </w:rPr>
              <w:t>Strong recommendation based on moderate-quality evidence 1B</w:t>
            </w:r>
            <w:r w:rsidRPr="00531ECA">
              <w:rPr>
                <w:rFonts w:ascii="Times New Roman" w:hAnsi="Times New Roman"/>
                <w:b/>
                <w:bCs/>
                <w:color w:val="auto"/>
                <w:sz w:val="24"/>
                <w:lang w:val="en-GB"/>
              </w:rPr>
              <w:t>)</w:t>
            </w:r>
            <w:r w:rsidRPr="00531ECA">
              <w:rPr>
                <w:rFonts w:ascii="Times New Roman" w:hAnsi="Times New Roman"/>
                <w:b/>
                <w:bCs/>
                <w:iCs/>
                <w:color w:val="auto"/>
                <w:sz w:val="24"/>
                <w:shd w:val="clear" w:color="auto" w:fill="FFFFFF"/>
                <w:lang w:val="en-US"/>
              </w:rPr>
              <w:t xml:space="preserve"> </w:t>
            </w:r>
          </w:p>
        </w:tc>
      </w:tr>
      <w:tr w:rsidR="00531ECA" w:rsidRPr="00531ECA" w:rsidTr="00531ECA">
        <w:tc>
          <w:tcPr>
            <w:tcW w:w="9576" w:type="dxa"/>
          </w:tcPr>
          <w:p w:rsidR="00531ECA" w:rsidRPr="00531ECA" w:rsidRDefault="00531ECA" w:rsidP="004827C2">
            <w:pPr>
              <w:numPr>
                <w:ilvl w:val="0"/>
                <w:numId w:val="1"/>
              </w:numPr>
              <w:autoSpaceDE w:val="0"/>
              <w:autoSpaceDN w:val="0"/>
              <w:adjustRightInd w:val="0"/>
              <w:spacing w:line="480" w:lineRule="auto"/>
              <w:rPr>
                <w:rFonts w:ascii="Times New Roman" w:hAnsi="Times New Roman"/>
                <w:b/>
                <w:bCs/>
                <w:iCs/>
                <w:color w:val="auto"/>
                <w:sz w:val="24"/>
                <w:shd w:val="clear" w:color="auto" w:fill="FFFFFF"/>
                <w:lang w:val="en-GB"/>
              </w:rPr>
            </w:pPr>
            <w:r w:rsidRPr="00531ECA">
              <w:rPr>
                <w:rFonts w:ascii="Times New Roman" w:eastAsia="Times New Roman" w:hAnsi="Times New Roman"/>
                <w:b/>
                <w:bCs/>
                <w:color w:val="auto"/>
                <w:sz w:val="24"/>
                <w:lang w:val="en-US" w:bidi="he-IL"/>
              </w:rPr>
              <w:t xml:space="preserve">Broad-spectrum antibiotics should be immediately administered. </w:t>
            </w:r>
            <w:r w:rsidRPr="00531ECA">
              <w:rPr>
                <w:rFonts w:ascii="Times New Roman" w:hAnsi="Times New Roman"/>
                <w:b/>
                <w:bCs/>
                <w:color w:val="auto"/>
                <w:sz w:val="24"/>
                <w:lang w:val="en-GB"/>
              </w:rPr>
              <w:t>(</w:t>
            </w:r>
            <w:r w:rsidRPr="00531ECA">
              <w:rPr>
                <w:rFonts w:ascii="Times New Roman" w:hAnsi="Times New Roman"/>
                <w:b/>
                <w:bCs/>
                <w:iCs/>
                <w:color w:val="auto"/>
                <w:sz w:val="24"/>
                <w:lang w:val="en-GB"/>
              </w:rPr>
              <w:t>Strong recommendation based on moderate-quality evidence 1C</w:t>
            </w:r>
            <w:r w:rsidRPr="00531ECA">
              <w:rPr>
                <w:rFonts w:ascii="Times New Roman" w:hAnsi="Times New Roman"/>
                <w:b/>
                <w:bCs/>
                <w:color w:val="auto"/>
                <w:sz w:val="24"/>
                <w:lang w:val="en-GB"/>
              </w:rPr>
              <w:t>)</w:t>
            </w:r>
            <w:r w:rsidRPr="00531ECA">
              <w:rPr>
                <w:rFonts w:ascii="Times New Roman" w:hAnsi="Times New Roman"/>
                <w:b/>
                <w:bCs/>
                <w:iCs/>
                <w:color w:val="auto"/>
                <w:sz w:val="24"/>
                <w:shd w:val="clear" w:color="auto" w:fill="FFFFFF"/>
                <w:lang w:val="en-GB"/>
              </w:rPr>
              <w:t xml:space="preserve"> </w:t>
            </w:r>
          </w:p>
        </w:tc>
      </w:tr>
      <w:tr w:rsidR="00531ECA" w:rsidRPr="00531ECA" w:rsidTr="00531ECA">
        <w:tc>
          <w:tcPr>
            <w:tcW w:w="9576" w:type="dxa"/>
          </w:tcPr>
          <w:p w:rsidR="00531ECA" w:rsidRPr="00531ECA" w:rsidRDefault="00531ECA" w:rsidP="004827C2">
            <w:pPr>
              <w:autoSpaceDE w:val="0"/>
              <w:autoSpaceDN w:val="0"/>
              <w:adjustRightInd w:val="0"/>
              <w:spacing w:line="480" w:lineRule="auto"/>
              <w:rPr>
                <w:rFonts w:ascii="Times New Roman" w:hAnsi="Times New Roman"/>
                <w:b/>
                <w:bCs/>
                <w:iCs/>
                <w:color w:val="auto"/>
                <w:sz w:val="24"/>
                <w:shd w:val="clear" w:color="auto" w:fill="FFFFFF"/>
                <w:lang w:val="en-GB"/>
              </w:rPr>
            </w:pPr>
          </w:p>
        </w:tc>
      </w:tr>
      <w:tr w:rsidR="00531ECA" w:rsidRPr="00531ECA" w:rsidTr="00531ECA">
        <w:tc>
          <w:tcPr>
            <w:tcW w:w="9576" w:type="dxa"/>
          </w:tcPr>
          <w:p w:rsidR="00531ECA" w:rsidRPr="00531ECA" w:rsidRDefault="00531ECA" w:rsidP="004827C2">
            <w:pPr>
              <w:pStyle w:val="Normal0"/>
              <w:numPr>
                <w:ilvl w:val="0"/>
                <w:numId w:val="4"/>
              </w:numPr>
              <w:spacing w:line="480" w:lineRule="auto"/>
              <w:ind w:left="1800"/>
              <w:rPr>
                <w:rFonts w:ascii="Times New Roman" w:eastAsia="Times New Roman" w:hAnsi="Times New Roman" w:cs="Times New Roman"/>
                <w:color w:val="auto"/>
                <w:sz w:val="24"/>
                <w:szCs w:val="24"/>
                <w:u w:color="FF0000"/>
                <w:lang w:val="it-IT"/>
              </w:rPr>
            </w:pPr>
            <w:r w:rsidRPr="00531ECA">
              <w:rPr>
                <w:rFonts w:ascii="Times New Roman" w:hAnsi="Times New Roman"/>
                <w:color w:val="auto"/>
                <w:sz w:val="24"/>
                <w:szCs w:val="24"/>
                <w:u w:color="FF0000"/>
                <w:lang w:val="it-IT"/>
              </w:rPr>
              <w:t xml:space="preserve">We recommend </w:t>
            </w:r>
            <w:r w:rsidRPr="00531ECA">
              <w:rPr>
                <w:rFonts w:ascii="Times New Roman" w:hAnsi="Times New Roman"/>
                <w:color w:val="auto"/>
                <w:sz w:val="24"/>
                <w:szCs w:val="24"/>
                <w:u w:color="FF0000"/>
                <w:lang w:val="en-US"/>
              </w:rPr>
              <w:t xml:space="preserve">to maintain a high suspicion for </w:t>
            </w:r>
            <w:r w:rsidRPr="00531ECA">
              <w:rPr>
                <w:rFonts w:ascii="Times New Roman" w:hAnsi="Times New Roman"/>
                <w:color w:val="auto"/>
                <w:sz w:val="24"/>
                <w:szCs w:val="24"/>
                <w:u w:color="FF0000"/>
                <w:lang w:val="it-IT"/>
              </w:rPr>
              <w:t>AMI in patients presenting at ED admission with abdominal pain and signs of sepsis (Strength of recommendation High 1B)</w:t>
            </w:r>
          </w:p>
        </w:tc>
      </w:tr>
      <w:tr w:rsidR="00531ECA" w:rsidRPr="00531ECA" w:rsidTr="00531ECA">
        <w:tc>
          <w:tcPr>
            <w:tcW w:w="9576" w:type="dxa"/>
          </w:tcPr>
          <w:p w:rsidR="00531ECA" w:rsidRPr="00531ECA" w:rsidRDefault="00531ECA" w:rsidP="004827C2">
            <w:pPr>
              <w:pStyle w:val="Normal0"/>
              <w:numPr>
                <w:ilvl w:val="0"/>
                <w:numId w:val="4"/>
              </w:numPr>
              <w:spacing w:line="480" w:lineRule="auto"/>
              <w:ind w:left="1800"/>
              <w:rPr>
                <w:rFonts w:ascii="Times New Roman" w:eastAsia="Times New Roman" w:hAnsi="Times New Roman" w:cs="Times New Roman"/>
                <w:color w:val="auto"/>
                <w:sz w:val="24"/>
                <w:szCs w:val="24"/>
                <w:u w:color="FF0000"/>
                <w:lang w:val="it-IT"/>
              </w:rPr>
            </w:pPr>
            <w:r w:rsidRPr="00531ECA">
              <w:rPr>
                <w:rFonts w:ascii="Times New Roman" w:hAnsi="Times New Roman"/>
                <w:color w:val="auto"/>
                <w:sz w:val="24"/>
                <w:szCs w:val="24"/>
                <w:u w:color="FF0000"/>
                <w:lang w:val="it-IT"/>
              </w:rPr>
              <w:t xml:space="preserve">We recommend </w:t>
            </w:r>
            <w:r w:rsidRPr="00531ECA">
              <w:rPr>
                <w:rFonts w:ascii="Times New Roman" w:hAnsi="Times New Roman"/>
                <w:color w:val="auto"/>
                <w:sz w:val="24"/>
                <w:szCs w:val="24"/>
                <w:u w:color="FF0000"/>
                <w:lang w:val="en-US"/>
              </w:rPr>
              <w:t xml:space="preserve">lactic acid monitoring </w:t>
            </w:r>
            <w:r w:rsidRPr="00531ECA">
              <w:rPr>
                <w:rFonts w:ascii="Times New Roman" w:hAnsi="Times New Roman"/>
                <w:color w:val="auto"/>
                <w:sz w:val="24"/>
                <w:szCs w:val="24"/>
                <w:u w:color="FF0000"/>
                <w:lang w:val="it-IT"/>
              </w:rPr>
              <w:t>in patients with the high suspicion of AMI (SoR High 1B)</w:t>
            </w:r>
          </w:p>
        </w:tc>
      </w:tr>
      <w:tr w:rsidR="00531ECA" w:rsidRPr="00531ECA" w:rsidTr="00531ECA">
        <w:tc>
          <w:tcPr>
            <w:tcW w:w="9576" w:type="dxa"/>
          </w:tcPr>
          <w:p w:rsidR="00531ECA" w:rsidRPr="00531ECA" w:rsidRDefault="00531ECA" w:rsidP="004827C2">
            <w:pPr>
              <w:pStyle w:val="Normal0"/>
              <w:numPr>
                <w:ilvl w:val="0"/>
                <w:numId w:val="4"/>
              </w:numPr>
              <w:spacing w:line="480" w:lineRule="auto"/>
              <w:ind w:left="1800"/>
              <w:rPr>
                <w:rFonts w:ascii="Times New Roman" w:eastAsia="Times New Roman" w:hAnsi="Times New Roman" w:cs="Times New Roman"/>
                <w:color w:val="auto"/>
                <w:sz w:val="24"/>
                <w:szCs w:val="24"/>
                <w:u w:color="FF0000"/>
                <w:lang w:val="it-IT"/>
              </w:rPr>
            </w:pPr>
            <w:r w:rsidRPr="00531ECA">
              <w:rPr>
                <w:rFonts w:ascii="Times New Roman" w:hAnsi="Times New Roman"/>
                <w:color w:val="auto"/>
                <w:sz w:val="24"/>
                <w:szCs w:val="24"/>
                <w:u w:color="FF0000"/>
                <w:lang w:val="it-IT"/>
              </w:rPr>
              <w:t>We recommend D-Dimer measurement to exclude intestinal ischemia (SoR High 1C)</w:t>
            </w:r>
          </w:p>
        </w:tc>
      </w:tr>
      <w:tr w:rsidR="00531ECA" w:rsidRPr="00531ECA" w:rsidTr="00531ECA">
        <w:tc>
          <w:tcPr>
            <w:tcW w:w="9576" w:type="dxa"/>
          </w:tcPr>
          <w:p w:rsidR="00531ECA" w:rsidRPr="00531ECA" w:rsidRDefault="00531ECA" w:rsidP="004827C2">
            <w:pPr>
              <w:pStyle w:val="Normal0"/>
              <w:numPr>
                <w:ilvl w:val="0"/>
                <w:numId w:val="4"/>
              </w:numPr>
              <w:spacing w:line="480" w:lineRule="auto"/>
              <w:ind w:left="1800"/>
              <w:rPr>
                <w:rFonts w:ascii="Times New Roman" w:eastAsia="Times New Roman" w:hAnsi="Times New Roman" w:cs="Times New Roman"/>
                <w:color w:val="auto"/>
                <w:sz w:val="24"/>
                <w:szCs w:val="24"/>
                <w:u w:color="FF0000"/>
                <w:lang w:val="it-IT"/>
              </w:rPr>
            </w:pPr>
            <w:r w:rsidRPr="00531ECA">
              <w:rPr>
                <w:rFonts w:ascii="Times New Roman" w:hAnsi="Times New Roman"/>
                <w:color w:val="auto"/>
                <w:sz w:val="24"/>
                <w:szCs w:val="24"/>
                <w:u w:color="FF0000"/>
                <w:lang w:val="it-IT"/>
              </w:rPr>
              <w:t>We recommend against the use of plain abdominal X-ray in evaluating patients for AMI (SoR High 1B)</w:t>
            </w:r>
          </w:p>
        </w:tc>
      </w:tr>
      <w:tr w:rsidR="00531ECA" w:rsidRPr="00531ECA" w:rsidTr="00531ECA">
        <w:tc>
          <w:tcPr>
            <w:tcW w:w="9576" w:type="dxa"/>
          </w:tcPr>
          <w:p w:rsidR="00531ECA" w:rsidRPr="00531ECA" w:rsidRDefault="00531ECA" w:rsidP="004827C2">
            <w:pPr>
              <w:pStyle w:val="Normal0"/>
              <w:numPr>
                <w:ilvl w:val="0"/>
                <w:numId w:val="4"/>
              </w:numPr>
              <w:spacing w:line="480" w:lineRule="auto"/>
              <w:ind w:left="1800"/>
              <w:rPr>
                <w:rFonts w:ascii="Times New Roman" w:eastAsia="Times New Roman" w:hAnsi="Times New Roman" w:cs="Times New Roman"/>
                <w:color w:val="auto"/>
                <w:sz w:val="24"/>
                <w:szCs w:val="24"/>
                <w:shd w:val="clear" w:color="auto" w:fill="FFFFFF"/>
                <w:lang w:val="it-IT"/>
              </w:rPr>
            </w:pPr>
            <w:r w:rsidRPr="00531ECA">
              <w:rPr>
                <w:rFonts w:ascii="Times New Roman" w:hAnsi="Times New Roman"/>
                <w:color w:val="auto"/>
                <w:sz w:val="24"/>
                <w:szCs w:val="24"/>
                <w:u w:color="FF0000"/>
                <w:lang w:val="it-IT"/>
              </w:rPr>
              <w:t>We recommend against delay of CTA in patients with clinical scenario and laboratory studies suspected for AMI (SoR High 1B)</w:t>
            </w:r>
          </w:p>
        </w:tc>
      </w:tr>
      <w:tr w:rsidR="00531ECA" w:rsidRPr="00531ECA" w:rsidTr="00531ECA">
        <w:tc>
          <w:tcPr>
            <w:tcW w:w="9576" w:type="dxa"/>
          </w:tcPr>
          <w:p w:rsidR="00531ECA" w:rsidRPr="00531ECA" w:rsidRDefault="00531ECA" w:rsidP="004827C2">
            <w:pPr>
              <w:pStyle w:val="Normal0"/>
              <w:numPr>
                <w:ilvl w:val="0"/>
                <w:numId w:val="4"/>
              </w:numPr>
              <w:spacing w:line="480" w:lineRule="auto"/>
              <w:ind w:left="1800"/>
              <w:rPr>
                <w:rFonts w:ascii="Times New Roman" w:eastAsia="Times New Roman" w:hAnsi="Times New Roman" w:cs="Times New Roman"/>
                <w:color w:val="auto"/>
                <w:sz w:val="24"/>
                <w:szCs w:val="24"/>
                <w:u w:color="FF0704"/>
                <w:shd w:val="clear" w:color="auto" w:fill="FFFFFF"/>
                <w:lang w:val="it-IT"/>
              </w:rPr>
            </w:pPr>
            <w:r w:rsidRPr="00531ECA">
              <w:rPr>
                <w:rFonts w:ascii="Times New Roman" w:hAnsi="Times New Roman"/>
                <w:color w:val="auto"/>
                <w:sz w:val="24"/>
                <w:szCs w:val="24"/>
                <w:u w:color="FF0704"/>
                <w:shd w:val="clear" w:color="auto" w:fill="FFFFFF"/>
                <w:lang w:val="it-IT"/>
              </w:rPr>
              <w:t xml:space="preserve">We recommend against delaying resuscitative manoeuvres,  </w:t>
            </w:r>
            <w:r w:rsidRPr="00531ECA">
              <w:rPr>
                <w:rFonts w:ascii="Times New Roman" w:hAnsi="Times New Roman"/>
                <w:color w:val="auto"/>
                <w:sz w:val="24"/>
                <w:szCs w:val="24"/>
                <w:u w:color="FF0704"/>
                <w:shd w:val="clear" w:color="auto" w:fill="FFFFFF"/>
                <w:lang w:val="it-IT"/>
              </w:rPr>
              <w:lastRenderedPageBreak/>
              <w:t>administration of  empirical broad-spectrum antibiotic treatment and anticoagulant treatment with unfractionated heparin in patients with AMI (SoR High 1A)</w:t>
            </w:r>
          </w:p>
        </w:tc>
      </w:tr>
      <w:tr w:rsidR="00531ECA" w:rsidRPr="00531ECA" w:rsidTr="00531ECA">
        <w:tc>
          <w:tcPr>
            <w:tcW w:w="9576" w:type="dxa"/>
          </w:tcPr>
          <w:p w:rsidR="00531ECA" w:rsidRPr="00531ECA" w:rsidRDefault="00531ECA" w:rsidP="004827C2">
            <w:pPr>
              <w:pStyle w:val="Normal0"/>
              <w:numPr>
                <w:ilvl w:val="0"/>
                <w:numId w:val="4"/>
              </w:numPr>
              <w:spacing w:line="480" w:lineRule="auto"/>
              <w:ind w:left="1800"/>
              <w:rPr>
                <w:rFonts w:ascii="Times New Roman" w:eastAsia="Times New Roman" w:hAnsi="Times New Roman" w:cs="Times New Roman"/>
                <w:color w:val="auto"/>
                <w:sz w:val="24"/>
                <w:szCs w:val="24"/>
                <w:u w:color="FF0704"/>
                <w:shd w:val="clear" w:color="auto" w:fill="FFFFFF"/>
                <w:lang w:val="it-IT"/>
              </w:rPr>
            </w:pPr>
            <w:r w:rsidRPr="00531ECA">
              <w:rPr>
                <w:rFonts w:ascii="Times New Roman" w:hAnsi="Times New Roman"/>
                <w:color w:val="auto"/>
                <w:sz w:val="24"/>
                <w:szCs w:val="24"/>
                <w:u w:color="FF0704"/>
                <w:shd w:val="clear" w:color="auto" w:fill="FFFFFF"/>
                <w:lang w:val="it-IT"/>
              </w:rPr>
              <w:lastRenderedPageBreak/>
              <w:t>We recommend to investigate the intraabdominal pressure in critically ill patients ((SoR High 1A)</w:t>
            </w:r>
          </w:p>
        </w:tc>
      </w:tr>
      <w:tr w:rsidR="00531ECA" w:rsidRPr="00531ECA" w:rsidTr="00531ECA">
        <w:tc>
          <w:tcPr>
            <w:tcW w:w="9576" w:type="dxa"/>
          </w:tcPr>
          <w:p w:rsidR="00531ECA" w:rsidRPr="00531ECA" w:rsidRDefault="00531ECA" w:rsidP="004827C2">
            <w:pPr>
              <w:pStyle w:val="Normal0"/>
              <w:numPr>
                <w:ilvl w:val="0"/>
                <w:numId w:val="4"/>
              </w:numPr>
              <w:spacing w:line="480" w:lineRule="auto"/>
              <w:ind w:left="1800"/>
              <w:rPr>
                <w:rFonts w:ascii="Times New Roman" w:eastAsia="Times New Roman" w:hAnsi="Times New Roman" w:cs="Times New Roman"/>
                <w:color w:val="auto"/>
                <w:sz w:val="24"/>
                <w:szCs w:val="24"/>
                <w:u w:color="FF0704"/>
                <w:shd w:val="clear" w:color="auto" w:fill="FFFFFF"/>
                <w:lang w:val="it-IT"/>
              </w:rPr>
            </w:pPr>
            <w:r w:rsidRPr="00531ECA">
              <w:rPr>
                <w:rFonts w:ascii="Times New Roman" w:hAnsi="Times New Roman"/>
                <w:color w:val="auto"/>
                <w:sz w:val="24"/>
                <w:szCs w:val="24"/>
                <w:u w:color="FF0704"/>
                <w:shd w:val="clear" w:color="auto" w:fill="FFFFFF"/>
                <w:lang w:val="it-IT"/>
              </w:rPr>
              <w:t>We recommend for multidisciplinary approach in managing the patient with AMI (SoR High 1B)</w:t>
            </w:r>
          </w:p>
        </w:tc>
      </w:tr>
      <w:tr w:rsidR="00531ECA" w:rsidRPr="00531ECA" w:rsidTr="00531ECA">
        <w:tc>
          <w:tcPr>
            <w:tcW w:w="9576" w:type="dxa"/>
            <w:tcBorders>
              <w:bottom w:val="single" w:sz="4" w:space="0" w:color="auto"/>
            </w:tcBorders>
          </w:tcPr>
          <w:p w:rsidR="00531ECA" w:rsidRPr="00531ECA" w:rsidRDefault="00531ECA" w:rsidP="004827C2">
            <w:pPr>
              <w:autoSpaceDE w:val="0"/>
              <w:autoSpaceDN w:val="0"/>
              <w:adjustRightInd w:val="0"/>
              <w:spacing w:line="480" w:lineRule="auto"/>
              <w:rPr>
                <w:rFonts w:ascii="Times New Roman" w:hAnsi="Times New Roman"/>
                <w:b/>
                <w:bCs/>
                <w:iCs/>
                <w:color w:val="auto"/>
                <w:sz w:val="24"/>
                <w:shd w:val="clear" w:color="auto" w:fill="FFFFFF"/>
                <w:lang w:val="it-IT"/>
              </w:rPr>
            </w:pPr>
          </w:p>
        </w:tc>
      </w:tr>
      <w:tr w:rsidR="00531ECA" w:rsidRPr="00531ECA" w:rsidTr="00531ECA">
        <w:tc>
          <w:tcPr>
            <w:tcW w:w="9576" w:type="dxa"/>
            <w:tcBorders>
              <w:top w:val="single" w:sz="4" w:space="0" w:color="auto"/>
            </w:tcBorders>
          </w:tcPr>
          <w:p w:rsidR="00531ECA" w:rsidRPr="00531ECA" w:rsidRDefault="00531ECA" w:rsidP="004827C2">
            <w:pPr>
              <w:pStyle w:val="Normal0"/>
              <w:spacing w:line="480" w:lineRule="auto"/>
              <w:rPr>
                <w:rFonts w:ascii="Times New Roman" w:eastAsia="Times New Roman" w:hAnsi="Times New Roman" w:cs="Times New Roman"/>
                <w:b/>
                <w:bCs/>
                <w:color w:val="auto"/>
                <w:sz w:val="24"/>
                <w:szCs w:val="24"/>
                <w:shd w:val="clear" w:color="auto" w:fill="FFFFFF"/>
                <w:lang w:val="en-US"/>
              </w:rPr>
            </w:pPr>
            <w:r w:rsidRPr="00531ECA">
              <w:rPr>
                <w:rFonts w:ascii="Times New Roman" w:hAnsi="Times New Roman"/>
                <w:b/>
                <w:bCs/>
                <w:color w:val="auto"/>
                <w:sz w:val="24"/>
                <w:szCs w:val="24"/>
                <w:lang w:val="en-US"/>
              </w:rPr>
              <w:t>Operative and non-operative treatments</w:t>
            </w:r>
          </w:p>
        </w:tc>
      </w:tr>
      <w:tr w:rsidR="00531ECA" w:rsidRPr="00531ECA" w:rsidTr="00531ECA">
        <w:tc>
          <w:tcPr>
            <w:tcW w:w="9576" w:type="dxa"/>
          </w:tcPr>
          <w:p w:rsidR="00531ECA" w:rsidRPr="00531ECA" w:rsidRDefault="00531ECA" w:rsidP="004827C2">
            <w:pPr>
              <w:autoSpaceDE w:val="0"/>
              <w:autoSpaceDN w:val="0"/>
              <w:adjustRightInd w:val="0"/>
              <w:spacing w:line="480" w:lineRule="auto"/>
              <w:rPr>
                <w:rFonts w:ascii="Times New Roman" w:hAnsi="Times New Roman"/>
                <w:b/>
                <w:bCs/>
                <w:iCs/>
                <w:color w:val="auto"/>
                <w:sz w:val="24"/>
                <w:shd w:val="clear" w:color="auto" w:fill="FFFFFF"/>
                <w:lang w:val="en-GB"/>
              </w:rPr>
            </w:pPr>
          </w:p>
        </w:tc>
      </w:tr>
      <w:tr w:rsidR="00531ECA" w:rsidRPr="00531ECA" w:rsidTr="00531ECA">
        <w:tc>
          <w:tcPr>
            <w:tcW w:w="9576" w:type="dxa"/>
          </w:tcPr>
          <w:p w:rsidR="00531ECA" w:rsidRPr="00531ECA" w:rsidRDefault="00531ECA" w:rsidP="004827C2">
            <w:pPr>
              <w:pStyle w:val="ListParagraph"/>
              <w:numPr>
                <w:ilvl w:val="0"/>
                <w:numId w:val="1"/>
              </w:numPr>
              <w:autoSpaceDE w:val="0"/>
              <w:autoSpaceDN w:val="0"/>
              <w:adjustRightInd w:val="0"/>
              <w:spacing w:line="480" w:lineRule="auto"/>
              <w:rPr>
                <w:rFonts w:ascii="Times New Roman" w:hAnsi="Times New Roman"/>
                <w:b/>
                <w:iCs/>
                <w:color w:val="auto"/>
                <w:sz w:val="24"/>
                <w:shd w:val="clear" w:color="auto" w:fill="FFFFFF"/>
                <w:lang w:val="en-GB"/>
              </w:rPr>
            </w:pPr>
            <w:r w:rsidRPr="00531ECA">
              <w:rPr>
                <w:rFonts w:ascii="Times New Roman" w:hAnsi="Times New Roman"/>
                <w:b/>
                <w:color w:val="auto"/>
                <w:sz w:val="24"/>
                <w:lang w:val="en-GB"/>
              </w:rPr>
              <w:t>Prompt laparoscopy/laparotomy should be done for patients with an overt peritonitis.</w:t>
            </w:r>
            <w:r w:rsidRPr="00531ECA">
              <w:rPr>
                <w:rFonts w:ascii="Times New Roman" w:hAnsi="Times New Roman"/>
                <w:b/>
                <w:iCs/>
                <w:color w:val="auto"/>
                <w:sz w:val="24"/>
                <w:shd w:val="clear" w:color="auto" w:fill="FFFFFF"/>
                <w:lang w:val="en-GB"/>
              </w:rPr>
              <w:t xml:space="preserve"> </w:t>
            </w:r>
            <w:r w:rsidRPr="00531ECA">
              <w:rPr>
                <w:rFonts w:ascii="Times New Roman" w:hAnsi="Times New Roman"/>
                <w:b/>
                <w:bCs/>
                <w:color w:val="auto"/>
                <w:sz w:val="24"/>
                <w:lang w:val="en-GB"/>
              </w:rPr>
              <w:t>(</w:t>
            </w:r>
            <w:r w:rsidRPr="00531ECA">
              <w:rPr>
                <w:rFonts w:ascii="Times New Roman" w:hAnsi="Times New Roman"/>
                <w:b/>
                <w:bCs/>
                <w:iCs/>
                <w:color w:val="auto"/>
                <w:sz w:val="24"/>
                <w:lang w:val="en-GB"/>
              </w:rPr>
              <w:t>Strong recommendation based on low-quality evidence 1C</w:t>
            </w:r>
            <w:r w:rsidRPr="00531ECA">
              <w:rPr>
                <w:rFonts w:ascii="Times New Roman" w:hAnsi="Times New Roman"/>
                <w:b/>
                <w:bCs/>
                <w:color w:val="auto"/>
                <w:sz w:val="24"/>
                <w:lang w:val="en-GB"/>
              </w:rPr>
              <w:t>)</w:t>
            </w:r>
          </w:p>
        </w:tc>
      </w:tr>
      <w:tr w:rsidR="00531ECA" w:rsidRPr="00531ECA" w:rsidDel="00D216B2" w:rsidTr="00531ECA">
        <w:tc>
          <w:tcPr>
            <w:tcW w:w="9576" w:type="dxa"/>
          </w:tcPr>
          <w:p w:rsidR="00531ECA" w:rsidRPr="00531ECA" w:rsidDel="00D216B2" w:rsidRDefault="00531ECA" w:rsidP="004827C2">
            <w:pPr>
              <w:pStyle w:val="CommentText"/>
              <w:numPr>
                <w:ilvl w:val="0"/>
                <w:numId w:val="1"/>
              </w:numPr>
              <w:spacing w:line="480" w:lineRule="auto"/>
              <w:rPr>
                <w:rFonts w:ascii="Times New Roman" w:hAnsi="Times New Roman"/>
                <w:b/>
                <w:color w:val="auto"/>
                <w:sz w:val="24"/>
                <w:lang w:val="en-GB"/>
              </w:rPr>
            </w:pPr>
            <w:r w:rsidRPr="00531ECA">
              <w:rPr>
                <w:rFonts w:ascii="Times New Roman" w:hAnsi="Times New Roman"/>
                <w:b/>
                <w:color w:val="auto"/>
                <w:sz w:val="24"/>
                <w:lang w:val="en-GB"/>
              </w:rPr>
              <w:t xml:space="preserve">Endovascular revascularization procedures </w:t>
            </w:r>
            <w:r w:rsidRPr="00531ECA">
              <w:rPr>
                <w:rFonts w:ascii="Times New Roman" w:hAnsi="Times New Roman"/>
                <w:b/>
                <w:bCs/>
                <w:color w:val="auto"/>
                <w:sz w:val="24"/>
                <w:szCs w:val="24"/>
                <w:lang w:val="en-US"/>
              </w:rPr>
              <w:t xml:space="preserve">are the primary option </w:t>
            </w:r>
            <w:r w:rsidRPr="00531ECA">
              <w:rPr>
                <w:rFonts w:ascii="Times New Roman" w:hAnsi="Times New Roman"/>
                <w:b/>
                <w:color w:val="auto"/>
                <w:sz w:val="24"/>
                <w:lang w:val="en-GB"/>
              </w:rPr>
              <w:t>in cases of arterial occlusion</w:t>
            </w:r>
            <w:r w:rsidRPr="00531ECA">
              <w:rPr>
                <w:rFonts w:ascii="Times New Roman" w:hAnsi="Times New Roman"/>
                <w:b/>
                <w:bCs/>
                <w:color w:val="auto"/>
                <w:sz w:val="24"/>
                <w:szCs w:val="24"/>
                <w:lang w:val="en-US"/>
              </w:rPr>
              <w:t xml:space="preserve"> when sufficient expertise is available</w:t>
            </w:r>
            <w:r w:rsidRPr="00531ECA">
              <w:rPr>
                <w:rFonts w:ascii="Times New Roman" w:hAnsi="Times New Roman"/>
                <w:b/>
                <w:color w:val="auto"/>
                <w:sz w:val="24"/>
                <w:lang w:val="en-GB"/>
              </w:rPr>
              <w:t xml:space="preserve">. </w:t>
            </w:r>
            <w:r w:rsidRPr="00531ECA">
              <w:rPr>
                <w:rFonts w:ascii="Times New Roman" w:hAnsi="Times New Roman"/>
                <w:b/>
                <w:bCs/>
                <w:color w:val="auto"/>
                <w:sz w:val="24"/>
                <w:lang w:val="en-GB"/>
              </w:rPr>
              <w:t>(</w:t>
            </w:r>
            <w:r w:rsidRPr="00531ECA">
              <w:rPr>
                <w:rFonts w:ascii="Times New Roman" w:eastAsia="Times New Roman" w:hAnsi="Times New Roman"/>
                <w:b/>
                <w:bCs/>
                <w:color w:val="auto"/>
                <w:sz w:val="24"/>
                <w:lang w:val="en-US"/>
              </w:rPr>
              <w:t xml:space="preserve">Strong recommendation based on low-quality evidence </w:t>
            </w:r>
            <w:r w:rsidRPr="00531ECA">
              <w:rPr>
                <w:rFonts w:ascii="Times New Roman" w:hAnsi="Times New Roman"/>
                <w:b/>
                <w:bCs/>
                <w:color w:val="auto"/>
                <w:sz w:val="24"/>
                <w:lang w:val="en-GB"/>
              </w:rPr>
              <w:t>1C)</w:t>
            </w:r>
          </w:p>
        </w:tc>
      </w:tr>
      <w:tr w:rsidR="00531ECA" w:rsidRPr="00531ECA" w:rsidTr="00531ECA">
        <w:tc>
          <w:tcPr>
            <w:tcW w:w="9576" w:type="dxa"/>
          </w:tcPr>
          <w:p w:rsidR="00531ECA" w:rsidRPr="00531ECA" w:rsidRDefault="00531ECA" w:rsidP="004827C2">
            <w:pPr>
              <w:pStyle w:val="ListParagraph"/>
              <w:numPr>
                <w:ilvl w:val="0"/>
                <w:numId w:val="1"/>
              </w:numPr>
              <w:autoSpaceDE w:val="0"/>
              <w:autoSpaceDN w:val="0"/>
              <w:adjustRightInd w:val="0"/>
              <w:spacing w:line="480" w:lineRule="auto"/>
              <w:rPr>
                <w:rFonts w:ascii="Times New Roman" w:hAnsi="Times New Roman"/>
                <w:b/>
                <w:bCs/>
                <w:color w:val="auto"/>
                <w:sz w:val="24"/>
                <w:lang w:val="en-US"/>
              </w:rPr>
            </w:pPr>
            <w:r w:rsidRPr="00531ECA">
              <w:rPr>
                <w:rFonts w:ascii="Times New Roman" w:hAnsi="Times New Roman"/>
                <w:b/>
                <w:color w:val="auto"/>
                <w:sz w:val="24"/>
                <w:lang w:val="en-GB"/>
              </w:rPr>
              <w:t xml:space="preserve">Damage control surgery (DCS) with temporary abdominal closure is an important adjunct for patients who require intestinal resection allowing reassessment of bowel viability and in situations of severe abdominal sepsis.  </w:t>
            </w:r>
            <w:r w:rsidRPr="00531ECA">
              <w:rPr>
                <w:rFonts w:ascii="Times New Roman" w:hAnsi="Times New Roman"/>
                <w:b/>
                <w:bCs/>
                <w:color w:val="auto"/>
                <w:sz w:val="24"/>
                <w:lang w:val="en-GB"/>
              </w:rPr>
              <w:t>(</w:t>
            </w:r>
            <w:r w:rsidRPr="00531ECA">
              <w:rPr>
                <w:rFonts w:ascii="Times New Roman" w:hAnsi="Times New Roman"/>
                <w:b/>
                <w:bCs/>
                <w:iCs/>
                <w:color w:val="auto"/>
                <w:sz w:val="24"/>
                <w:lang w:val="en-GB"/>
              </w:rPr>
              <w:t>Strong recommendation based on low-quality evidence 1B</w:t>
            </w:r>
            <w:r w:rsidRPr="00531ECA">
              <w:rPr>
                <w:rFonts w:ascii="Times New Roman" w:hAnsi="Times New Roman"/>
                <w:b/>
                <w:bCs/>
                <w:color w:val="auto"/>
                <w:sz w:val="24"/>
                <w:lang w:val="en-GB"/>
              </w:rPr>
              <w:t>)</w:t>
            </w:r>
          </w:p>
        </w:tc>
      </w:tr>
      <w:tr w:rsidR="00531ECA" w:rsidRPr="00531ECA" w:rsidTr="00531ECA">
        <w:tc>
          <w:tcPr>
            <w:tcW w:w="9576" w:type="dxa"/>
          </w:tcPr>
          <w:p w:rsidR="00531ECA" w:rsidRPr="00531ECA" w:rsidRDefault="00531ECA" w:rsidP="004827C2">
            <w:pPr>
              <w:pStyle w:val="ListParagraph"/>
              <w:numPr>
                <w:ilvl w:val="0"/>
                <w:numId w:val="1"/>
              </w:numPr>
              <w:autoSpaceDE w:val="0"/>
              <w:autoSpaceDN w:val="0"/>
              <w:adjustRightInd w:val="0"/>
              <w:spacing w:line="480" w:lineRule="auto"/>
              <w:rPr>
                <w:rFonts w:ascii="Times New Roman" w:hAnsi="Times New Roman"/>
                <w:color w:val="auto"/>
                <w:sz w:val="24"/>
              </w:rPr>
            </w:pPr>
            <w:r w:rsidRPr="00531ECA">
              <w:rPr>
                <w:rFonts w:ascii="Times New Roman" w:eastAsia="Times New Roman" w:hAnsi="Times New Roman"/>
                <w:b/>
                <w:bCs/>
                <w:color w:val="auto"/>
                <w:sz w:val="24"/>
                <w:lang w:val="en-US" w:bidi="he-IL"/>
              </w:rPr>
              <w:t>Mesenteric venous thrombosis can often be successfully treated with a continuous infusion of unfractionated heparin.</w:t>
            </w:r>
            <w:r w:rsidRPr="00531ECA">
              <w:rPr>
                <w:rFonts w:ascii="Times New Roman" w:hAnsi="Times New Roman"/>
                <w:color w:val="auto"/>
                <w:sz w:val="24"/>
                <w:lang w:val="en-GB"/>
              </w:rPr>
              <w:t xml:space="preserve"> </w:t>
            </w:r>
            <w:r w:rsidRPr="00531ECA">
              <w:rPr>
                <w:rFonts w:ascii="Times New Roman" w:hAnsi="Times New Roman"/>
                <w:b/>
                <w:bCs/>
                <w:color w:val="auto"/>
                <w:sz w:val="24"/>
                <w:lang w:val="en-GB"/>
              </w:rPr>
              <w:t>(</w:t>
            </w:r>
            <w:r w:rsidRPr="00531ECA">
              <w:rPr>
                <w:rFonts w:ascii="Times New Roman" w:hAnsi="Times New Roman"/>
                <w:b/>
                <w:bCs/>
                <w:iCs/>
                <w:color w:val="auto"/>
                <w:sz w:val="24"/>
                <w:lang w:val="en-GB"/>
              </w:rPr>
              <w:t>Strong recommendation based on moderate-quality evidence 1B</w:t>
            </w:r>
            <w:r w:rsidRPr="00531ECA">
              <w:rPr>
                <w:rFonts w:ascii="Times New Roman" w:hAnsi="Times New Roman"/>
                <w:b/>
                <w:bCs/>
                <w:color w:val="auto"/>
                <w:sz w:val="24"/>
                <w:lang w:val="en-GB"/>
              </w:rPr>
              <w:t>)</w:t>
            </w:r>
          </w:p>
        </w:tc>
      </w:tr>
      <w:tr w:rsidR="00531ECA" w:rsidRPr="00531ECA" w:rsidTr="00531ECA">
        <w:tc>
          <w:tcPr>
            <w:tcW w:w="9576" w:type="dxa"/>
          </w:tcPr>
          <w:p w:rsidR="00531ECA" w:rsidRPr="00531ECA" w:rsidRDefault="00531ECA" w:rsidP="004827C2">
            <w:pPr>
              <w:pStyle w:val="ListParagraph"/>
              <w:numPr>
                <w:ilvl w:val="0"/>
                <w:numId w:val="1"/>
              </w:numPr>
              <w:autoSpaceDE w:val="0"/>
              <w:autoSpaceDN w:val="0"/>
              <w:adjustRightInd w:val="0"/>
              <w:spacing w:line="480" w:lineRule="auto"/>
              <w:rPr>
                <w:rFonts w:ascii="Times New Roman" w:hAnsi="Times New Roman"/>
                <w:b/>
                <w:color w:val="auto"/>
                <w:sz w:val="24"/>
                <w:lang w:val="en-GB"/>
              </w:rPr>
            </w:pPr>
            <w:r w:rsidRPr="00531ECA">
              <w:rPr>
                <w:rFonts w:ascii="Times New Roman" w:eastAsia="Times New Roman" w:hAnsi="Times New Roman"/>
                <w:b/>
                <w:bCs/>
                <w:color w:val="auto"/>
                <w:sz w:val="24"/>
                <w:lang w:val="en-GB" w:bidi="he-IL"/>
              </w:rPr>
              <w:lastRenderedPageBreak/>
              <w:t xml:space="preserve">When </w:t>
            </w:r>
            <w:r w:rsidRPr="00531ECA">
              <w:rPr>
                <w:rFonts w:ascii="Times New Roman" w:eastAsia="Times New Roman" w:hAnsi="Times New Roman"/>
                <w:b/>
                <w:bCs/>
                <w:color w:val="auto"/>
                <w:sz w:val="24"/>
                <w:lang w:val="en-US" w:bidi="he-IL"/>
              </w:rPr>
              <w:t>NOMI is suspected the focus is to correct the underlying cause and improve mesenteric perfusion. Infarcted bowel should be resected promptly</w:t>
            </w:r>
            <w:r w:rsidRPr="00531ECA">
              <w:rPr>
                <w:rFonts w:ascii="Times New Roman" w:hAnsi="Times New Roman"/>
                <w:b/>
                <w:bCs/>
                <w:color w:val="auto"/>
                <w:sz w:val="24"/>
                <w:lang w:val="en-GB"/>
              </w:rPr>
              <w:t>. (</w:t>
            </w:r>
            <w:r w:rsidRPr="00531ECA">
              <w:rPr>
                <w:rFonts w:ascii="Times New Roman" w:hAnsi="Times New Roman"/>
                <w:b/>
                <w:bCs/>
                <w:iCs/>
                <w:color w:val="auto"/>
                <w:sz w:val="24"/>
                <w:lang w:val="en-GB"/>
              </w:rPr>
              <w:t>Strong recommendation based on low-quality evidence 1C)</w:t>
            </w:r>
            <w:r w:rsidRPr="00531ECA">
              <w:rPr>
                <w:rFonts w:ascii="Times New Roman" w:hAnsi="Times New Roman"/>
                <w:b/>
                <w:bCs/>
                <w:color w:val="auto"/>
                <w:sz w:val="24"/>
                <w:lang w:val="en-GB"/>
              </w:rPr>
              <w:t xml:space="preserve">. </w:t>
            </w:r>
          </w:p>
        </w:tc>
      </w:tr>
      <w:tr w:rsidR="00531ECA" w:rsidRPr="00531ECA" w:rsidTr="00531ECA">
        <w:tc>
          <w:tcPr>
            <w:tcW w:w="9576" w:type="dxa"/>
          </w:tcPr>
          <w:p w:rsidR="00531ECA" w:rsidRPr="00531ECA" w:rsidRDefault="00531ECA" w:rsidP="004827C2">
            <w:pPr>
              <w:pStyle w:val="ListParagraph"/>
              <w:numPr>
                <w:ilvl w:val="0"/>
                <w:numId w:val="1"/>
              </w:numPr>
              <w:autoSpaceDE w:val="0"/>
              <w:autoSpaceDN w:val="0"/>
              <w:adjustRightInd w:val="0"/>
              <w:spacing w:line="480" w:lineRule="auto"/>
              <w:rPr>
                <w:rFonts w:ascii="Times New Roman" w:hAnsi="Times New Roman"/>
                <w:b/>
                <w:bCs/>
                <w:color w:val="auto"/>
                <w:sz w:val="24"/>
              </w:rPr>
            </w:pPr>
            <w:r w:rsidRPr="00531ECA">
              <w:rPr>
                <w:rFonts w:ascii="Times New Roman" w:hAnsi="Times New Roman"/>
                <w:b/>
                <w:bCs/>
                <w:color w:val="auto"/>
                <w:sz w:val="24"/>
              </w:rPr>
              <w:t>Postoperative intensive care of AMI patients is directed towards the improved intestinal perfusion and the prevention of a multiple organ failure. (</w:t>
            </w:r>
            <w:r w:rsidRPr="00531ECA">
              <w:rPr>
                <w:rFonts w:ascii="Times New Roman" w:hAnsi="Times New Roman"/>
                <w:b/>
                <w:bCs/>
                <w:iCs/>
                <w:color w:val="auto"/>
                <w:sz w:val="24"/>
                <w:lang w:val="en-GB"/>
              </w:rPr>
              <w:t>Strong recommendation based on low-quality evidence 1C</w:t>
            </w:r>
            <w:r w:rsidRPr="00531ECA">
              <w:rPr>
                <w:rFonts w:ascii="Times New Roman" w:hAnsi="Times New Roman"/>
                <w:b/>
                <w:bCs/>
                <w:color w:val="auto"/>
                <w:sz w:val="24"/>
              </w:rPr>
              <w:t>)</w:t>
            </w:r>
          </w:p>
        </w:tc>
      </w:tr>
      <w:tr w:rsidR="00531ECA" w:rsidRPr="00531ECA" w:rsidTr="00531ECA">
        <w:tc>
          <w:tcPr>
            <w:tcW w:w="9576" w:type="dxa"/>
          </w:tcPr>
          <w:p w:rsidR="00531ECA" w:rsidRPr="00531ECA" w:rsidRDefault="00531ECA" w:rsidP="004827C2">
            <w:pPr>
              <w:autoSpaceDE w:val="0"/>
              <w:autoSpaceDN w:val="0"/>
              <w:adjustRightInd w:val="0"/>
              <w:spacing w:line="480" w:lineRule="auto"/>
              <w:rPr>
                <w:rFonts w:ascii="Times New Roman" w:hAnsi="Times New Roman"/>
                <w:b/>
                <w:bCs/>
                <w:color w:val="auto"/>
                <w:sz w:val="24"/>
              </w:rPr>
            </w:pPr>
          </w:p>
        </w:tc>
      </w:tr>
      <w:tr w:rsidR="00531ECA" w:rsidRPr="00531ECA" w:rsidTr="00531ECA">
        <w:tc>
          <w:tcPr>
            <w:tcW w:w="9576" w:type="dxa"/>
          </w:tcPr>
          <w:p w:rsidR="00531ECA" w:rsidRPr="00531ECA" w:rsidRDefault="00531ECA" w:rsidP="004827C2">
            <w:pPr>
              <w:pStyle w:val="Normal0"/>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480" w:lineRule="auto"/>
              <w:rPr>
                <w:rFonts w:asciiTheme="majorBidi" w:eastAsia="Times New Roman" w:hAnsiTheme="majorBidi" w:cstheme="majorBidi"/>
                <w:color w:val="auto"/>
                <w:sz w:val="24"/>
                <w:szCs w:val="24"/>
                <w:u w:color="FF0508"/>
                <w:lang w:val="it-IT"/>
              </w:rPr>
            </w:pPr>
            <w:r w:rsidRPr="00531ECA">
              <w:rPr>
                <w:rFonts w:asciiTheme="majorBidi" w:hAnsiTheme="majorBidi" w:cstheme="majorBidi"/>
                <w:color w:val="auto"/>
                <w:sz w:val="24"/>
                <w:szCs w:val="24"/>
                <w:u w:color="FF0508"/>
                <w:lang w:val="it-IT"/>
              </w:rPr>
              <w:t>We recommend against delaying laparotomy for hemodynamically unstable patients presenting with difuse peritonitis (SoR High 1A).</w:t>
            </w:r>
          </w:p>
        </w:tc>
      </w:tr>
      <w:tr w:rsidR="00531ECA" w:rsidRPr="00531ECA" w:rsidTr="00531ECA">
        <w:tc>
          <w:tcPr>
            <w:tcW w:w="9576" w:type="dxa"/>
          </w:tcPr>
          <w:p w:rsidR="00531ECA" w:rsidRPr="00531ECA" w:rsidRDefault="00531ECA" w:rsidP="004827C2">
            <w:pPr>
              <w:pStyle w:val="Normal0"/>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480" w:lineRule="auto"/>
              <w:rPr>
                <w:rFonts w:asciiTheme="majorBidi" w:eastAsia="Times New Roman" w:hAnsiTheme="majorBidi" w:cstheme="majorBidi"/>
                <w:color w:val="auto"/>
                <w:sz w:val="24"/>
                <w:szCs w:val="24"/>
                <w:u w:color="FF0508"/>
                <w:lang w:val="it-IT"/>
              </w:rPr>
            </w:pPr>
            <w:r w:rsidRPr="00531ECA">
              <w:rPr>
                <w:rFonts w:asciiTheme="majorBidi" w:hAnsiTheme="majorBidi" w:cstheme="majorBidi"/>
                <w:color w:val="auto"/>
                <w:sz w:val="24"/>
                <w:szCs w:val="24"/>
                <w:u w:color="FF0508"/>
                <w:lang w:val="it-IT"/>
              </w:rPr>
              <w:t>We recommend laparoscopy as an alternative to laparotomy for intestinal viability assesment in selected cases in hemodynamically normal patients (SoR Weak 2C)</w:t>
            </w:r>
          </w:p>
        </w:tc>
      </w:tr>
      <w:tr w:rsidR="00531ECA" w:rsidRPr="00531ECA" w:rsidTr="00531ECA">
        <w:tc>
          <w:tcPr>
            <w:tcW w:w="9576" w:type="dxa"/>
          </w:tcPr>
          <w:p w:rsidR="00531ECA" w:rsidRPr="00531ECA" w:rsidRDefault="00531ECA" w:rsidP="004827C2">
            <w:pPr>
              <w:pStyle w:val="ListParagraph"/>
              <w:numPr>
                <w:ilvl w:val="0"/>
                <w:numId w:val="11"/>
              </w:numPr>
              <w:autoSpaceDE w:val="0"/>
              <w:autoSpaceDN w:val="0"/>
              <w:adjustRightInd w:val="0"/>
              <w:spacing w:line="480" w:lineRule="auto"/>
              <w:rPr>
                <w:rFonts w:asciiTheme="majorBidi" w:eastAsia="Times New Roman" w:hAnsiTheme="majorBidi" w:cstheme="majorBidi"/>
                <w:color w:val="auto"/>
                <w:sz w:val="24"/>
                <w:u w:color="FF0508"/>
                <w:lang w:val="it-IT"/>
              </w:rPr>
            </w:pPr>
            <w:r w:rsidRPr="00531ECA">
              <w:rPr>
                <w:rFonts w:asciiTheme="majorBidi" w:eastAsiaTheme="minorHAnsi" w:hAnsiTheme="majorBidi" w:cstheme="majorBidi"/>
                <w:color w:val="auto"/>
                <w:sz w:val="24"/>
                <w:lang w:val="en-US" w:bidi="he-IL"/>
              </w:rPr>
              <w:t>We recommend for open or endovascular revascularization in patients with acute arterial mesenteric ischemia (</w:t>
            </w:r>
            <w:proofErr w:type="spellStart"/>
            <w:r w:rsidRPr="00531ECA">
              <w:rPr>
                <w:rFonts w:asciiTheme="majorBidi" w:eastAsiaTheme="minorHAnsi" w:hAnsiTheme="majorBidi" w:cstheme="majorBidi"/>
                <w:color w:val="auto"/>
                <w:sz w:val="24"/>
                <w:lang w:val="en-US" w:bidi="he-IL"/>
              </w:rPr>
              <w:t>SoR</w:t>
            </w:r>
            <w:proofErr w:type="spellEnd"/>
            <w:r w:rsidRPr="00531ECA">
              <w:rPr>
                <w:rFonts w:asciiTheme="majorBidi" w:eastAsiaTheme="minorHAnsi" w:hAnsiTheme="majorBidi" w:cstheme="majorBidi"/>
                <w:color w:val="auto"/>
                <w:sz w:val="24"/>
                <w:lang w:val="en-US" w:bidi="he-IL"/>
              </w:rPr>
              <w:t xml:space="preserve"> High 1B)</w:t>
            </w:r>
          </w:p>
        </w:tc>
      </w:tr>
      <w:tr w:rsidR="00531ECA" w:rsidRPr="00531ECA" w:rsidTr="00531ECA">
        <w:tc>
          <w:tcPr>
            <w:tcW w:w="9576" w:type="dxa"/>
          </w:tcPr>
          <w:p w:rsidR="00531ECA" w:rsidRPr="00531ECA" w:rsidRDefault="00531ECA" w:rsidP="004827C2">
            <w:pPr>
              <w:pStyle w:val="ListParagraph"/>
              <w:numPr>
                <w:ilvl w:val="0"/>
                <w:numId w:val="11"/>
              </w:numPr>
              <w:autoSpaceDE w:val="0"/>
              <w:autoSpaceDN w:val="0"/>
              <w:adjustRightInd w:val="0"/>
              <w:spacing w:line="480" w:lineRule="auto"/>
              <w:rPr>
                <w:rFonts w:asciiTheme="majorBidi" w:eastAsia="Times New Roman" w:hAnsiTheme="majorBidi" w:cstheme="majorBidi"/>
                <w:color w:val="auto"/>
                <w:sz w:val="24"/>
                <w:u w:color="FF0508"/>
                <w:lang w:val="it-IT"/>
              </w:rPr>
            </w:pPr>
            <w:r w:rsidRPr="00531ECA">
              <w:rPr>
                <w:rFonts w:asciiTheme="majorBidi" w:eastAsiaTheme="minorHAnsi" w:hAnsiTheme="majorBidi" w:cstheme="majorBidi"/>
                <w:color w:val="auto"/>
                <w:sz w:val="24"/>
                <w:lang w:val="en-US" w:bidi="he-IL"/>
              </w:rPr>
              <w:t>We recommend for planned re- laparotomy in patients with intestinal ischemia after revascularization to reassess intestinal viability (</w:t>
            </w:r>
            <w:proofErr w:type="spellStart"/>
            <w:r w:rsidRPr="00531ECA">
              <w:rPr>
                <w:rFonts w:asciiTheme="majorBidi" w:eastAsiaTheme="minorHAnsi" w:hAnsiTheme="majorBidi" w:cstheme="majorBidi"/>
                <w:color w:val="auto"/>
                <w:sz w:val="24"/>
                <w:lang w:val="en-US" w:bidi="he-IL"/>
              </w:rPr>
              <w:t>SoR</w:t>
            </w:r>
            <w:proofErr w:type="spellEnd"/>
            <w:r w:rsidRPr="00531ECA">
              <w:rPr>
                <w:rFonts w:asciiTheme="majorBidi" w:eastAsiaTheme="minorHAnsi" w:hAnsiTheme="majorBidi" w:cstheme="majorBidi"/>
                <w:color w:val="auto"/>
                <w:sz w:val="24"/>
                <w:lang w:val="en-US" w:bidi="he-IL"/>
              </w:rPr>
              <w:t xml:space="preserve"> High 1B)</w:t>
            </w:r>
          </w:p>
        </w:tc>
      </w:tr>
      <w:tr w:rsidR="00531ECA" w:rsidRPr="00531ECA" w:rsidTr="00531ECA">
        <w:tc>
          <w:tcPr>
            <w:tcW w:w="9576" w:type="dxa"/>
          </w:tcPr>
          <w:p w:rsidR="00531ECA" w:rsidRPr="00531ECA" w:rsidRDefault="00531ECA" w:rsidP="004827C2">
            <w:pPr>
              <w:pStyle w:val="ListParagraph"/>
              <w:numPr>
                <w:ilvl w:val="0"/>
                <w:numId w:val="11"/>
              </w:numPr>
              <w:autoSpaceDE w:val="0"/>
              <w:autoSpaceDN w:val="0"/>
              <w:adjustRightInd w:val="0"/>
              <w:spacing w:line="480" w:lineRule="auto"/>
              <w:rPr>
                <w:rFonts w:asciiTheme="majorBidi" w:eastAsia="Times New Roman" w:hAnsiTheme="majorBidi" w:cstheme="majorBidi"/>
                <w:color w:val="auto"/>
                <w:sz w:val="36"/>
                <w:szCs w:val="36"/>
                <w:u w:color="FF0508"/>
                <w:lang w:val="it-IT"/>
              </w:rPr>
            </w:pPr>
            <w:r w:rsidRPr="00531ECA">
              <w:rPr>
                <w:rFonts w:asciiTheme="majorBidi" w:eastAsiaTheme="minorHAnsi" w:hAnsiTheme="majorBidi" w:cstheme="majorBidi"/>
                <w:color w:val="auto"/>
                <w:sz w:val="24"/>
                <w:lang w:val="en-US" w:bidi="he-IL"/>
              </w:rPr>
              <w:t>We recommend intraoperative clinical judgment with Doppler ultrasonography in assessment of intestine viability (</w:t>
            </w:r>
            <w:proofErr w:type="spellStart"/>
            <w:r w:rsidRPr="00531ECA">
              <w:rPr>
                <w:rFonts w:asciiTheme="majorBidi" w:eastAsiaTheme="minorHAnsi" w:hAnsiTheme="majorBidi" w:cstheme="majorBidi"/>
                <w:color w:val="auto"/>
                <w:sz w:val="24"/>
                <w:lang w:val="en-US" w:bidi="he-IL"/>
              </w:rPr>
              <w:t>SoR</w:t>
            </w:r>
            <w:proofErr w:type="spellEnd"/>
            <w:r w:rsidRPr="00531ECA">
              <w:rPr>
                <w:rFonts w:asciiTheme="majorBidi" w:eastAsiaTheme="minorHAnsi" w:hAnsiTheme="majorBidi" w:cstheme="majorBidi"/>
                <w:color w:val="auto"/>
                <w:sz w:val="24"/>
                <w:lang w:val="en-US" w:bidi="he-IL"/>
              </w:rPr>
              <w:t xml:space="preserve"> Weak 1C)</w:t>
            </w:r>
          </w:p>
        </w:tc>
      </w:tr>
      <w:tr w:rsidR="00531ECA" w:rsidRPr="00531ECA" w:rsidTr="00531ECA">
        <w:tc>
          <w:tcPr>
            <w:tcW w:w="9576" w:type="dxa"/>
          </w:tcPr>
          <w:p w:rsidR="00531ECA" w:rsidRPr="00531ECA" w:rsidRDefault="00531ECA" w:rsidP="004827C2">
            <w:pPr>
              <w:pStyle w:val="ListParagraph"/>
              <w:numPr>
                <w:ilvl w:val="0"/>
                <w:numId w:val="11"/>
              </w:numPr>
              <w:autoSpaceDE w:val="0"/>
              <w:autoSpaceDN w:val="0"/>
              <w:adjustRightInd w:val="0"/>
              <w:spacing w:line="480" w:lineRule="auto"/>
              <w:rPr>
                <w:rFonts w:asciiTheme="majorBidi" w:eastAsia="Times New Roman" w:hAnsiTheme="majorBidi" w:cstheme="majorBidi"/>
                <w:color w:val="auto"/>
                <w:sz w:val="24"/>
                <w:u w:color="FF0508"/>
                <w:lang w:val="it-IT"/>
              </w:rPr>
            </w:pPr>
            <w:r w:rsidRPr="00531ECA">
              <w:rPr>
                <w:rFonts w:ascii="Times New Roman" w:eastAsia="Times New Roman" w:hAnsi="Times New Roman"/>
                <w:color w:val="auto"/>
                <w:sz w:val="24"/>
                <w:lang w:val="en-US" w:bidi="he-IL"/>
              </w:rPr>
              <w:t xml:space="preserve">We suggest the use of Retrograde Open Mesenteric Stenting (ROMS) in AMI with arterial thrombosis when expertise, skills </w:t>
            </w:r>
            <w:r w:rsidRPr="00531ECA">
              <w:rPr>
                <w:rFonts w:ascii="Times New Roman" w:eastAsia="Times New Roman" w:hAnsi="Times New Roman"/>
                <w:color w:val="auto"/>
                <w:sz w:val="24"/>
                <w:lang w:val="en-US" w:bidi="he-IL"/>
              </w:rPr>
              <w:lastRenderedPageBreak/>
              <w:t>and resources are available</w:t>
            </w:r>
            <w:r w:rsidRPr="00531ECA">
              <w:rPr>
                <w:rFonts w:ascii="Times New Roman" w:eastAsia="Times New Roman" w:hAnsi="Times New Roman"/>
                <w:b/>
                <w:bCs/>
                <w:color w:val="auto"/>
                <w:sz w:val="24"/>
                <w:lang w:val="en-US" w:bidi="he-IL"/>
              </w:rPr>
              <w:t xml:space="preserve"> </w:t>
            </w:r>
            <w:r w:rsidRPr="00531ECA">
              <w:rPr>
                <w:rFonts w:asciiTheme="majorBidi" w:hAnsiTheme="majorBidi" w:cstheme="majorBidi"/>
                <w:color w:val="auto"/>
                <w:sz w:val="24"/>
                <w:u w:color="FF0508"/>
                <w:lang w:val="it-IT"/>
              </w:rPr>
              <w:t>(SoR Weak 2C)</w:t>
            </w:r>
          </w:p>
        </w:tc>
      </w:tr>
      <w:tr w:rsidR="00531ECA" w:rsidRPr="00531ECA" w:rsidTr="00531ECA">
        <w:tc>
          <w:tcPr>
            <w:tcW w:w="9576" w:type="dxa"/>
          </w:tcPr>
          <w:p w:rsidR="00531ECA" w:rsidRPr="00531ECA" w:rsidRDefault="00531ECA" w:rsidP="004827C2">
            <w:pPr>
              <w:pStyle w:val="ListParagraph"/>
              <w:numPr>
                <w:ilvl w:val="0"/>
                <w:numId w:val="11"/>
              </w:numPr>
              <w:shd w:val="clear" w:color="auto" w:fill="FFFFFF"/>
              <w:autoSpaceDE w:val="0"/>
              <w:autoSpaceDN w:val="0"/>
              <w:adjustRightInd w:val="0"/>
              <w:spacing w:line="480" w:lineRule="auto"/>
              <w:rPr>
                <w:rFonts w:asciiTheme="majorBidi" w:eastAsia="Times New Roman" w:hAnsiTheme="majorBidi" w:cstheme="majorBidi"/>
                <w:color w:val="auto"/>
                <w:sz w:val="24"/>
                <w:u w:color="FF0508"/>
                <w:lang w:val="it-IT"/>
              </w:rPr>
            </w:pPr>
            <w:r w:rsidRPr="00531ECA">
              <w:rPr>
                <w:rFonts w:asciiTheme="majorBidi" w:eastAsia="Times New Roman" w:hAnsiTheme="majorBidi" w:cstheme="majorBidi"/>
                <w:color w:val="auto"/>
                <w:sz w:val="24"/>
              </w:rPr>
              <w:lastRenderedPageBreak/>
              <w:t xml:space="preserve">In tertiary centers, patients with AMI without signs of peritonitis, the step up approach (clinical - endovascular - laparotomy), should be encouraged as an alternative in order to restore the splancnic blood flow first. The lapatomy should be immidiately performed for damage control or stage therapy, in case of clinical deterioration </w:t>
            </w:r>
            <w:r w:rsidRPr="00531ECA">
              <w:rPr>
                <w:rFonts w:asciiTheme="majorBidi" w:hAnsiTheme="majorBidi" w:cstheme="majorBidi"/>
                <w:color w:val="auto"/>
                <w:sz w:val="24"/>
              </w:rPr>
              <w:t>(</w:t>
            </w:r>
            <w:proofErr w:type="spellStart"/>
            <w:r w:rsidRPr="00531ECA">
              <w:rPr>
                <w:rFonts w:asciiTheme="majorBidi" w:eastAsiaTheme="minorHAnsi" w:hAnsiTheme="majorBidi" w:cstheme="majorBidi"/>
                <w:color w:val="auto"/>
                <w:sz w:val="24"/>
                <w:lang w:val="en-US" w:bidi="he-IL"/>
              </w:rPr>
              <w:t>SoR</w:t>
            </w:r>
            <w:proofErr w:type="spellEnd"/>
            <w:r w:rsidRPr="00531ECA">
              <w:rPr>
                <w:rFonts w:asciiTheme="majorBidi" w:eastAsiaTheme="minorHAnsi" w:hAnsiTheme="majorBidi" w:cstheme="majorBidi"/>
                <w:color w:val="auto"/>
                <w:sz w:val="24"/>
                <w:lang w:val="en-US" w:bidi="he-IL"/>
              </w:rPr>
              <w:t xml:space="preserve"> High 1B</w:t>
            </w:r>
            <w:r w:rsidRPr="00531ECA">
              <w:rPr>
                <w:rFonts w:asciiTheme="majorBidi" w:hAnsiTheme="majorBidi" w:cstheme="majorBidi"/>
                <w:color w:val="auto"/>
                <w:sz w:val="24"/>
              </w:rPr>
              <w:t>)</w:t>
            </w:r>
            <w:r w:rsidRPr="00531ECA">
              <w:rPr>
                <w:rFonts w:asciiTheme="majorBidi" w:eastAsia="Times New Roman" w:hAnsiTheme="majorBidi" w:cstheme="majorBidi"/>
                <w:color w:val="auto"/>
                <w:sz w:val="24"/>
              </w:rPr>
              <w:t>.</w:t>
            </w:r>
          </w:p>
        </w:tc>
      </w:tr>
      <w:tr w:rsidR="00531ECA" w:rsidRPr="00531ECA" w:rsidTr="00531ECA">
        <w:tc>
          <w:tcPr>
            <w:tcW w:w="9576" w:type="dxa"/>
            <w:tcBorders>
              <w:bottom w:val="single" w:sz="4" w:space="0" w:color="auto"/>
            </w:tcBorders>
          </w:tcPr>
          <w:p w:rsidR="00531ECA" w:rsidRPr="00531ECA" w:rsidRDefault="00531ECA" w:rsidP="004827C2">
            <w:pPr>
              <w:pStyle w:val="Normal0"/>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480" w:lineRule="auto"/>
              <w:jc w:val="both"/>
              <w:rPr>
                <w:rFonts w:asciiTheme="majorBidi" w:hAnsiTheme="majorBidi" w:cstheme="majorBidi"/>
                <w:color w:val="auto"/>
                <w:sz w:val="24"/>
                <w:szCs w:val="24"/>
                <w:u w:color="FF0508"/>
                <w:lang w:val="it-IT"/>
              </w:rPr>
            </w:pPr>
            <w:r w:rsidRPr="00531ECA">
              <w:rPr>
                <w:rFonts w:asciiTheme="majorBidi" w:hAnsiTheme="majorBidi" w:cstheme="majorBidi"/>
                <w:color w:val="auto"/>
                <w:sz w:val="24"/>
                <w:szCs w:val="24"/>
                <w:u w:color="FF0508"/>
                <w:lang w:val="it-IT"/>
              </w:rPr>
              <w:t>We can not recommend vasodilator therapy in patients with NOMI as an alterntive to surgical intervention ( SoR Weak 2C).</w:t>
            </w:r>
          </w:p>
        </w:tc>
      </w:tr>
      <w:tr w:rsidR="00531ECA" w:rsidRPr="00531ECA" w:rsidTr="00531ECA">
        <w:tc>
          <w:tcPr>
            <w:tcW w:w="9576" w:type="dxa"/>
            <w:tcBorders>
              <w:top w:val="single" w:sz="4" w:space="0" w:color="auto"/>
            </w:tcBorders>
          </w:tcPr>
          <w:p w:rsidR="00531ECA" w:rsidRPr="00531ECA" w:rsidRDefault="00531ECA" w:rsidP="004827C2">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480" w:lineRule="auto"/>
              <w:jc w:val="both"/>
              <w:rPr>
                <w:rFonts w:ascii="Times New Roman" w:eastAsia="Times New Roman" w:hAnsi="Times New Roman" w:cs="Times New Roman"/>
                <w:b/>
                <w:bCs/>
                <w:color w:val="auto"/>
                <w:sz w:val="24"/>
                <w:szCs w:val="24"/>
                <w:lang w:val="en-US"/>
              </w:rPr>
            </w:pPr>
            <w:r w:rsidRPr="00531ECA">
              <w:rPr>
                <w:rFonts w:ascii="Times New Roman" w:hAnsi="Times New Roman"/>
                <w:b/>
                <w:bCs/>
                <w:color w:val="auto"/>
                <w:sz w:val="24"/>
                <w:szCs w:val="24"/>
                <w:lang w:val="en-US"/>
              </w:rPr>
              <w:t>Postoperative management</w:t>
            </w:r>
          </w:p>
        </w:tc>
      </w:tr>
      <w:tr w:rsidR="00531ECA" w:rsidRPr="00531ECA" w:rsidTr="00531ECA">
        <w:tc>
          <w:tcPr>
            <w:tcW w:w="9576" w:type="dxa"/>
          </w:tcPr>
          <w:p w:rsidR="00531ECA" w:rsidRPr="00531ECA" w:rsidRDefault="00531ECA" w:rsidP="004827C2">
            <w:pPr>
              <w:pStyle w:val="HTMLPreformatted"/>
              <w:numPr>
                <w:ilvl w:val="0"/>
                <w:numId w:val="1"/>
              </w:numPr>
              <w:spacing w:line="480" w:lineRule="auto"/>
              <w:rPr>
                <w:rFonts w:ascii="Times New Roman" w:hAnsi="Times New Roman" w:cs="Times New Roman"/>
                <w:b/>
                <w:bCs/>
                <w:sz w:val="24"/>
                <w:szCs w:val="24"/>
                <w:lang w:val="en-US" w:bidi="he-IL"/>
              </w:rPr>
            </w:pPr>
            <w:r w:rsidRPr="00531ECA">
              <w:rPr>
                <w:rFonts w:ascii="Times New Roman" w:hAnsi="Times New Roman" w:cs="Times New Roman"/>
                <w:b/>
                <w:bCs/>
                <w:sz w:val="24"/>
                <w:szCs w:val="24"/>
                <w:lang w:val="en-US" w:bidi="he-IL"/>
              </w:rPr>
              <w:t>Treatment of AMI is optimal in a dedicated center using a focused care bundle and a multidisciplinary team. (</w:t>
            </w:r>
            <w:r w:rsidRPr="00531ECA">
              <w:rPr>
                <w:rFonts w:ascii="Times New Roman" w:hAnsi="Times New Roman" w:cs="Times New Roman"/>
                <w:b/>
                <w:bCs/>
                <w:iCs/>
                <w:sz w:val="24"/>
                <w:szCs w:val="24"/>
                <w:lang w:val="en-GB"/>
              </w:rPr>
              <w:t>Strong recommendation based on low-quality evidence</w:t>
            </w:r>
            <w:r w:rsidRPr="00531ECA">
              <w:rPr>
                <w:rFonts w:ascii="Times New Roman" w:hAnsi="Times New Roman" w:cs="Times New Roman"/>
                <w:b/>
                <w:bCs/>
                <w:sz w:val="24"/>
                <w:szCs w:val="24"/>
                <w:lang w:val="en-US" w:bidi="he-IL"/>
              </w:rPr>
              <w:t xml:space="preserve"> 1C)</w:t>
            </w:r>
          </w:p>
        </w:tc>
      </w:tr>
      <w:tr w:rsidR="00531ECA" w:rsidRPr="00531ECA" w:rsidTr="00531ECA">
        <w:tc>
          <w:tcPr>
            <w:tcW w:w="9576" w:type="dxa"/>
          </w:tcPr>
          <w:p w:rsidR="00531ECA" w:rsidRPr="00531ECA" w:rsidRDefault="00531ECA" w:rsidP="004827C2">
            <w:pPr>
              <w:pStyle w:val="ListParagraph"/>
              <w:numPr>
                <w:ilvl w:val="0"/>
                <w:numId w:val="1"/>
              </w:numPr>
              <w:autoSpaceDE w:val="0"/>
              <w:autoSpaceDN w:val="0"/>
              <w:adjustRightInd w:val="0"/>
              <w:spacing w:line="480" w:lineRule="auto"/>
              <w:rPr>
                <w:rFonts w:ascii="Times New Roman" w:eastAsia="Times New Roman" w:hAnsi="Times New Roman"/>
                <w:b/>
                <w:bCs/>
                <w:color w:val="auto"/>
                <w:sz w:val="24"/>
                <w:lang w:val="en-US" w:bidi="he-IL"/>
              </w:rPr>
            </w:pPr>
            <w:r w:rsidRPr="00531ECA">
              <w:rPr>
                <w:rFonts w:ascii="Times New Roman" w:eastAsia="Times New Roman" w:hAnsi="Times New Roman"/>
                <w:b/>
                <w:bCs/>
                <w:color w:val="auto"/>
                <w:sz w:val="24"/>
                <w:lang w:val="en-US" w:bidi="he-IL"/>
              </w:rPr>
              <w:t>Patients with short bowel syndrome following extensive bowel resection should have restoration of digestive continuity in association with hormonal therapy to optimize absorptive function and achieve nutritional autonomy. (Weak recommendation, low- quality evidence</w:t>
            </w:r>
            <w:r w:rsidRPr="00531ECA">
              <w:rPr>
                <w:rFonts w:ascii="Times New Roman" w:hAnsi="Times New Roman"/>
                <w:b/>
                <w:bCs/>
                <w:color w:val="auto"/>
                <w:sz w:val="24"/>
                <w:lang w:val="en-GB"/>
              </w:rPr>
              <w:t xml:space="preserve"> </w:t>
            </w:r>
            <w:r w:rsidRPr="00531ECA">
              <w:rPr>
                <w:rFonts w:ascii="Times New Roman" w:eastAsia="Times New Roman" w:hAnsi="Times New Roman"/>
                <w:b/>
                <w:bCs/>
                <w:color w:val="auto"/>
                <w:sz w:val="24"/>
                <w:lang w:val="en-US" w:bidi="he-IL"/>
              </w:rPr>
              <w:t xml:space="preserve">1C) </w:t>
            </w:r>
          </w:p>
        </w:tc>
      </w:tr>
      <w:tr w:rsidR="00531ECA" w:rsidRPr="00531ECA" w:rsidTr="00531ECA">
        <w:tc>
          <w:tcPr>
            <w:tcW w:w="9576" w:type="dxa"/>
          </w:tcPr>
          <w:p w:rsidR="00531ECA" w:rsidRPr="00531ECA" w:rsidRDefault="00531ECA" w:rsidP="004827C2">
            <w:pPr>
              <w:pStyle w:val="ListParagraph"/>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autoSpaceDE w:val="0"/>
              <w:autoSpaceDN w:val="0"/>
              <w:adjustRightInd w:val="0"/>
              <w:spacing w:line="480" w:lineRule="auto"/>
              <w:rPr>
                <w:rFonts w:ascii="Times New Roman" w:hAnsi="Times New Roman"/>
                <w:b/>
                <w:iCs/>
                <w:color w:val="auto"/>
                <w:sz w:val="24"/>
                <w:lang w:val="en-GB"/>
              </w:rPr>
            </w:pPr>
            <w:r w:rsidRPr="00531ECA">
              <w:rPr>
                <w:rFonts w:ascii="Times New Roman" w:hAnsi="Times New Roman"/>
                <w:b/>
                <w:color w:val="auto"/>
                <w:sz w:val="24"/>
                <w:lang w:val="en-GB"/>
              </w:rPr>
              <w:t xml:space="preserve">In case of </w:t>
            </w:r>
            <w:r w:rsidRPr="00531ECA">
              <w:rPr>
                <w:rFonts w:ascii="Times New Roman" w:hAnsi="Times New Roman"/>
                <w:b/>
                <w:color w:val="auto"/>
                <w:sz w:val="24"/>
                <w:lang w:val="en-US"/>
              </w:rPr>
              <w:t xml:space="preserve">massive gut necrosis, a careful assessment of the patients underlying co-morbidities and advanced directives are advisable to find the optimal therapeutic strategy which could include palliation </w:t>
            </w:r>
            <w:r w:rsidRPr="00531ECA">
              <w:rPr>
                <w:rFonts w:ascii="Times New Roman" w:hAnsi="Times New Roman"/>
                <w:b/>
                <w:bCs/>
                <w:color w:val="auto"/>
                <w:sz w:val="24"/>
                <w:lang w:val="en-GB"/>
              </w:rPr>
              <w:t>(</w:t>
            </w:r>
            <w:r w:rsidRPr="00531ECA">
              <w:rPr>
                <w:rFonts w:ascii="Times New Roman" w:eastAsia="Times New Roman" w:hAnsi="Times New Roman"/>
                <w:b/>
                <w:bCs/>
                <w:color w:val="auto"/>
                <w:sz w:val="24"/>
                <w:lang w:val="en-US" w:bidi="he-IL"/>
              </w:rPr>
              <w:t>Weak recommendation, low- quality evidence</w:t>
            </w:r>
            <w:r w:rsidRPr="00531ECA">
              <w:rPr>
                <w:rFonts w:ascii="Times New Roman" w:hAnsi="Times New Roman"/>
                <w:b/>
                <w:bCs/>
                <w:color w:val="auto"/>
                <w:sz w:val="24"/>
                <w:lang w:val="en-GB"/>
              </w:rPr>
              <w:t xml:space="preserve"> 1C)</w:t>
            </w:r>
            <w:r w:rsidRPr="00531ECA">
              <w:rPr>
                <w:rFonts w:ascii="Times New Roman" w:hAnsi="Times New Roman"/>
                <w:b/>
                <w:color w:val="auto"/>
                <w:sz w:val="24"/>
                <w:lang w:val="en-US"/>
              </w:rPr>
              <w:t xml:space="preserve">  </w:t>
            </w:r>
          </w:p>
        </w:tc>
      </w:tr>
      <w:tr w:rsidR="00531ECA" w:rsidRPr="00531ECA" w:rsidTr="00531ECA">
        <w:tc>
          <w:tcPr>
            <w:tcW w:w="9576" w:type="dxa"/>
          </w:tcPr>
          <w:p w:rsidR="00531ECA" w:rsidRPr="00531ECA" w:rsidRDefault="00531ECA" w:rsidP="004827C2">
            <w:pPr>
              <w:pStyle w:val="ListParagraph"/>
              <w:numPr>
                <w:ilvl w:val="0"/>
                <w:numId w:val="1"/>
              </w:numPr>
              <w:autoSpaceDE w:val="0"/>
              <w:autoSpaceDN w:val="0"/>
              <w:adjustRightInd w:val="0"/>
              <w:spacing w:line="480" w:lineRule="auto"/>
              <w:rPr>
                <w:rFonts w:ascii="Times New Roman" w:eastAsia="Times New Roman" w:hAnsi="Times New Roman"/>
                <w:b/>
                <w:bCs/>
                <w:color w:val="auto"/>
                <w:sz w:val="24"/>
                <w:lang w:val="en-US" w:bidi="he-IL"/>
              </w:rPr>
            </w:pPr>
            <w:r w:rsidRPr="00531ECA">
              <w:rPr>
                <w:rFonts w:ascii="Times New Roman" w:eastAsia="Times New Roman" w:hAnsi="Times New Roman"/>
                <w:b/>
                <w:bCs/>
                <w:color w:val="auto"/>
                <w:sz w:val="24"/>
                <w:lang w:val="en-US" w:bidi="he-IL"/>
              </w:rPr>
              <w:t xml:space="preserve">Patients undergoing revascularization should have surveillance imaging </w:t>
            </w:r>
            <w:r w:rsidRPr="00531ECA">
              <w:rPr>
                <w:rFonts w:ascii="Times New Roman" w:eastAsia="Times New Roman" w:hAnsi="Times New Roman"/>
                <w:b/>
                <w:bCs/>
                <w:color w:val="auto"/>
                <w:sz w:val="24"/>
                <w:lang w:val="en-US" w:bidi="he-IL"/>
              </w:rPr>
              <w:lastRenderedPageBreak/>
              <w:t>and long-term anticoagulation (</w:t>
            </w:r>
            <w:r w:rsidRPr="00531ECA">
              <w:rPr>
                <w:rFonts w:ascii="Times New Roman" w:hAnsi="Times New Roman"/>
                <w:b/>
                <w:bCs/>
                <w:iCs/>
                <w:color w:val="auto"/>
                <w:sz w:val="24"/>
                <w:lang w:val="en-GB"/>
              </w:rPr>
              <w:t>Strong recommendation based on moderate-quality evidence 1B</w:t>
            </w:r>
            <w:r w:rsidRPr="00531ECA">
              <w:rPr>
                <w:rFonts w:ascii="Times New Roman" w:eastAsia="Times New Roman" w:hAnsi="Times New Roman"/>
                <w:b/>
                <w:bCs/>
                <w:color w:val="auto"/>
                <w:sz w:val="24"/>
                <w:lang w:val="en-US" w:bidi="he-IL"/>
              </w:rPr>
              <w:t>)</w:t>
            </w:r>
          </w:p>
        </w:tc>
      </w:tr>
      <w:tr w:rsidR="00531ECA" w:rsidRPr="00531ECA" w:rsidTr="00531ECA">
        <w:tc>
          <w:tcPr>
            <w:tcW w:w="9576" w:type="dxa"/>
          </w:tcPr>
          <w:p w:rsidR="00531ECA" w:rsidRPr="00531ECA" w:rsidRDefault="00531ECA" w:rsidP="004827C2">
            <w:pPr>
              <w:pStyle w:val="Normal0"/>
              <w:numPr>
                <w:ilvl w:val="0"/>
                <w:numId w:val="12"/>
              </w:numPr>
              <w:spacing w:line="480" w:lineRule="auto"/>
              <w:rPr>
                <w:color w:val="auto"/>
              </w:rPr>
            </w:pPr>
            <w:r w:rsidRPr="00531ECA">
              <w:rPr>
                <w:rFonts w:ascii="Times New Roman" w:hAnsi="Times New Roman"/>
                <w:color w:val="auto"/>
                <w:sz w:val="24"/>
                <w:szCs w:val="24"/>
                <w:u w:color="FF0D1A"/>
                <w:lang w:val="it-IT"/>
              </w:rPr>
              <w:lastRenderedPageBreak/>
              <w:t>We recommend to manage patients presenting with intestinal ischemia in the ICU after surgery using principles of a multidisciplinary approach (SoR High 1B).</w:t>
            </w:r>
          </w:p>
        </w:tc>
      </w:tr>
      <w:tr w:rsidR="00531ECA" w:rsidRPr="00531ECA" w:rsidTr="00531ECA">
        <w:tc>
          <w:tcPr>
            <w:tcW w:w="9576" w:type="dxa"/>
          </w:tcPr>
          <w:p w:rsidR="00531ECA" w:rsidRPr="00531ECA" w:rsidRDefault="00531ECA" w:rsidP="004827C2">
            <w:pPr>
              <w:pStyle w:val="ListParagraph"/>
              <w:numPr>
                <w:ilvl w:val="0"/>
                <w:numId w:val="12"/>
              </w:numPr>
              <w:autoSpaceDE w:val="0"/>
              <w:autoSpaceDN w:val="0"/>
              <w:adjustRightInd w:val="0"/>
              <w:spacing w:line="480" w:lineRule="auto"/>
              <w:rPr>
                <w:color w:val="auto"/>
              </w:rPr>
            </w:pPr>
            <w:r w:rsidRPr="00531ECA">
              <w:rPr>
                <w:rFonts w:ascii="Times New Roman" w:eastAsia="Times New Roman" w:hAnsi="Times New Roman"/>
                <w:color w:val="auto"/>
                <w:sz w:val="24"/>
                <w:lang w:val="en-US" w:bidi="he-IL"/>
              </w:rPr>
              <w:t xml:space="preserve">We recommend for </w:t>
            </w:r>
            <w:proofErr w:type="gramStart"/>
            <w:r w:rsidRPr="00531ECA">
              <w:rPr>
                <w:rFonts w:ascii="Times New Roman" w:eastAsia="Times New Roman" w:hAnsi="Times New Roman"/>
                <w:color w:val="auto"/>
                <w:sz w:val="24"/>
                <w:lang w:val="en-US" w:bidi="he-IL"/>
              </w:rPr>
              <w:t>to administer</w:t>
            </w:r>
            <w:proofErr w:type="gramEnd"/>
            <w:r w:rsidRPr="00531ECA">
              <w:rPr>
                <w:rFonts w:ascii="Times New Roman" w:eastAsia="Times New Roman" w:hAnsi="Times New Roman"/>
                <w:color w:val="auto"/>
                <w:sz w:val="24"/>
                <w:lang w:val="en-US" w:bidi="he-IL"/>
              </w:rPr>
              <w:t xml:space="preserve"> intravenous unfractionated heparin as soon as possible for all patients with AMI</w:t>
            </w:r>
            <w:r w:rsidRPr="00531ECA">
              <w:rPr>
                <w:rFonts w:ascii="Times New Roman" w:hAnsi="Times New Roman"/>
                <w:color w:val="auto"/>
                <w:sz w:val="24"/>
                <w:shd w:val="clear" w:color="auto" w:fill="FFFFFF"/>
                <w:lang w:val="en-GB"/>
              </w:rPr>
              <w:t xml:space="preserve">. </w:t>
            </w:r>
            <w:r w:rsidRPr="00531ECA">
              <w:rPr>
                <w:rFonts w:ascii="Times New Roman" w:hAnsi="Times New Roman"/>
                <w:color w:val="auto"/>
                <w:sz w:val="24"/>
                <w:u w:color="FF0D1A"/>
                <w:lang w:val="it-IT"/>
              </w:rPr>
              <w:t>(SoR High 1B).</w:t>
            </w:r>
            <w:r w:rsidRPr="00531ECA">
              <w:rPr>
                <w:rFonts w:ascii="Times New Roman" w:hAnsi="Times New Roman"/>
                <w:color w:val="auto"/>
                <w:sz w:val="24"/>
                <w:lang w:val="en-GB"/>
              </w:rPr>
              <w:t xml:space="preserve"> </w:t>
            </w:r>
          </w:p>
        </w:tc>
      </w:tr>
      <w:tr w:rsidR="00531ECA" w:rsidRPr="00531ECA" w:rsidTr="00531ECA">
        <w:tc>
          <w:tcPr>
            <w:tcW w:w="9576" w:type="dxa"/>
          </w:tcPr>
          <w:p w:rsidR="00531ECA" w:rsidRPr="00531ECA" w:rsidRDefault="00531ECA" w:rsidP="004827C2">
            <w:pPr>
              <w:pStyle w:val="ListParagraph"/>
              <w:numPr>
                <w:ilvl w:val="0"/>
                <w:numId w:val="12"/>
              </w:numPr>
              <w:autoSpaceDE w:val="0"/>
              <w:autoSpaceDN w:val="0"/>
              <w:adjustRightInd w:val="0"/>
              <w:spacing w:line="480" w:lineRule="auto"/>
              <w:rPr>
                <w:rFonts w:asciiTheme="majorBidi" w:hAnsiTheme="majorBidi" w:cstheme="majorBidi"/>
                <w:color w:val="auto"/>
                <w:sz w:val="36"/>
                <w:szCs w:val="36"/>
              </w:rPr>
            </w:pPr>
            <w:r w:rsidRPr="00531ECA">
              <w:rPr>
                <w:rFonts w:asciiTheme="majorBidi" w:eastAsiaTheme="minorHAnsi" w:hAnsiTheme="majorBidi" w:cstheme="majorBidi"/>
                <w:color w:val="auto"/>
                <w:sz w:val="24"/>
                <w:lang w:val="en-US" w:bidi="he-IL"/>
              </w:rPr>
              <w:t>We recommend for assessment of coagulation disorders and lifelong anticoagulation for all patients with MVT (</w:t>
            </w:r>
            <w:proofErr w:type="spellStart"/>
            <w:r w:rsidRPr="00531ECA">
              <w:rPr>
                <w:rFonts w:asciiTheme="majorBidi" w:eastAsiaTheme="minorHAnsi" w:hAnsiTheme="majorBidi" w:cstheme="majorBidi"/>
                <w:color w:val="auto"/>
                <w:sz w:val="24"/>
                <w:lang w:val="en-US" w:bidi="he-IL"/>
              </w:rPr>
              <w:t>SoR</w:t>
            </w:r>
            <w:proofErr w:type="spellEnd"/>
            <w:r w:rsidRPr="00531ECA">
              <w:rPr>
                <w:rFonts w:asciiTheme="majorBidi" w:eastAsiaTheme="minorHAnsi" w:hAnsiTheme="majorBidi" w:cstheme="majorBidi"/>
                <w:color w:val="auto"/>
                <w:sz w:val="24"/>
                <w:lang w:val="en-US" w:bidi="he-IL"/>
              </w:rPr>
              <w:t xml:space="preserve"> High 1B)</w:t>
            </w:r>
          </w:p>
        </w:tc>
      </w:tr>
      <w:tr w:rsidR="00531ECA" w:rsidRPr="00531ECA" w:rsidTr="00531ECA">
        <w:tc>
          <w:tcPr>
            <w:tcW w:w="9576" w:type="dxa"/>
          </w:tcPr>
          <w:p w:rsidR="00531ECA" w:rsidRPr="00531ECA" w:rsidRDefault="00531ECA" w:rsidP="004827C2">
            <w:pPr>
              <w:pStyle w:val="Normal0"/>
              <w:numPr>
                <w:ilvl w:val="0"/>
                <w:numId w:val="12"/>
              </w:numPr>
              <w:spacing w:line="480" w:lineRule="auto"/>
              <w:rPr>
                <w:rFonts w:asciiTheme="majorBidi" w:hAnsiTheme="majorBidi" w:cstheme="majorBidi"/>
                <w:color w:val="auto"/>
                <w:sz w:val="24"/>
                <w:szCs w:val="24"/>
              </w:rPr>
            </w:pPr>
            <w:proofErr w:type="spellStart"/>
            <w:r w:rsidRPr="00531ECA">
              <w:rPr>
                <w:rFonts w:asciiTheme="majorBidi" w:hAnsiTheme="majorBidi" w:cstheme="majorBidi"/>
                <w:color w:val="auto"/>
                <w:sz w:val="24"/>
                <w:szCs w:val="24"/>
              </w:rPr>
              <w:t>We</w:t>
            </w:r>
            <w:proofErr w:type="spellEnd"/>
            <w:r w:rsidRPr="00531ECA">
              <w:rPr>
                <w:rFonts w:asciiTheme="majorBidi" w:hAnsiTheme="majorBidi" w:cstheme="majorBidi"/>
                <w:color w:val="auto"/>
                <w:sz w:val="24"/>
                <w:szCs w:val="24"/>
              </w:rPr>
              <w:t xml:space="preserve"> </w:t>
            </w:r>
            <w:proofErr w:type="spellStart"/>
            <w:r w:rsidRPr="00531ECA">
              <w:rPr>
                <w:rFonts w:asciiTheme="majorBidi" w:hAnsiTheme="majorBidi" w:cstheme="majorBidi"/>
                <w:color w:val="auto"/>
                <w:sz w:val="24"/>
                <w:szCs w:val="24"/>
              </w:rPr>
              <w:t>recommend</w:t>
            </w:r>
            <w:proofErr w:type="spellEnd"/>
            <w:r w:rsidRPr="00531ECA">
              <w:rPr>
                <w:rFonts w:asciiTheme="majorBidi" w:hAnsiTheme="majorBidi" w:cstheme="majorBidi"/>
                <w:color w:val="auto"/>
                <w:sz w:val="24"/>
                <w:szCs w:val="24"/>
              </w:rPr>
              <w:t xml:space="preserve"> for </w:t>
            </w:r>
            <w:proofErr w:type="spellStart"/>
            <w:r w:rsidRPr="00531ECA">
              <w:rPr>
                <w:rFonts w:asciiTheme="majorBidi" w:hAnsiTheme="majorBidi" w:cstheme="majorBidi"/>
                <w:color w:val="auto"/>
                <w:sz w:val="24"/>
                <w:szCs w:val="24"/>
              </w:rPr>
              <w:t>secondary</w:t>
            </w:r>
            <w:proofErr w:type="spellEnd"/>
            <w:r w:rsidRPr="00531ECA">
              <w:rPr>
                <w:rFonts w:asciiTheme="majorBidi" w:hAnsiTheme="majorBidi" w:cstheme="majorBidi"/>
                <w:color w:val="auto"/>
                <w:sz w:val="24"/>
                <w:szCs w:val="24"/>
              </w:rPr>
              <w:t xml:space="preserve"> </w:t>
            </w:r>
            <w:proofErr w:type="spellStart"/>
            <w:r w:rsidRPr="00531ECA">
              <w:rPr>
                <w:rFonts w:asciiTheme="majorBidi" w:hAnsiTheme="majorBidi" w:cstheme="majorBidi"/>
                <w:color w:val="auto"/>
                <w:sz w:val="24"/>
                <w:szCs w:val="24"/>
              </w:rPr>
              <w:t>cardiovascular</w:t>
            </w:r>
            <w:proofErr w:type="spellEnd"/>
            <w:r w:rsidRPr="00531ECA">
              <w:rPr>
                <w:rFonts w:asciiTheme="majorBidi" w:hAnsiTheme="majorBidi" w:cstheme="majorBidi"/>
                <w:color w:val="auto"/>
                <w:sz w:val="24"/>
                <w:szCs w:val="24"/>
              </w:rPr>
              <w:t xml:space="preserve"> </w:t>
            </w:r>
            <w:proofErr w:type="spellStart"/>
            <w:r w:rsidRPr="00531ECA">
              <w:rPr>
                <w:rFonts w:asciiTheme="majorBidi" w:hAnsiTheme="majorBidi" w:cstheme="majorBidi"/>
                <w:color w:val="auto"/>
                <w:sz w:val="24"/>
                <w:szCs w:val="24"/>
              </w:rPr>
              <w:t>prevention</w:t>
            </w:r>
            <w:proofErr w:type="spellEnd"/>
            <w:r w:rsidRPr="00531ECA">
              <w:rPr>
                <w:rFonts w:asciiTheme="majorBidi" w:hAnsiTheme="majorBidi" w:cstheme="majorBidi"/>
                <w:color w:val="auto"/>
                <w:sz w:val="24"/>
                <w:szCs w:val="24"/>
              </w:rPr>
              <w:t xml:space="preserve"> </w:t>
            </w:r>
            <w:proofErr w:type="spellStart"/>
            <w:r w:rsidRPr="00531ECA">
              <w:rPr>
                <w:rFonts w:asciiTheme="majorBidi" w:hAnsiTheme="majorBidi" w:cstheme="majorBidi"/>
                <w:color w:val="auto"/>
                <w:sz w:val="24"/>
                <w:szCs w:val="24"/>
              </w:rPr>
              <w:t>strategy</w:t>
            </w:r>
            <w:proofErr w:type="spellEnd"/>
            <w:r w:rsidRPr="00531ECA">
              <w:rPr>
                <w:rFonts w:asciiTheme="majorBidi" w:hAnsiTheme="majorBidi" w:cstheme="majorBidi"/>
                <w:color w:val="auto"/>
                <w:sz w:val="24"/>
                <w:szCs w:val="24"/>
              </w:rPr>
              <w:t xml:space="preserve"> in patients </w:t>
            </w:r>
            <w:proofErr w:type="spellStart"/>
            <w:r w:rsidRPr="00531ECA">
              <w:rPr>
                <w:rFonts w:asciiTheme="majorBidi" w:hAnsiTheme="majorBidi" w:cstheme="majorBidi"/>
                <w:color w:val="auto"/>
                <w:sz w:val="24"/>
                <w:szCs w:val="24"/>
              </w:rPr>
              <w:t>when</w:t>
            </w:r>
            <w:proofErr w:type="spellEnd"/>
            <w:r w:rsidRPr="00531ECA">
              <w:rPr>
                <w:rFonts w:asciiTheme="majorBidi" w:hAnsiTheme="majorBidi" w:cstheme="majorBidi"/>
                <w:color w:val="auto"/>
                <w:sz w:val="24"/>
                <w:szCs w:val="24"/>
              </w:rPr>
              <w:t xml:space="preserve"> </w:t>
            </w:r>
            <w:proofErr w:type="spellStart"/>
            <w:r w:rsidRPr="00531ECA">
              <w:rPr>
                <w:rFonts w:asciiTheme="majorBidi" w:hAnsiTheme="majorBidi" w:cstheme="majorBidi"/>
                <w:color w:val="auto"/>
                <w:sz w:val="24"/>
                <w:szCs w:val="24"/>
              </w:rPr>
              <w:t>recovered</w:t>
            </w:r>
            <w:proofErr w:type="spellEnd"/>
            <w:r w:rsidRPr="00531ECA">
              <w:rPr>
                <w:rFonts w:asciiTheme="majorBidi" w:hAnsiTheme="majorBidi" w:cstheme="majorBidi"/>
                <w:color w:val="auto"/>
                <w:sz w:val="24"/>
                <w:szCs w:val="24"/>
              </w:rPr>
              <w:t xml:space="preserve"> </w:t>
            </w:r>
            <w:proofErr w:type="spellStart"/>
            <w:r w:rsidRPr="00531ECA">
              <w:rPr>
                <w:rFonts w:asciiTheme="majorBidi" w:hAnsiTheme="majorBidi" w:cstheme="majorBidi"/>
                <w:color w:val="auto"/>
                <w:sz w:val="24"/>
                <w:szCs w:val="24"/>
              </w:rPr>
              <w:t>from</w:t>
            </w:r>
            <w:proofErr w:type="spellEnd"/>
            <w:r w:rsidRPr="00531ECA">
              <w:rPr>
                <w:rFonts w:asciiTheme="majorBidi" w:hAnsiTheme="majorBidi" w:cstheme="majorBidi"/>
                <w:color w:val="auto"/>
                <w:sz w:val="24"/>
                <w:szCs w:val="24"/>
              </w:rPr>
              <w:t xml:space="preserve"> AMI (</w:t>
            </w:r>
            <w:proofErr w:type="spellStart"/>
            <w:r w:rsidRPr="00531ECA">
              <w:rPr>
                <w:rFonts w:asciiTheme="majorBidi" w:hAnsiTheme="majorBidi" w:cstheme="majorBidi"/>
                <w:color w:val="auto"/>
                <w:sz w:val="24"/>
                <w:szCs w:val="24"/>
              </w:rPr>
              <w:t>SoR</w:t>
            </w:r>
            <w:proofErr w:type="spellEnd"/>
            <w:r w:rsidRPr="00531ECA">
              <w:rPr>
                <w:rFonts w:asciiTheme="majorBidi" w:hAnsiTheme="majorBidi" w:cstheme="majorBidi"/>
                <w:color w:val="auto"/>
                <w:sz w:val="24"/>
                <w:szCs w:val="24"/>
              </w:rPr>
              <w:t xml:space="preserve"> High 1B)</w:t>
            </w:r>
          </w:p>
        </w:tc>
      </w:tr>
      <w:tr w:rsidR="00531ECA" w:rsidRPr="00531ECA" w:rsidTr="00531ECA">
        <w:tc>
          <w:tcPr>
            <w:tcW w:w="9576" w:type="dxa"/>
            <w:tcBorders>
              <w:bottom w:val="single" w:sz="4" w:space="0" w:color="auto"/>
            </w:tcBorders>
          </w:tcPr>
          <w:p w:rsidR="00531ECA" w:rsidRPr="00531ECA" w:rsidRDefault="00531ECA" w:rsidP="004827C2">
            <w:pPr>
              <w:pStyle w:val="ListParagraph"/>
              <w:numPr>
                <w:ilvl w:val="0"/>
                <w:numId w:val="12"/>
              </w:numPr>
              <w:autoSpaceDE w:val="0"/>
              <w:autoSpaceDN w:val="0"/>
              <w:adjustRightInd w:val="0"/>
              <w:spacing w:line="480" w:lineRule="auto"/>
              <w:rPr>
                <w:rFonts w:asciiTheme="majorBidi" w:hAnsiTheme="majorBidi" w:cstheme="majorBidi"/>
                <w:color w:val="auto"/>
                <w:sz w:val="36"/>
                <w:szCs w:val="36"/>
              </w:rPr>
            </w:pPr>
            <w:r w:rsidRPr="00531ECA">
              <w:rPr>
                <w:rFonts w:asciiTheme="majorBidi" w:eastAsiaTheme="minorHAnsi" w:hAnsiTheme="majorBidi" w:cstheme="majorBidi"/>
                <w:color w:val="auto"/>
                <w:sz w:val="24"/>
                <w:lang w:val="en-US" w:bidi="he-IL"/>
              </w:rPr>
              <w:t>We recommend for the transfer patients with AMI to the specialized centers that can offer a multidisciplinary assessment, both open and endovascular treatment and have hybrid operation facility (</w:t>
            </w:r>
            <w:proofErr w:type="spellStart"/>
            <w:r w:rsidRPr="00531ECA">
              <w:rPr>
                <w:rFonts w:asciiTheme="majorBidi" w:eastAsiaTheme="minorHAnsi" w:hAnsiTheme="majorBidi" w:cstheme="majorBidi"/>
                <w:color w:val="auto"/>
                <w:sz w:val="24"/>
                <w:lang w:val="en-US" w:bidi="he-IL"/>
              </w:rPr>
              <w:t>SoR</w:t>
            </w:r>
            <w:proofErr w:type="spellEnd"/>
            <w:r w:rsidRPr="00531ECA">
              <w:rPr>
                <w:rFonts w:asciiTheme="majorBidi" w:eastAsiaTheme="minorHAnsi" w:hAnsiTheme="majorBidi" w:cstheme="majorBidi"/>
                <w:color w:val="auto"/>
                <w:sz w:val="24"/>
                <w:lang w:val="en-US" w:bidi="he-IL"/>
              </w:rPr>
              <w:t xml:space="preserve"> High 1C)</w:t>
            </w:r>
          </w:p>
          <w:p w:rsidR="00531ECA" w:rsidRPr="00531ECA" w:rsidRDefault="00531ECA" w:rsidP="00531ECA">
            <w:pPr>
              <w:autoSpaceDE w:val="0"/>
              <w:autoSpaceDN w:val="0"/>
              <w:adjustRightInd w:val="0"/>
              <w:spacing w:line="480" w:lineRule="auto"/>
              <w:ind w:left="1440"/>
              <w:rPr>
                <w:rFonts w:asciiTheme="majorBidi" w:hAnsiTheme="majorBidi" w:cstheme="majorBidi"/>
                <w:color w:val="auto"/>
                <w:sz w:val="36"/>
                <w:szCs w:val="36"/>
              </w:rPr>
            </w:pPr>
          </w:p>
        </w:tc>
      </w:tr>
    </w:tbl>
    <w:p w:rsidR="00E95BA7" w:rsidRPr="00A017FA" w:rsidRDefault="00E95BA7" w:rsidP="00531ECA">
      <w:pPr>
        <w:rPr>
          <w:color w:val="auto"/>
        </w:rPr>
      </w:pPr>
    </w:p>
    <w:sectPr w:rsidR="00E95BA7" w:rsidRPr="00A017F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73A83"/>
    <w:multiLevelType w:val="hybridMultilevel"/>
    <w:tmpl w:val="C9DC8DCE"/>
    <w:lvl w:ilvl="0" w:tplc="04090015">
      <w:start w:val="1"/>
      <w:numFmt w:val="upperLetter"/>
      <w:lvlText w:val="%1."/>
      <w:lvlJc w:val="left"/>
      <w:pPr>
        <w:ind w:left="2256" w:hanging="408"/>
      </w:pPr>
      <w:rPr>
        <w:rFonts w:hint="default"/>
        <w:b/>
        <w:i w:val="0"/>
        <w:iCs/>
      </w:rPr>
    </w:lvl>
    <w:lvl w:ilvl="1" w:tplc="04090019" w:tentative="1">
      <w:start w:val="1"/>
      <w:numFmt w:val="lowerLetter"/>
      <w:lvlText w:val="%2."/>
      <w:lvlJc w:val="left"/>
      <w:pPr>
        <w:ind w:left="2928" w:hanging="360"/>
      </w:pPr>
    </w:lvl>
    <w:lvl w:ilvl="2" w:tplc="0409001B" w:tentative="1">
      <w:start w:val="1"/>
      <w:numFmt w:val="lowerRoman"/>
      <w:lvlText w:val="%3."/>
      <w:lvlJc w:val="right"/>
      <w:pPr>
        <w:ind w:left="3648" w:hanging="180"/>
      </w:pPr>
    </w:lvl>
    <w:lvl w:ilvl="3" w:tplc="0409000F" w:tentative="1">
      <w:start w:val="1"/>
      <w:numFmt w:val="decimal"/>
      <w:lvlText w:val="%4."/>
      <w:lvlJc w:val="left"/>
      <w:pPr>
        <w:ind w:left="4368" w:hanging="360"/>
      </w:pPr>
    </w:lvl>
    <w:lvl w:ilvl="4" w:tplc="04090019" w:tentative="1">
      <w:start w:val="1"/>
      <w:numFmt w:val="lowerLetter"/>
      <w:lvlText w:val="%5."/>
      <w:lvlJc w:val="left"/>
      <w:pPr>
        <w:ind w:left="5088" w:hanging="360"/>
      </w:pPr>
    </w:lvl>
    <w:lvl w:ilvl="5" w:tplc="0409001B" w:tentative="1">
      <w:start w:val="1"/>
      <w:numFmt w:val="lowerRoman"/>
      <w:lvlText w:val="%6."/>
      <w:lvlJc w:val="right"/>
      <w:pPr>
        <w:ind w:left="5808" w:hanging="180"/>
      </w:pPr>
    </w:lvl>
    <w:lvl w:ilvl="6" w:tplc="0409000F" w:tentative="1">
      <w:start w:val="1"/>
      <w:numFmt w:val="decimal"/>
      <w:lvlText w:val="%7."/>
      <w:lvlJc w:val="left"/>
      <w:pPr>
        <w:ind w:left="6528" w:hanging="360"/>
      </w:pPr>
    </w:lvl>
    <w:lvl w:ilvl="7" w:tplc="04090019" w:tentative="1">
      <w:start w:val="1"/>
      <w:numFmt w:val="lowerLetter"/>
      <w:lvlText w:val="%8."/>
      <w:lvlJc w:val="left"/>
      <w:pPr>
        <w:ind w:left="7248" w:hanging="360"/>
      </w:pPr>
    </w:lvl>
    <w:lvl w:ilvl="8" w:tplc="0409001B" w:tentative="1">
      <w:start w:val="1"/>
      <w:numFmt w:val="lowerRoman"/>
      <w:lvlText w:val="%9."/>
      <w:lvlJc w:val="right"/>
      <w:pPr>
        <w:ind w:left="7968" w:hanging="180"/>
      </w:pPr>
    </w:lvl>
  </w:abstractNum>
  <w:abstractNum w:abstractNumId="1">
    <w:nsid w:val="0A5D313B"/>
    <w:multiLevelType w:val="hybridMultilevel"/>
    <w:tmpl w:val="AE4C1EBC"/>
    <w:lvl w:ilvl="0" w:tplc="04090015">
      <w:start w:val="1"/>
      <w:numFmt w:val="upperLetter"/>
      <w:lvlText w:val="%1."/>
      <w:lvlJc w:val="left"/>
      <w:pPr>
        <w:ind w:left="2256" w:hanging="408"/>
      </w:pPr>
      <w:rPr>
        <w:rFonts w:hint="default"/>
        <w:b/>
        <w:i w:val="0"/>
        <w:iCs/>
      </w:rPr>
    </w:lvl>
    <w:lvl w:ilvl="1" w:tplc="04090019" w:tentative="1">
      <w:start w:val="1"/>
      <w:numFmt w:val="lowerLetter"/>
      <w:lvlText w:val="%2."/>
      <w:lvlJc w:val="left"/>
      <w:pPr>
        <w:ind w:left="2928" w:hanging="360"/>
      </w:pPr>
    </w:lvl>
    <w:lvl w:ilvl="2" w:tplc="0409001B" w:tentative="1">
      <w:start w:val="1"/>
      <w:numFmt w:val="lowerRoman"/>
      <w:lvlText w:val="%3."/>
      <w:lvlJc w:val="right"/>
      <w:pPr>
        <w:ind w:left="3648" w:hanging="180"/>
      </w:pPr>
    </w:lvl>
    <w:lvl w:ilvl="3" w:tplc="0409000F" w:tentative="1">
      <w:start w:val="1"/>
      <w:numFmt w:val="decimal"/>
      <w:lvlText w:val="%4."/>
      <w:lvlJc w:val="left"/>
      <w:pPr>
        <w:ind w:left="4368" w:hanging="360"/>
      </w:pPr>
    </w:lvl>
    <w:lvl w:ilvl="4" w:tplc="04090019" w:tentative="1">
      <w:start w:val="1"/>
      <w:numFmt w:val="lowerLetter"/>
      <w:lvlText w:val="%5."/>
      <w:lvlJc w:val="left"/>
      <w:pPr>
        <w:ind w:left="5088" w:hanging="360"/>
      </w:pPr>
    </w:lvl>
    <w:lvl w:ilvl="5" w:tplc="0409001B" w:tentative="1">
      <w:start w:val="1"/>
      <w:numFmt w:val="lowerRoman"/>
      <w:lvlText w:val="%6."/>
      <w:lvlJc w:val="right"/>
      <w:pPr>
        <w:ind w:left="5808" w:hanging="180"/>
      </w:pPr>
    </w:lvl>
    <w:lvl w:ilvl="6" w:tplc="0409000F" w:tentative="1">
      <w:start w:val="1"/>
      <w:numFmt w:val="decimal"/>
      <w:lvlText w:val="%7."/>
      <w:lvlJc w:val="left"/>
      <w:pPr>
        <w:ind w:left="6528" w:hanging="360"/>
      </w:pPr>
    </w:lvl>
    <w:lvl w:ilvl="7" w:tplc="04090019" w:tentative="1">
      <w:start w:val="1"/>
      <w:numFmt w:val="lowerLetter"/>
      <w:lvlText w:val="%8."/>
      <w:lvlJc w:val="left"/>
      <w:pPr>
        <w:ind w:left="7248" w:hanging="360"/>
      </w:pPr>
    </w:lvl>
    <w:lvl w:ilvl="8" w:tplc="0409001B" w:tentative="1">
      <w:start w:val="1"/>
      <w:numFmt w:val="lowerRoman"/>
      <w:lvlText w:val="%9."/>
      <w:lvlJc w:val="right"/>
      <w:pPr>
        <w:ind w:left="7968" w:hanging="180"/>
      </w:pPr>
    </w:lvl>
  </w:abstractNum>
  <w:abstractNum w:abstractNumId="2">
    <w:nsid w:val="0C942D07"/>
    <w:multiLevelType w:val="hybridMultilevel"/>
    <w:tmpl w:val="66982B1E"/>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139328D0"/>
    <w:multiLevelType w:val="hybridMultilevel"/>
    <w:tmpl w:val="0342395C"/>
    <w:lvl w:ilvl="0" w:tplc="74D469FE">
      <w:start w:val="1"/>
      <w:numFmt w:val="decimal"/>
      <w:lvlText w:val="%1."/>
      <w:lvlJc w:val="left"/>
      <w:pPr>
        <w:ind w:left="1126" w:hanging="408"/>
      </w:pPr>
      <w:rPr>
        <w:rFonts w:hint="default"/>
        <w:b/>
        <w:i w:val="0"/>
        <w:iCs/>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4">
    <w:nsid w:val="13E86881"/>
    <w:multiLevelType w:val="hybridMultilevel"/>
    <w:tmpl w:val="680E6630"/>
    <w:lvl w:ilvl="0" w:tplc="B7605680">
      <w:start w:val="1"/>
      <w:numFmt w:val="upperLetter"/>
      <w:lvlText w:val="%1."/>
      <w:lvlJc w:val="left"/>
      <w:pPr>
        <w:ind w:left="2568" w:hanging="360"/>
      </w:pPr>
      <w:rPr>
        <w:sz w:val="24"/>
        <w:szCs w:val="24"/>
      </w:rPr>
    </w:lvl>
    <w:lvl w:ilvl="1" w:tplc="04090019" w:tentative="1">
      <w:start w:val="1"/>
      <w:numFmt w:val="lowerLetter"/>
      <w:lvlText w:val="%2."/>
      <w:lvlJc w:val="left"/>
      <w:pPr>
        <w:ind w:left="3288" w:hanging="360"/>
      </w:pPr>
    </w:lvl>
    <w:lvl w:ilvl="2" w:tplc="0409001B" w:tentative="1">
      <w:start w:val="1"/>
      <w:numFmt w:val="lowerRoman"/>
      <w:lvlText w:val="%3."/>
      <w:lvlJc w:val="right"/>
      <w:pPr>
        <w:ind w:left="4008" w:hanging="180"/>
      </w:pPr>
    </w:lvl>
    <w:lvl w:ilvl="3" w:tplc="0409000F" w:tentative="1">
      <w:start w:val="1"/>
      <w:numFmt w:val="decimal"/>
      <w:lvlText w:val="%4."/>
      <w:lvlJc w:val="left"/>
      <w:pPr>
        <w:ind w:left="4728" w:hanging="360"/>
      </w:pPr>
    </w:lvl>
    <w:lvl w:ilvl="4" w:tplc="04090019" w:tentative="1">
      <w:start w:val="1"/>
      <w:numFmt w:val="lowerLetter"/>
      <w:lvlText w:val="%5."/>
      <w:lvlJc w:val="left"/>
      <w:pPr>
        <w:ind w:left="5448" w:hanging="360"/>
      </w:pPr>
    </w:lvl>
    <w:lvl w:ilvl="5" w:tplc="0409001B" w:tentative="1">
      <w:start w:val="1"/>
      <w:numFmt w:val="lowerRoman"/>
      <w:lvlText w:val="%6."/>
      <w:lvlJc w:val="right"/>
      <w:pPr>
        <w:ind w:left="6168" w:hanging="180"/>
      </w:pPr>
    </w:lvl>
    <w:lvl w:ilvl="6" w:tplc="0409000F" w:tentative="1">
      <w:start w:val="1"/>
      <w:numFmt w:val="decimal"/>
      <w:lvlText w:val="%7."/>
      <w:lvlJc w:val="left"/>
      <w:pPr>
        <w:ind w:left="6888" w:hanging="360"/>
      </w:pPr>
    </w:lvl>
    <w:lvl w:ilvl="7" w:tplc="04090019" w:tentative="1">
      <w:start w:val="1"/>
      <w:numFmt w:val="lowerLetter"/>
      <w:lvlText w:val="%8."/>
      <w:lvlJc w:val="left"/>
      <w:pPr>
        <w:ind w:left="7608" w:hanging="360"/>
      </w:pPr>
    </w:lvl>
    <w:lvl w:ilvl="8" w:tplc="0409001B" w:tentative="1">
      <w:start w:val="1"/>
      <w:numFmt w:val="lowerRoman"/>
      <w:lvlText w:val="%9."/>
      <w:lvlJc w:val="right"/>
      <w:pPr>
        <w:ind w:left="8328" w:hanging="180"/>
      </w:pPr>
    </w:lvl>
  </w:abstractNum>
  <w:abstractNum w:abstractNumId="5">
    <w:nsid w:val="189A123D"/>
    <w:multiLevelType w:val="hybridMultilevel"/>
    <w:tmpl w:val="AD62F754"/>
    <w:lvl w:ilvl="0" w:tplc="B7605680">
      <w:start w:val="1"/>
      <w:numFmt w:val="upperLetter"/>
      <w:lvlText w:val="%1."/>
      <w:lvlJc w:val="left"/>
      <w:pPr>
        <w:ind w:left="4776" w:hanging="360"/>
      </w:pPr>
      <w:rPr>
        <w:sz w:val="24"/>
        <w:szCs w:val="24"/>
      </w:rPr>
    </w:lvl>
    <w:lvl w:ilvl="1" w:tplc="04090019" w:tentative="1">
      <w:start w:val="1"/>
      <w:numFmt w:val="lowerLetter"/>
      <w:lvlText w:val="%2."/>
      <w:lvlJc w:val="left"/>
      <w:pPr>
        <w:ind w:left="3648" w:hanging="360"/>
      </w:pPr>
    </w:lvl>
    <w:lvl w:ilvl="2" w:tplc="0409001B" w:tentative="1">
      <w:start w:val="1"/>
      <w:numFmt w:val="lowerRoman"/>
      <w:lvlText w:val="%3."/>
      <w:lvlJc w:val="right"/>
      <w:pPr>
        <w:ind w:left="4368" w:hanging="180"/>
      </w:pPr>
    </w:lvl>
    <w:lvl w:ilvl="3" w:tplc="0409000F" w:tentative="1">
      <w:start w:val="1"/>
      <w:numFmt w:val="decimal"/>
      <w:lvlText w:val="%4."/>
      <w:lvlJc w:val="left"/>
      <w:pPr>
        <w:ind w:left="5088" w:hanging="360"/>
      </w:pPr>
    </w:lvl>
    <w:lvl w:ilvl="4" w:tplc="04090019" w:tentative="1">
      <w:start w:val="1"/>
      <w:numFmt w:val="lowerLetter"/>
      <w:lvlText w:val="%5."/>
      <w:lvlJc w:val="left"/>
      <w:pPr>
        <w:ind w:left="5808" w:hanging="360"/>
      </w:pPr>
    </w:lvl>
    <w:lvl w:ilvl="5" w:tplc="0409001B" w:tentative="1">
      <w:start w:val="1"/>
      <w:numFmt w:val="lowerRoman"/>
      <w:lvlText w:val="%6."/>
      <w:lvlJc w:val="right"/>
      <w:pPr>
        <w:ind w:left="6528" w:hanging="180"/>
      </w:pPr>
    </w:lvl>
    <w:lvl w:ilvl="6" w:tplc="0409000F" w:tentative="1">
      <w:start w:val="1"/>
      <w:numFmt w:val="decimal"/>
      <w:lvlText w:val="%7."/>
      <w:lvlJc w:val="left"/>
      <w:pPr>
        <w:ind w:left="7248" w:hanging="360"/>
      </w:pPr>
    </w:lvl>
    <w:lvl w:ilvl="7" w:tplc="04090019" w:tentative="1">
      <w:start w:val="1"/>
      <w:numFmt w:val="lowerLetter"/>
      <w:lvlText w:val="%8."/>
      <w:lvlJc w:val="left"/>
      <w:pPr>
        <w:ind w:left="7968" w:hanging="360"/>
      </w:pPr>
    </w:lvl>
    <w:lvl w:ilvl="8" w:tplc="0409001B" w:tentative="1">
      <w:start w:val="1"/>
      <w:numFmt w:val="lowerRoman"/>
      <w:lvlText w:val="%9."/>
      <w:lvlJc w:val="right"/>
      <w:pPr>
        <w:ind w:left="8688" w:hanging="180"/>
      </w:pPr>
    </w:lvl>
  </w:abstractNum>
  <w:abstractNum w:abstractNumId="6">
    <w:nsid w:val="247C69AF"/>
    <w:multiLevelType w:val="hybridMultilevel"/>
    <w:tmpl w:val="F0F485AE"/>
    <w:lvl w:ilvl="0" w:tplc="B7605680">
      <w:start w:val="1"/>
      <w:numFmt w:val="upperLetter"/>
      <w:lvlText w:val="%1."/>
      <w:lvlJc w:val="left"/>
      <w:pPr>
        <w:ind w:left="2568" w:hanging="408"/>
      </w:pPr>
      <w:rPr>
        <w:rFonts w:hint="default"/>
        <w:b/>
        <w:i w:val="0"/>
        <w:iCs/>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32CE3501"/>
    <w:multiLevelType w:val="hybridMultilevel"/>
    <w:tmpl w:val="336C095A"/>
    <w:lvl w:ilvl="0" w:tplc="74D469FE">
      <w:start w:val="1"/>
      <w:numFmt w:val="decimal"/>
      <w:lvlText w:val="%1."/>
      <w:lvlJc w:val="left"/>
      <w:pPr>
        <w:ind w:left="1844" w:hanging="408"/>
      </w:pPr>
      <w:rPr>
        <w:rFonts w:hint="default"/>
        <w:b/>
        <w:i w:val="0"/>
        <w:iCs/>
      </w:rPr>
    </w:lvl>
    <w:lvl w:ilvl="1" w:tplc="04090019" w:tentative="1">
      <w:start w:val="1"/>
      <w:numFmt w:val="lowerLetter"/>
      <w:lvlText w:val="%2."/>
      <w:lvlJc w:val="left"/>
      <w:pPr>
        <w:ind w:left="2158" w:hanging="360"/>
      </w:pPr>
    </w:lvl>
    <w:lvl w:ilvl="2" w:tplc="0409001B" w:tentative="1">
      <w:start w:val="1"/>
      <w:numFmt w:val="lowerRoman"/>
      <w:lvlText w:val="%3."/>
      <w:lvlJc w:val="right"/>
      <w:pPr>
        <w:ind w:left="2878" w:hanging="180"/>
      </w:pPr>
    </w:lvl>
    <w:lvl w:ilvl="3" w:tplc="0409000F" w:tentative="1">
      <w:start w:val="1"/>
      <w:numFmt w:val="decimal"/>
      <w:lvlText w:val="%4."/>
      <w:lvlJc w:val="left"/>
      <w:pPr>
        <w:ind w:left="3598" w:hanging="360"/>
      </w:pPr>
    </w:lvl>
    <w:lvl w:ilvl="4" w:tplc="04090019" w:tentative="1">
      <w:start w:val="1"/>
      <w:numFmt w:val="lowerLetter"/>
      <w:lvlText w:val="%5."/>
      <w:lvlJc w:val="left"/>
      <w:pPr>
        <w:ind w:left="4318" w:hanging="360"/>
      </w:pPr>
    </w:lvl>
    <w:lvl w:ilvl="5" w:tplc="0409001B" w:tentative="1">
      <w:start w:val="1"/>
      <w:numFmt w:val="lowerRoman"/>
      <w:lvlText w:val="%6."/>
      <w:lvlJc w:val="right"/>
      <w:pPr>
        <w:ind w:left="5038" w:hanging="180"/>
      </w:pPr>
    </w:lvl>
    <w:lvl w:ilvl="6" w:tplc="0409000F" w:tentative="1">
      <w:start w:val="1"/>
      <w:numFmt w:val="decimal"/>
      <w:lvlText w:val="%7."/>
      <w:lvlJc w:val="left"/>
      <w:pPr>
        <w:ind w:left="5758" w:hanging="360"/>
      </w:pPr>
    </w:lvl>
    <w:lvl w:ilvl="7" w:tplc="04090019" w:tentative="1">
      <w:start w:val="1"/>
      <w:numFmt w:val="lowerLetter"/>
      <w:lvlText w:val="%8."/>
      <w:lvlJc w:val="left"/>
      <w:pPr>
        <w:ind w:left="6478" w:hanging="360"/>
      </w:pPr>
    </w:lvl>
    <w:lvl w:ilvl="8" w:tplc="0409001B" w:tentative="1">
      <w:start w:val="1"/>
      <w:numFmt w:val="lowerRoman"/>
      <w:lvlText w:val="%9."/>
      <w:lvlJc w:val="right"/>
      <w:pPr>
        <w:ind w:left="7198" w:hanging="180"/>
      </w:pPr>
    </w:lvl>
  </w:abstractNum>
  <w:abstractNum w:abstractNumId="8">
    <w:nsid w:val="35901DE1"/>
    <w:multiLevelType w:val="hybridMultilevel"/>
    <w:tmpl w:val="F0D81CF6"/>
    <w:lvl w:ilvl="0" w:tplc="B7605680">
      <w:start w:val="1"/>
      <w:numFmt w:val="upperLetter"/>
      <w:lvlText w:val="%1."/>
      <w:lvlJc w:val="left"/>
      <w:pPr>
        <w:ind w:left="2520" w:hanging="360"/>
      </w:pPr>
      <w:rPr>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424232AB"/>
    <w:multiLevelType w:val="hybridMultilevel"/>
    <w:tmpl w:val="17B4AD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952C6A"/>
    <w:multiLevelType w:val="hybridMultilevel"/>
    <w:tmpl w:val="65C220F2"/>
    <w:lvl w:ilvl="0" w:tplc="74D469FE">
      <w:start w:val="1"/>
      <w:numFmt w:val="decimal"/>
      <w:lvlText w:val="%1."/>
      <w:lvlJc w:val="left"/>
      <w:pPr>
        <w:ind w:left="1126" w:hanging="408"/>
      </w:pPr>
      <w:rPr>
        <w:rFonts w:hint="default"/>
        <w:b/>
        <w:i w:val="0"/>
        <w:iCs/>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11">
    <w:nsid w:val="54212CDB"/>
    <w:multiLevelType w:val="hybridMultilevel"/>
    <w:tmpl w:val="F092B7E6"/>
    <w:lvl w:ilvl="0" w:tplc="74D469FE">
      <w:start w:val="1"/>
      <w:numFmt w:val="decimal"/>
      <w:lvlText w:val="%1."/>
      <w:lvlJc w:val="left"/>
      <w:pPr>
        <w:ind w:left="1844" w:hanging="408"/>
      </w:pPr>
      <w:rPr>
        <w:rFonts w:hint="default"/>
        <w:b/>
        <w:i w:val="0"/>
        <w:iCs/>
      </w:rPr>
    </w:lvl>
    <w:lvl w:ilvl="1" w:tplc="04090019" w:tentative="1">
      <w:start w:val="1"/>
      <w:numFmt w:val="lowerLetter"/>
      <w:lvlText w:val="%2."/>
      <w:lvlJc w:val="left"/>
      <w:pPr>
        <w:ind w:left="2158" w:hanging="360"/>
      </w:pPr>
    </w:lvl>
    <w:lvl w:ilvl="2" w:tplc="0409001B" w:tentative="1">
      <w:start w:val="1"/>
      <w:numFmt w:val="lowerRoman"/>
      <w:lvlText w:val="%3."/>
      <w:lvlJc w:val="right"/>
      <w:pPr>
        <w:ind w:left="2878" w:hanging="180"/>
      </w:pPr>
    </w:lvl>
    <w:lvl w:ilvl="3" w:tplc="0409000F" w:tentative="1">
      <w:start w:val="1"/>
      <w:numFmt w:val="decimal"/>
      <w:lvlText w:val="%4."/>
      <w:lvlJc w:val="left"/>
      <w:pPr>
        <w:ind w:left="3598" w:hanging="360"/>
      </w:pPr>
    </w:lvl>
    <w:lvl w:ilvl="4" w:tplc="04090019" w:tentative="1">
      <w:start w:val="1"/>
      <w:numFmt w:val="lowerLetter"/>
      <w:lvlText w:val="%5."/>
      <w:lvlJc w:val="left"/>
      <w:pPr>
        <w:ind w:left="4318" w:hanging="360"/>
      </w:pPr>
    </w:lvl>
    <w:lvl w:ilvl="5" w:tplc="0409001B" w:tentative="1">
      <w:start w:val="1"/>
      <w:numFmt w:val="lowerRoman"/>
      <w:lvlText w:val="%6."/>
      <w:lvlJc w:val="right"/>
      <w:pPr>
        <w:ind w:left="5038" w:hanging="180"/>
      </w:pPr>
    </w:lvl>
    <w:lvl w:ilvl="6" w:tplc="0409000F" w:tentative="1">
      <w:start w:val="1"/>
      <w:numFmt w:val="decimal"/>
      <w:lvlText w:val="%7."/>
      <w:lvlJc w:val="left"/>
      <w:pPr>
        <w:ind w:left="5758" w:hanging="360"/>
      </w:pPr>
    </w:lvl>
    <w:lvl w:ilvl="7" w:tplc="04090019" w:tentative="1">
      <w:start w:val="1"/>
      <w:numFmt w:val="lowerLetter"/>
      <w:lvlText w:val="%8."/>
      <w:lvlJc w:val="left"/>
      <w:pPr>
        <w:ind w:left="6478" w:hanging="360"/>
      </w:pPr>
    </w:lvl>
    <w:lvl w:ilvl="8" w:tplc="0409001B" w:tentative="1">
      <w:start w:val="1"/>
      <w:numFmt w:val="lowerRoman"/>
      <w:lvlText w:val="%9."/>
      <w:lvlJc w:val="right"/>
      <w:pPr>
        <w:ind w:left="7198" w:hanging="180"/>
      </w:pPr>
    </w:lvl>
  </w:abstractNum>
  <w:abstractNum w:abstractNumId="12">
    <w:nsid w:val="5BAF1E52"/>
    <w:multiLevelType w:val="hybridMultilevel"/>
    <w:tmpl w:val="EADEE772"/>
    <w:lvl w:ilvl="0" w:tplc="04090015">
      <w:start w:val="1"/>
      <w:numFmt w:val="upperLetter"/>
      <w:lvlText w:val="%1."/>
      <w:lvlJc w:val="left"/>
      <w:pPr>
        <w:ind w:left="2256" w:hanging="408"/>
      </w:pPr>
      <w:rPr>
        <w:rFonts w:hint="default"/>
        <w:b/>
        <w:i w:val="0"/>
        <w:iCs/>
      </w:rPr>
    </w:lvl>
    <w:lvl w:ilvl="1" w:tplc="04090019" w:tentative="1">
      <w:start w:val="1"/>
      <w:numFmt w:val="lowerLetter"/>
      <w:lvlText w:val="%2."/>
      <w:lvlJc w:val="left"/>
      <w:pPr>
        <w:ind w:left="2928" w:hanging="360"/>
      </w:pPr>
    </w:lvl>
    <w:lvl w:ilvl="2" w:tplc="0409001B" w:tentative="1">
      <w:start w:val="1"/>
      <w:numFmt w:val="lowerRoman"/>
      <w:lvlText w:val="%3."/>
      <w:lvlJc w:val="right"/>
      <w:pPr>
        <w:ind w:left="3648" w:hanging="180"/>
      </w:pPr>
    </w:lvl>
    <w:lvl w:ilvl="3" w:tplc="0409000F" w:tentative="1">
      <w:start w:val="1"/>
      <w:numFmt w:val="decimal"/>
      <w:lvlText w:val="%4."/>
      <w:lvlJc w:val="left"/>
      <w:pPr>
        <w:ind w:left="4368" w:hanging="360"/>
      </w:pPr>
    </w:lvl>
    <w:lvl w:ilvl="4" w:tplc="04090019" w:tentative="1">
      <w:start w:val="1"/>
      <w:numFmt w:val="lowerLetter"/>
      <w:lvlText w:val="%5."/>
      <w:lvlJc w:val="left"/>
      <w:pPr>
        <w:ind w:left="5088" w:hanging="360"/>
      </w:pPr>
    </w:lvl>
    <w:lvl w:ilvl="5" w:tplc="0409001B" w:tentative="1">
      <w:start w:val="1"/>
      <w:numFmt w:val="lowerRoman"/>
      <w:lvlText w:val="%6."/>
      <w:lvlJc w:val="right"/>
      <w:pPr>
        <w:ind w:left="5808" w:hanging="180"/>
      </w:pPr>
    </w:lvl>
    <w:lvl w:ilvl="6" w:tplc="0409000F" w:tentative="1">
      <w:start w:val="1"/>
      <w:numFmt w:val="decimal"/>
      <w:lvlText w:val="%7."/>
      <w:lvlJc w:val="left"/>
      <w:pPr>
        <w:ind w:left="6528" w:hanging="360"/>
      </w:pPr>
    </w:lvl>
    <w:lvl w:ilvl="7" w:tplc="04090019" w:tentative="1">
      <w:start w:val="1"/>
      <w:numFmt w:val="lowerLetter"/>
      <w:lvlText w:val="%8."/>
      <w:lvlJc w:val="left"/>
      <w:pPr>
        <w:ind w:left="7248" w:hanging="360"/>
      </w:pPr>
    </w:lvl>
    <w:lvl w:ilvl="8" w:tplc="0409001B" w:tentative="1">
      <w:start w:val="1"/>
      <w:numFmt w:val="lowerRoman"/>
      <w:lvlText w:val="%9."/>
      <w:lvlJc w:val="right"/>
      <w:pPr>
        <w:ind w:left="7968" w:hanging="180"/>
      </w:pPr>
    </w:lvl>
  </w:abstractNum>
  <w:abstractNum w:abstractNumId="13">
    <w:nsid w:val="5EB16676"/>
    <w:multiLevelType w:val="hybridMultilevel"/>
    <w:tmpl w:val="67882692"/>
    <w:lvl w:ilvl="0" w:tplc="B7605680">
      <w:start w:val="1"/>
      <w:numFmt w:val="upperLetter"/>
      <w:lvlText w:val="%1."/>
      <w:lvlJc w:val="left"/>
      <w:pPr>
        <w:ind w:left="2568" w:hanging="408"/>
      </w:pPr>
      <w:rPr>
        <w:rFonts w:hint="default"/>
        <w:b/>
        <w:i w:val="0"/>
        <w:iCs/>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6711573C"/>
    <w:multiLevelType w:val="hybridMultilevel"/>
    <w:tmpl w:val="E0D04E0C"/>
    <w:lvl w:ilvl="0" w:tplc="04090015">
      <w:start w:val="1"/>
      <w:numFmt w:val="upperLetter"/>
      <w:lvlText w:val="%1."/>
      <w:lvlJc w:val="left"/>
      <w:pPr>
        <w:ind w:left="2256" w:hanging="408"/>
      </w:pPr>
      <w:rPr>
        <w:rFonts w:hint="default"/>
        <w:b/>
        <w:i w:val="0"/>
        <w:iCs/>
      </w:rPr>
    </w:lvl>
    <w:lvl w:ilvl="1" w:tplc="04090019" w:tentative="1">
      <w:start w:val="1"/>
      <w:numFmt w:val="lowerLetter"/>
      <w:lvlText w:val="%2."/>
      <w:lvlJc w:val="left"/>
      <w:pPr>
        <w:ind w:left="2928" w:hanging="360"/>
      </w:pPr>
    </w:lvl>
    <w:lvl w:ilvl="2" w:tplc="0409001B" w:tentative="1">
      <w:start w:val="1"/>
      <w:numFmt w:val="lowerRoman"/>
      <w:lvlText w:val="%3."/>
      <w:lvlJc w:val="right"/>
      <w:pPr>
        <w:ind w:left="3648" w:hanging="180"/>
      </w:pPr>
    </w:lvl>
    <w:lvl w:ilvl="3" w:tplc="0409000F" w:tentative="1">
      <w:start w:val="1"/>
      <w:numFmt w:val="decimal"/>
      <w:lvlText w:val="%4."/>
      <w:lvlJc w:val="left"/>
      <w:pPr>
        <w:ind w:left="4368" w:hanging="360"/>
      </w:pPr>
    </w:lvl>
    <w:lvl w:ilvl="4" w:tplc="04090019" w:tentative="1">
      <w:start w:val="1"/>
      <w:numFmt w:val="lowerLetter"/>
      <w:lvlText w:val="%5."/>
      <w:lvlJc w:val="left"/>
      <w:pPr>
        <w:ind w:left="5088" w:hanging="360"/>
      </w:pPr>
    </w:lvl>
    <w:lvl w:ilvl="5" w:tplc="0409001B" w:tentative="1">
      <w:start w:val="1"/>
      <w:numFmt w:val="lowerRoman"/>
      <w:lvlText w:val="%6."/>
      <w:lvlJc w:val="right"/>
      <w:pPr>
        <w:ind w:left="5808" w:hanging="180"/>
      </w:pPr>
    </w:lvl>
    <w:lvl w:ilvl="6" w:tplc="0409000F" w:tentative="1">
      <w:start w:val="1"/>
      <w:numFmt w:val="decimal"/>
      <w:lvlText w:val="%7."/>
      <w:lvlJc w:val="left"/>
      <w:pPr>
        <w:ind w:left="6528" w:hanging="360"/>
      </w:pPr>
    </w:lvl>
    <w:lvl w:ilvl="7" w:tplc="04090019" w:tentative="1">
      <w:start w:val="1"/>
      <w:numFmt w:val="lowerLetter"/>
      <w:lvlText w:val="%8."/>
      <w:lvlJc w:val="left"/>
      <w:pPr>
        <w:ind w:left="7248" w:hanging="360"/>
      </w:pPr>
    </w:lvl>
    <w:lvl w:ilvl="8" w:tplc="0409001B" w:tentative="1">
      <w:start w:val="1"/>
      <w:numFmt w:val="lowerRoman"/>
      <w:lvlText w:val="%9."/>
      <w:lvlJc w:val="right"/>
      <w:pPr>
        <w:ind w:left="7968" w:hanging="180"/>
      </w:pPr>
    </w:lvl>
  </w:abstractNum>
  <w:abstractNum w:abstractNumId="15">
    <w:nsid w:val="6BD77129"/>
    <w:multiLevelType w:val="hybridMultilevel"/>
    <w:tmpl w:val="D16A550C"/>
    <w:lvl w:ilvl="0" w:tplc="04090015">
      <w:start w:val="1"/>
      <w:numFmt w:val="upperLetter"/>
      <w:lvlText w:val="%1."/>
      <w:lvlJc w:val="left"/>
      <w:pPr>
        <w:ind w:left="2568" w:hanging="360"/>
      </w:pPr>
    </w:lvl>
    <w:lvl w:ilvl="1" w:tplc="04090019" w:tentative="1">
      <w:start w:val="1"/>
      <w:numFmt w:val="lowerLetter"/>
      <w:lvlText w:val="%2."/>
      <w:lvlJc w:val="left"/>
      <w:pPr>
        <w:ind w:left="3288" w:hanging="360"/>
      </w:pPr>
    </w:lvl>
    <w:lvl w:ilvl="2" w:tplc="0409001B" w:tentative="1">
      <w:start w:val="1"/>
      <w:numFmt w:val="lowerRoman"/>
      <w:lvlText w:val="%3."/>
      <w:lvlJc w:val="right"/>
      <w:pPr>
        <w:ind w:left="4008" w:hanging="180"/>
      </w:pPr>
    </w:lvl>
    <w:lvl w:ilvl="3" w:tplc="0409000F" w:tentative="1">
      <w:start w:val="1"/>
      <w:numFmt w:val="decimal"/>
      <w:lvlText w:val="%4."/>
      <w:lvlJc w:val="left"/>
      <w:pPr>
        <w:ind w:left="4728" w:hanging="360"/>
      </w:pPr>
    </w:lvl>
    <w:lvl w:ilvl="4" w:tplc="04090019" w:tentative="1">
      <w:start w:val="1"/>
      <w:numFmt w:val="lowerLetter"/>
      <w:lvlText w:val="%5."/>
      <w:lvlJc w:val="left"/>
      <w:pPr>
        <w:ind w:left="5448" w:hanging="360"/>
      </w:pPr>
    </w:lvl>
    <w:lvl w:ilvl="5" w:tplc="0409001B" w:tentative="1">
      <w:start w:val="1"/>
      <w:numFmt w:val="lowerRoman"/>
      <w:lvlText w:val="%6."/>
      <w:lvlJc w:val="right"/>
      <w:pPr>
        <w:ind w:left="6168" w:hanging="180"/>
      </w:pPr>
    </w:lvl>
    <w:lvl w:ilvl="6" w:tplc="0409000F" w:tentative="1">
      <w:start w:val="1"/>
      <w:numFmt w:val="decimal"/>
      <w:lvlText w:val="%7."/>
      <w:lvlJc w:val="left"/>
      <w:pPr>
        <w:ind w:left="6888" w:hanging="360"/>
      </w:pPr>
    </w:lvl>
    <w:lvl w:ilvl="7" w:tplc="04090019" w:tentative="1">
      <w:start w:val="1"/>
      <w:numFmt w:val="lowerLetter"/>
      <w:lvlText w:val="%8."/>
      <w:lvlJc w:val="left"/>
      <w:pPr>
        <w:ind w:left="7608" w:hanging="360"/>
      </w:pPr>
    </w:lvl>
    <w:lvl w:ilvl="8" w:tplc="0409001B" w:tentative="1">
      <w:start w:val="1"/>
      <w:numFmt w:val="lowerRoman"/>
      <w:lvlText w:val="%9."/>
      <w:lvlJc w:val="right"/>
      <w:pPr>
        <w:ind w:left="8328" w:hanging="180"/>
      </w:pPr>
    </w:lvl>
  </w:abstractNum>
  <w:num w:numId="1">
    <w:abstractNumId w:val="3"/>
  </w:num>
  <w:num w:numId="2">
    <w:abstractNumId w:val="14"/>
  </w:num>
  <w:num w:numId="3">
    <w:abstractNumId w:val="12"/>
  </w:num>
  <w:num w:numId="4">
    <w:abstractNumId w:val="9"/>
  </w:num>
  <w:num w:numId="5">
    <w:abstractNumId w:val="1"/>
  </w:num>
  <w:num w:numId="6">
    <w:abstractNumId w:val="0"/>
  </w:num>
  <w:num w:numId="7">
    <w:abstractNumId w:val="4"/>
  </w:num>
  <w:num w:numId="8">
    <w:abstractNumId w:val="15"/>
  </w:num>
  <w:num w:numId="9">
    <w:abstractNumId w:val="2"/>
  </w:num>
  <w:num w:numId="10">
    <w:abstractNumId w:val="5"/>
  </w:num>
  <w:num w:numId="11">
    <w:abstractNumId w:val="8"/>
  </w:num>
  <w:num w:numId="12">
    <w:abstractNumId w:val="6"/>
  </w:num>
  <w:num w:numId="13">
    <w:abstractNumId w:val="13"/>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352"/>
    <w:rsid w:val="000047DC"/>
    <w:rsid w:val="000660F2"/>
    <w:rsid w:val="0010268A"/>
    <w:rsid w:val="001058FB"/>
    <w:rsid w:val="001A55A9"/>
    <w:rsid w:val="001B0D79"/>
    <w:rsid w:val="001C3F8E"/>
    <w:rsid w:val="002959A6"/>
    <w:rsid w:val="002C0511"/>
    <w:rsid w:val="00322B43"/>
    <w:rsid w:val="0033469B"/>
    <w:rsid w:val="003D6B30"/>
    <w:rsid w:val="004E07A8"/>
    <w:rsid w:val="00531ECA"/>
    <w:rsid w:val="00535A5A"/>
    <w:rsid w:val="00540545"/>
    <w:rsid w:val="005D33A5"/>
    <w:rsid w:val="005E4EB7"/>
    <w:rsid w:val="00701431"/>
    <w:rsid w:val="008D5815"/>
    <w:rsid w:val="008E7969"/>
    <w:rsid w:val="00904352"/>
    <w:rsid w:val="00956FDF"/>
    <w:rsid w:val="00A017FA"/>
    <w:rsid w:val="00A42A6A"/>
    <w:rsid w:val="00A65C27"/>
    <w:rsid w:val="00A76B97"/>
    <w:rsid w:val="00A86484"/>
    <w:rsid w:val="00B92356"/>
    <w:rsid w:val="00C5332D"/>
    <w:rsid w:val="00C70698"/>
    <w:rsid w:val="00D1008C"/>
    <w:rsid w:val="00DF63A6"/>
    <w:rsid w:val="00E67F25"/>
    <w:rsid w:val="00E92E0E"/>
    <w:rsid w:val="00E95BA7"/>
    <w:rsid w:val="00EC281B"/>
    <w:rsid w:val="00F737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352"/>
    <w:rPr>
      <w:rFonts w:ascii="Calibri" w:eastAsia="ヒラギノ角ゴ Pro W3" w:hAnsi="Calibri" w:cs="Times New Roman"/>
      <w:color w:val="000000"/>
      <w:szCs w:val="24"/>
      <w:lang w:val="pt-B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rsid w:val="00904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lang w:val="it-IT" w:eastAsia="it-IT"/>
    </w:rPr>
  </w:style>
  <w:style w:type="character" w:customStyle="1" w:styleId="HTMLPreformattedChar">
    <w:name w:val="HTML Preformatted Char"/>
    <w:basedOn w:val="DefaultParagraphFont"/>
    <w:link w:val="HTMLPreformatted"/>
    <w:uiPriority w:val="99"/>
    <w:rsid w:val="00904352"/>
    <w:rPr>
      <w:rFonts w:ascii="Courier New" w:eastAsia="Times New Roman" w:hAnsi="Courier New" w:cs="Courier New"/>
      <w:sz w:val="20"/>
      <w:szCs w:val="20"/>
      <w:lang w:val="it-IT" w:eastAsia="it-IT" w:bidi="ar-SA"/>
    </w:rPr>
  </w:style>
  <w:style w:type="paragraph" w:customStyle="1" w:styleId="Paragraphedeliste">
    <w:name w:val="Paragraphe de liste"/>
    <w:rsid w:val="00904352"/>
    <w:pPr>
      <w:pBdr>
        <w:top w:val="nil"/>
        <w:left w:val="nil"/>
        <w:bottom w:val="nil"/>
        <w:right w:val="nil"/>
        <w:between w:val="nil"/>
        <w:bar w:val="nil"/>
      </w:pBdr>
      <w:ind w:left="720"/>
    </w:pPr>
    <w:rPr>
      <w:rFonts w:ascii="Calibri" w:eastAsia="Calibri" w:hAnsi="Calibri" w:cs="Calibri"/>
      <w:color w:val="000000"/>
      <w:u w:color="000000"/>
      <w:bdr w:val="nil"/>
      <w:lang w:val="fr-FR"/>
    </w:rPr>
  </w:style>
  <w:style w:type="paragraph" w:customStyle="1" w:styleId="Normal0">
    <w:name w:val="Normal_0"/>
    <w:rsid w:val="00904352"/>
    <w:pPr>
      <w:pBdr>
        <w:top w:val="nil"/>
        <w:left w:val="nil"/>
        <w:bottom w:val="nil"/>
        <w:right w:val="nil"/>
        <w:between w:val="nil"/>
        <w:bar w:val="nil"/>
      </w:pBdr>
    </w:pPr>
    <w:rPr>
      <w:rFonts w:ascii="Calibri" w:eastAsia="Calibri" w:hAnsi="Calibri" w:cs="Calibri"/>
      <w:color w:val="000000"/>
      <w:u w:color="000000"/>
      <w:bdr w:val="nil"/>
      <w:lang w:val="fr-FR"/>
      <w14:textOutline w14:w="12700" w14:cap="flat" w14:cmpd="sng" w14:algn="ctr">
        <w14:noFill/>
        <w14:prstDash w14:val="solid"/>
        <w14:miter w14:lim="400000"/>
      </w14:textOutline>
    </w:rPr>
  </w:style>
  <w:style w:type="paragraph" w:styleId="ListParagraph">
    <w:name w:val="List Paragraph"/>
    <w:basedOn w:val="Normal"/>
    <w:uiPriority w:val="34"/>
    <w:qFormat/>
    <w:rsid w:val="00C70698"/>
    <w:pPr>
      <w:ind w:left="720"/>
      <w:contextualSpacing/>
    </w:pPr>
  </w:style>
  <w:style w:type="paragraph" w:styleId="CommentText">
    <w:name w:val="annotation text"/>
    <w:basedOn w:val="Normal"/>
    <w:link w:val="CommentTextChar"/>
    <w:rsid w:val="00DF63A6"/>
    <w:rPr>
      <w:sz w:val="20"/>
      <w:szCs w:val="20"/>
      <w:lang w:bidi="he-IL"/>
    </w:rPr>
  </w:style>
  <w:style w:type="character" w:customStyle="1" w:styleId="CommentTextChar">
    <w:name w:val="Comment Text Char"/>
    <w:basedOn w:val="DefaultParagraphFont"/>
    <w:link w:val="CommentText"/>
    <w:rsid w:val="00DF63A6"/>
    <w:rPr>
      <w:rFonts w:ascii="Calibri" w:eastAsia="ヒラギノ角ゴ Pro W3" w:hAnsi="Calibri" w:cs="Times New Roman"/>
      <w:color w:val="000000"/>
      <w:sz w:val="20"/>
      <w:szCs w:val="20"/>
    </w:rPr>
  </w:style>
  <w:style w:type="character" w:styleId="CommentReference">
    <w:name w:val="annotation reference"/>
    <w:rsid w:val="0033469B"/>
    <w:rPr>
      <w:sz w:val="16"/>
      <w:szCs w:val="16"/>
    </w:rPr>
  </w:style>
  <w:style w:type="paragraph" w:styleId="BalloonText">
    <w:name w:val="Balloon Text"/>
    <w:basedOn w:val="Normal"/>
    <w:link w:val="BalloonTextChar"/>
    <w:uiPriority w:val="99"/>
    <w:semiHidden/>
    <w:unhideWhenUsed/>
    <w:rsid w:val="003346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69B"/>
    <w:rPr>
      <w:rFonts w:ascii="Tahoma" w:eastAsia="ヒラギノ角ゴ Pro W3" w:hAnsi="Tahoma" w:cs="Tahoma"/>
      <w:color w:val="000000"/>
      <w:sz w:val="16"/>
      <w:szCs w:val="16"/>
      <w:lang w:val="pt-BR" w:bidi="ar-SA"/>
    </w:rPr>
  </w:style>
  <w:style w:type="table" w:styleId="TableGrid">
    <w:name w:val="Table Grid"/>
    <w:basedOn w:val="TableNormal"/>
    <w:uiPriority w:val="59"/>
    <w:rsid w:val="00531E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352"/>
    <w:rPr>
      <w:rFonts w:ascii="Calibri" w:eastAsia="ヒラギノ角ゴ Pro W3" w:hAnsi="Calibri" w:cs="Times New Roman"/>
      <w:color w:val="000000"/>
      <w:szCs w:val="24"/>
      <w:lang w:val="pt-B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rsid w:val="00904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lang w:val="it-IT" w:eastAsia="it-IT"/>
    </w:rPr>
  </w:style>
  <w:style w:type="character" w:customStyle="1" w:styleId="HTMLPreformattedChar">
    <w:name w:val="HTML Preformatted Char"/>
    <w:basedOn w:val="DefaultParagraphFont"/>
    <w:link w:val="HTMLPreformatted"/>
    <w:uiPriority w:val="99"/>
    <w:rsid w:val="00904352"/>
    <w:rPr>
      <w:rFonts w:ascii="Courier New" w:eastAsia="Times New Roman" w:hAnsi="Courier New" w:cs="Courier New"/>
      <w:sz w:val="20"/>
      <w:szCs w:val="20"/>
      <w:lang w:val="it-IT" w:eastAsia="it-IT" w:bidi="ar-SA"/>
    </w:rPr>
  </w:style>
  <w:style w:type="paragraph" w:customStyle="1" w:styleId="Paragraphedeliste">
    <w:name w:val="Paragraphe de liste"/>
    <w:rsid w:val="00904352"/>
    <w:pPr>
      <w:pBdr>
        <w:top w:val="nil"/>
        <w:left w:val="nil"/>
        <w:bottom w:val="nil"/>
        <w:right w:val="nil"/>
        <w:between w:val="nil"/>
        <w:bar w:val="nil"/>
      </w:pBdr>
      <w:ind w:left="720"/>
    </w:pPr>
    <w:rPr>
      <w:rFonts w:ascii="Calibri" w:eastAsia="Calibri" w:hAnsi="Calibri" w:cs="Calibri"/>
      <w:color w:val="000000"/>
      <w:u w:color="000000"/>
      <w:bdr w:val="nil"/>
      <w:lang w:val="fr-FR"/>
    </w:rPr>
  </w:style>
  <w:style w:type="paragraph" w:customStyle="1" w:styleId="Normal0">
    <w:name w:val="Normal_0"/>
    <w:rsid w:val="00904352"/>
    <w:pPr>
      <w:pBdr>
        <w:top w:val="nil"/>
        <w:left w:val="nil"/>
        <w:bottom w:val="nil"/>
        <w:right w:val="nil"/>
        <w:between w:val="nil"/>
        <w:bar w:val="nil"/>
      </w:pBdr>
    </w:pPr>
    <w:rPr>
      <w:rFonts w:ascii="Calibri" w:eastAsia="Calibri" w:hAnsi="Calibri" w:cs="Calibri"/>
      <w:color w:val="000000"/>
      <w:u w:color="000000"/>
      <w:bdr w:val="nil"/>
      <w:lang w:val="fr-FR"/>
      <w14:textOutline w14:w="12700" w14:cap="flat" w14:cmpd="sng" w14:algn="ctr">
        <w14:noFill/>
        <w14:prstDash w14:val="solid"/>
        <w14:miter w14:lim="400000"/>
      </w14:textOutline>
    </w:rPr>
  </w:style>
  <w:style w:type="paragraph" w:styleId="ListParagraph">
    <w:name w:val="List Paragraph"/>
    <w:basedOn w:val="Normal"/>
    <w:uiPriority w:val="34"/>
    <w:qFormat/>
    <w:rsid w:val="00C70698"/>
    <w:pPr>
      <w:ind w:left="720"/>
      <w:contextualSpacing/>
    </w:pPr>
  </w:style>
  <w:style w:type="paragraph" w:styleId="CommentText">
    <w:name w:val="annotation text"/>
    <w:basedOn w:val="Normal"/>
    <w:link w:val="CommentTextChar"/>
    <w:rsid w:val="00DF63A6"/>
    <w:rPr>
      <w:sz w:val="20"/>
      <w:szCs w:val="20"/>
      <w:lang w:bidi="he-IL"/>
    </w:rPr>
  </w:style>
  <w:style w:type="character" w:customStyle="1" w:styleId="CommentTextChar">
    <w:name w:val="Comment Text Char"/>
    <w:basedOn w:val="DefaultParagraphFont"/>
    <w:link w:val="CommentText"/>
    <w:rsid w:val="00DF63A6"/>
    <w:rPr>
      <w:rFonts w:ascii="Calibri" w:eastAsia="ヒラギノ角ゴ Pro W3" w:hAnsi="Calibri" w:cs="Times New Roman"/>
      <w:color w:val="000000"/>
      <w:sz w:val="20"/>
      <w:szCs w:val="20"/>
    </w:rPr>
  </w:style>
  <w:style w:type="character" w:styleId="CommentReference">
    <w:name w:val="annotation reference"/>
    <w:rsid w:val="0033469B"/>
    <w:rPr>
      <w:sz w:val="16"/>
      <w:szCs w:val="16"/>
    </w:rPr>
  </w:style>
  <w:style w:type="paragraph" w:styleId="BalloonText">
    <w:name w:val="Balloon Text"/>
    <w:basedOn w:val="Normal"/>
    <w:link w:val="BalloonTextChar"/>
    <w:uiPriority w:val="99"/>
    <w:semiHidden/>
    <w:unhideWhenUsed/>
    <w:rsid w:val="003346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69B"/>
    <w:rPr>
      <w:rFonts w:ascii="Tahoma" w:eastAsia="ヒラギノ角ゴ Pro W3" w:hAnsi="Tahoma" w:cs="Tahoma"/>
      <w:color w:val="000000"/>
      <w:sz w:val="16"/>
      <w:szCs w:val="16"/>
      <w:lang w:val="pt-BR" w:bidi="ar-SA"/>
    </w:rPr>
  </w:style>
  <w:style w:type="table" w:styleId="TableGrid">
    <w:name w:val="Table Grid"/>
    <w:basedOn w:val="TableNormal"/>
    <w:uiPriority w:val="59"/>
    <w:rsid w:val="00531E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06674-FF8F-41EF-B743-1E6885B74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1031</Words>
  <Characters>5881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‏‏משתמש Windows</dc:creator>
  <cp:lastModifiedBy>‏‏משתמש Windows</cp:lastModifiedBy>
  <cp:revision>16</cp:revision>
  <dcterms:created xsi:type="dcterms:W3CDTF">2022-03-23T20:08:00Z</dcterms:created>
  <dcterms:modified xsi:type="dcterms:W3CDTF">2022-05-09T17:36:00Z</dcterms:modified>
</cp:coreProperties>
</file>