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B5EB" w14:textId="77777777" w:rsidR="0027145A" w:rsidRPr="00E52F54" w:rsidRDefault="0027145A" w:rsidP="0027145A">
      <w:pPr>
        <w:tabs>
          <w:tab w:val="left" w:pos="2552"/>
        </w:tabs>
        <w:spacing w:line="360" w:lineRule="auto"/>
        <w:rPr>
          <w:rFonts w:cs="Calibri"/>
          <w:sz w:val="22"/>
          <w:szCs w:val="22"/>
        </w:rPr>
      </w:pPr>
      <w:r w:rsidRPr="00E52F54">
        <w:rPr>
          <w:rFonts w:cs="Calibri"/>
          <w:b/>
          <w:bCs/>
          <w:sz w:val="22"/>
          <w:szCs w:val="22"/>
        </w:rPr>
        <w:t>Table 1.</w:t>
      </w:r>
      <w:r w:rsidRPr="00E52F54">
        <w:rPr>
          <w:rFonts w:cs="Calibri"/>
          <w:sz w:val="22"/>
          <w:szCs w:val="22"/>
        </w:rPr>
        <w:t xml:space="preserve"> </w:t>
      </w:r>
      <w:r w:rsidRPr="00E52F54">
        <w:rPr>
          <w:rFonts w:cs="Calibri"/>
          <w:i/>
          <w:iCs/>
          <w:sz w:val="22"/>
          <w:szCs w:val="22"/>
        </w:rPr>
        <w:t>Historical Timeline of Key Developments in Mechanical Small-Bowel Obstruction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3"/>
        <w:gridCol w:w="8028"/>
      </w:tblGrid>
      <w:tr w:rsidR="0027145A" w:rsidRPr="00E52F54" w14:paraId="008441A3" w14:textId="77777777" w:rsidTr="00382AA0">
        <w:trPr>
          <w:tblHeader/>
          <w:tblCellSpacing w:w="15" w:type="dxa"/>
        </w:trPr>
        <w:tc>
          <w:tcPr>
            <w:tcW w:w="948" w:type="dxa"/>
            <w:tcBorders>
              <w:top w:val="single" w:sz="4" w:space="0" w:color="auto"/>
              <w:bottom w:val="single" w:sz="4" w:space="0" w:color="auto"/>
            </w:tcBorders>
            <w:hideMark/>
          </w:tcPr>
          <w:p w14:paraId="77B7F439" w14:textId="77777777" w:rsidR="0027145A" w:rsidRPr="00E52F54" w:rsidRDefault="0027145A" w:rsidP="00382AA0">
            <w:pPr>
              <w:tabs>
                <w:tab w:val="left" w:pos="2552"/>
              </w:tabs>
              <w:rPr>
                <w:rFonts w:cs="Calibri"/>
                <w:b/>
                <w:bCs/>
                <w:sz w:val="16"/>
                <w:szCs w:val="16"/>
              </w:rPr>
            </w:pPr>
            <w:r w:rsidRPr="00E52F54">
              <w:rPr>
                <w:rFonts w:cs="Calibri"/>
                <w:b/>
                <w:bCs/>
                <w:sz w:val="16"/>
                <w:szCs w:val="16"/>
              </w:rPr>
              <w:t>Year (Approx.)</w:t>
            </w:r>
          </w:p>
        </w:tc>
        <w:tc>
          <w:tcPr>
            <w:tcW w:w="7983" w:type="dxa"/>
            <w:tcBorders>
              <w:top w:val="single" w:sz="4" w:space="0" w:color="auto"/>
              <w:bottom w:val="single" w:sz="4" w:space="0" w:color="auto"/>
            </w:tcBorders>
            <w:vAlign w:val="center"/>
            <w:hideMark/>
          </w:tcPr>
          <w:p w14:paraId="67213893" w14:textId="77777777" w:rsidR="0027145A" w:rsidRPr="00E52F54" w:rsidRDefault="0027145A" w:rsidP="00382AA0">
            <w:pPr>
              <w:tabs>
                <w:tab w:val="left" w:pos="2552"/>
              </w:tabs>
              <w:rPr>
                <w:rFonts w:cs="Calibri"/>
                <w:b/>
                <w:bCs/>
                <w:sz w:val="16"/>
                <w:szCs w:val="16"/>
              </w:rPr>
            </w:pPr>
            <w:r w:rsidRPr="00E52F54">
              <w:rPr>
                <w:rFonts w:cs="Calibri"/>
                <w:b/>
                <w:bCs/>
                <w:sz w:val="16"/>
                <w:szCs w:val="16"/>
              </w:rPr>
              <w:t>Milestone</w:t>
            </w:r>
          </w:p>
        </w:tc>
      </w:tr>
      <w:tr w:rsidR="0027145A" w:rsidRPr="00E52F54" w14:paraId="2CF7EBFD" w14:textId="77777777" w:rsidTr="00382AA0">
        <w:trPr>
          <w:tblCellSpacing w:w="15" w:type="dxa"/>
        </w:trPr>
        <w:tc>
          <w:tcPr>
            <w:tcW w:w="948" w:type="dxa"/>
            <w:hideMark/>
          </w:tcPr>
          <w:p w14:paraId="6CD6C2B5" w14:textId="77777777" w:rsidR="0027145A" w:rsidRPr="00E52F54" w:rsidRDefault="0027145A" w:rsidP="00382AA0">
            <w:pPr>
              <w:tabs>
                <w:tab w:val="left" w:pos="2552"/>
              </w:tabs>
              <w:rPr>
                <w:rFonts w:cs="Calibri"/>
                <w:sz w:val="16"/>
                <w:szCs w:val="16"/>
              </w:rPr>
            </w:pPr>
            <w:r w:rsidRPr="00E52F54">
              <w:rPr>
                <w:rFonts w:cs="Calibri"/>
                <w:b/>
                <w:bCs/>
                <w:sz w:val="16"/>
                <w:szCs w:val="16"/>
              </w:rPr>
              <w:t>1550 BCE</w:t>
            </w:r>
          </w:p>
        </w:tc>
        <w:tc>
          <w:tcPr>
            <w:tcW w:w="7983" w:type="dxa"/>
            <w:vAlign w:val="center"/>
            <w:hideMark/>
          </w:tcPr>
          <w:p w14:paraId="05F89850" w14:textId="77777777" w:rsidR="0027145A" w:rsidRPr="00E52F54" w:rsidRDefault="0027145A" w:rsidP="00382AA0">
            <w:pPr>
              <w:tabs>
                <w:tab w:val="left" w:pos="2552"/>
              </w:tabs>
              <w:rPr>
                <w:rFonts w:cs="Calibri"/>
                <w:sz w:val="16"/>
                <w:szCs w:val="16"/>
              </w:rPr>
            </w:pPr>
            <w:r w:rsidRPr="00E52F54">
              <w:rPr>
                <w:rFonts w:cs="Calibri"/>
                <w:b/>
                <w:bCs/>
                <w:sz w:val="16"/>
                <w:szCs w:val="16"/>
              </w:rPr>
              <w:t>Earliest recorded description of intestinal obstruction</w:t>
            </w:r>
            <w:r w:rsidRPr="00E52F54">
              <w:rPr>
                <w:rFonts w:cs="Calibri"/>
                <w:sz w:val="16"/>
                <w:szCs w:val="16"/>
              </w:rPr>
              <w:t xml:space="preserve"> – Ebers Papyrus (ancient Egypt) documents symptoms of blocked intestines. </w:t>
            </w:r>
          </w:p>
        </w:tc>
      </w:tr>
      <w:tr w:rsidR="0027145A" w:rsidRPr="00E52F54" w14:paraId="1E24FFA0" w14:textId="77777777" w:rsidTr="00382AA0">
        <w:trPr>
          <w:tblCellSpacing w:w="15" w:type="dxa"/>
        </w:trPr>
        <w:tc>
          <w:tcPr>
            <w:tcW w:w="948" w:type="dxa"/>
            <w:hideMark/>
          </w:tcPr>
          <w:p w14:paraId="3E2501DB" w14:textId="77777777" w:rsidR="0027145A" w:rsidRPr="00E52F54" w:rsidRDefault="0027145A" w:rsidP="00382AA0">
            <w:pPr>
              <w:tabs>
                <w:tab w:val="left" w:pos="2552"/>
              </w:tabs>
              <w:rPr>
                <w:rFonts w:cs="Calibri"/>
                <w:sz w:val="16"/>
                <w:szCs w:val="16"/>
              </w:rPr>
            </w:pPr>
            <w:r w:rsidRPr="00E52F54">
              <w:rPr>
                <w:rFonts w:cs="Calibri"/>
                <w:b/>
                <w:bCs/>
                <w:sz w:val="16"/>
                <w:szCs w:val="16"/>
              </w:rPr>
              <w:t>400–350 BCE</w:t>
            </w:r>
          </w:p>
        </w:tc>
        <w:tc>
          <w:tcPr>
            <w:tcW w:w="7983" w:type="dxa"/>
            <w:vAlign w:val="center"/>
            <w:hideMark/>
          </w:tcPr>
          <w:p w14:paraId="2CC50A33" w14:textId="77777777" w:rsidR="0027145A" w:rsidRPr="00E52F54" w:rsidRDefault="0027145A" w:rsidP="00382AA0">
            <w:pPr>
              <w:tabs>
                <w:tab w:val="left" w:pos="2552"/>
              </w:tabs>
              <w:rPr>
                <w:rFonts w:cs="Calibri"/>
                <w:sz w:val="16"/>
                <w:szCs w:val="16"/>
              </w:rPr>
            </w:pPr>
            <w:r w:rsidRPr="00E52F54">
              <w:rPr>
                <w:rFonts w:cs="Calibri"/>
                <w:b/>
                <w:bCs/>
                <w:sz w:val="16"/>
                <w:szCs w:val="16"/>
              </w:rPr>
              <w:t>First clinical treatments</w:t>
            </w:r>
            <w:r w:rsidRPr="00E52F54">
              <w:rPr>
                <w:rFonts w:cs="Calibri"/>
                <w:sz w:val="16"/>
                <w:szCs w:val="16"/>
              </w:rPr>
              <w:t xml:space="preserve"> – Hippocrates recognizes and attempts non-surgical treatment of “ileus” (enemas, inversion). </w:t>
            </w:r>
            <w:proofErr w:type="spellStart"/>
            <w:r w:rsidRPr="00E52F54">
              <w:rPr>
                <w:rFonts w:cs="Calibri"/>
                <w:sz w:val="16"/>
                <w:szCs w:val="16"/>
              </w:rPr>
              <w:t>Praxagoras</w:t>
            </w:r>
            <w:proofErr w:type="spellEnd"/>
            <w:r w:rsidRPr="00E52F54">
              <w:rPr>
                <w:rFonts w:cs="Calibri"/>
                <w:sz w:val="16"/>
                <w:szCs w:val="16"/>
              </w:rPr>
              <w:t xml:space="preserve"> of Cos performs the first surgical relief by creating an enterocutaneous fistula (350 BCE). </w:t>
            </w:r>
          </w:p>
        </w:tc>
      </w:tr>
      <w:tr w:rsidR="0027145A" w:rsidRPr="00E52F54" w14:paraId="626564D3" w14:textId="77777777" w:rsidTr="00382AA0">
        <w:trPr>
          <w:tblCellSpacing w:w="15" w:type="dxa"/>
        </w:trPr>
        <w:tc>
          <w:tcPr>
            <w:tcW w:w="948" w:type="dxa"/>
            <w:hideMark/>
          </w:tcPr>
          <w:p w14:paraId="0C6F6057" w14:textId="77777777" w:rsidR="0027145A" w:rsidRPr="00E52F54" w:rsidRDefault="0027145A" w:rsidP="00382AA0">
            <w:pPr>
              <w:tabs>
                <w:tab w:val="left" w:pos="2552"/>
              </w:tabs>
              <w:rPr>
                <w:rFonts w:cs="Calibri"/>
                <w:sz w:val="16"/>
                <w:szCs w:val="16"/>
              </w:rPr>
            </w:pPr>
            <w:r w:rsidRPr="00E52F54">
              <w:rPr>
                <w:rFonts w:cs="Calibri"/>
                <w:b/>
                <w:bCs/>
                <w:sz w:val="16"/>
                <w:szCs w:val="16"/>
              </w:rPr>
              <w:t>600–200 BCE</w:t>
            </w:r>
          </w:p>
        </w:tc>
        <w:tc>
          <w:tcPr>
            <w:tcW w:w="7983" w:type="dxa"/>
            <w:vAlign w:val="center"/>
            <w:hideMark/>
          </w:tcPr>
          <w:p w14:paraId="27CF9A76" w14:textId="77777777" w:rsidR="0027145A" w:rsidRPr="00E52F54" w:rsidRDefault="0027145A" w:rsidP="00382AA0">
            <w:pPr>
              <w:tabs>
                <w:tab w:val="left" w:pos="2552"/>
              </w:tabs>
              <w:rPr>
                <w:rFonts w:cs="Calibri"/>
                <w:sz w:val="16"/>
                <w:szCs w:val="16"/>
              </w:rPr>
            </w:pPr>
            <w:r w:rsidRPr="00E52F54">
              <w:rPr>
                <w:rFonts w:cs="Calibri"/>
                <w:b/>
                <w:bCs/>
                <w:sz w:val="16"/>
                <w:szCs w:val="16"/>
              </w:rPr>
              <w:t>Ancient world contributions</w:t>
            </w:r>
            <w:r w:rsidRPr="00E52F54">
              <w:rPr>
                <w:rFonts w:cs="Calibri"/>
                <w:sz w:val="16"/>
                <w:szCs w:val="16"/>
              </w:rPr>
              <w:t xml:space="preserve"> – Sushruta Samhita (India) describes surgical management of obstructive abdomen. Chinese physicians (Huangdi </w:t>
            </w:r>
            <w:proofErr w:type="spellStart"/>
            <w:r w:rsidRPr="00E52F54">
              <w:rPr>
                <w:rFonts w:cs="Calibri"/>
                <w:sz w:val="16"/>
                <w:szCs w:val="16"/>
              </w:rPr>
              <w:t>Neijing</w:t>
            </w:r>
            <w:proofErr w:type="spellEnd"/>
            <w:r w:rsidRPr="00E52F54">
              <w:rPr>
                <w:rFonts w:cs="Calibri"/>
                <w:sz w:val="16"/>
                <w:szCs w:val="16"/>
              </w:rPr>
              <w:t>) conceptualize obstruction as “Qi stagnation” in the gut (c. 200 BCE).</w:t>
            </w:r>
          </w:p>
        </w:tc>
      </w:tr>
      <w:tr w:rsidR="0027145A" w:rsidRPr="00E52F54" w14:paraId="66298DED" w14:textId="77777777" w:rsidTr="00382AA0">
        <w:trPr>
          <w:tblCellSpacing w:w="15" w:type="dxa"/>
        </w:trPr>
        <w:tc>
          <w:tcPr>
            <w:tcW w:w="948" w:type="dxa"/>
            <w:hideMark/>
          </w:tcPr>
          <w:p w14:paraId="66D9E930" w14:textId="77777777" w:rsidR="0027145A" w:rsidRPr="00E52F54" w:rsidRDefault="0027145A" w:rsidP="00382AA0">
            <w:pPr>
              <w:tabs>
                <w:tab w:val="left" w:pos="2552"/>
              </w:tabs>
              <w:rPr>
                <w:rFonts w:cs="Calibri"/>
                <w:sz w:val="16"/>
                <w:szCs w:val="16"/>
              </w:rPr>
            </w:pPr>
            <w:r w:rsidRPr="00E52F54">
              <w:rPr>
                <w:rFonts w:cs="Calibri"/>
                <w:b/>
                <w:bCs/>
                <w:sz w:val="16"/>
                <w:szCs w:val="16"/>
              </w:rPr>
              <w:t>1000 CE</w:t>
            </w:r>
          </w:p>
        </w:tc>
        <w:tc>
          <w:tcPr>
            <w:tcW w:w="7983" w:type="dxa"/>
            <w:vAlign w:val="center"/>
            <w:hideMark/>
          </w:tcPr>
          <w:p w14:paraId="50D3BDEA" w14:textId="77777777" w:rsidR="0027145A" w:rsidRPr="00E52F54" w:rsidRDefault="0027145A" w:rsidP="00382AA0">
            <w:pPr>
              <w:tabs>
                <w:tab w:val="left" w:pos="2552"/>
              </w:tabs>
              <w:rPr>
                <w:rFonts w:cs="Calibri"/>
                <w:sz w:val="16"/>
                <w:szCs w:val="16"/>
              </w:rPr>
            </w:pPr>
            <w:r w:rsidRPr="00E52F54">
              <w:rPr>
                <w:rFonts w:cs="Calibri"/>
                <w:b/>
                <w:bCs/>
                <w:sz w:val="16"/>
                <w:szCs w:val="16"/>
              </w:rPr>
              <w:t>Medieval Islamic surgery</w:t>
            </w:r>
            <w:r w:rsidRPr="00E52F54">
              <w:rPr>
                <w:rFonts w:cs="Calibri"/>
                <w:sz w:val="16"/>
                <w:szCs w:val="16"/>
              </w:rPr>
              <w:t xml:space="preserve"> – Al-</w:t>
            </w:r>
            <w:proofErr w:type="spellStart"/>
            <w:r w:rsidRPr="00E52F54">
              <w:rPr>
                <w:rFonts w:cs="Calibri"/>
                <w:sz w:val="16"/>
                <w:szCs w:val="16"/>
              </w:rPr>
              <w:t>Zahrawi</w:t>
            </w:r>
            <w:proofErr w:type="spellEnd"/>
            <w:r w:rsidRPr="00E52F54">
              <w:rPr>
                <w:rFonts w:cs="Calibri"/>
                <w:sz w:val="16"/>
                <w:szCs w:val="16"/>
              </w:rPr>
              <w:t xml:space="preserve"> (</w:t>
            </w:r>
            <w:proofErr w:type="spellStart"/>
            <w:r w:rsidRPr="00E52F54">
              <w:rPr>
                <w:rFonts w:cs="Calibri"/>
                <w:sz w:val="16"/>
                <w:szCs w:val="16"/>
              </w:rPr>
              <w:t>Albucasis</w:t>
            </w:r>
            <w:proofErr w:type="spellEnd"/>
            <w:r w:rsidRPr="00E52F54">
              <w:rPr>
                <w:rFonts w:cs="Calibri"/>
                <w:sz w:val="16"/>
                <w:szCs w:val="16"/>
              </w:rPr>
              <w:t>) and Avicenna detail intestinal obstruction (“ileus”) etiologies and advocate early intervention with non-surgical measures. Definitive surgical options remain limited.</w:t>
            </w:r>
          </w:p>
        </w:tc>
      </w:tr>
      <w:tr w:rsidR="0027145A" w:rsidRPr="00E52F54" w14:paraId="53CCE6D2" w14:textId="77777777" w:rsidTr="00382AA0">
        <w:trPr>
          <w:tblCellSpacing w:w="15" w:type="dxa"/>
        </w:trPr>
        <w:tc>
          <w:tcPr>
            <w:tcW w:w="948" w:type="dxa"/>
            <w:hideMark/>
          </w:tcPr>
          <w:p w14:paraId="6336A7B8" w14:textId="77777777" w:rsidR="0027145A" w:rsidRPr="00E52F54" w:rsidRDefault="0027145A" w:rsidP="00382AA0">
            <w:pPr>
              <w:tabs>
                <w:tab w:val="left" w:pos="2552"/>
              </w:tabs>
              <w:rPr>
                <w:rFonts w:cs="Calibri"/>
                <w:sz w:val="16"/>
                <w:szCs w:val="16"/>
              </w:rPr>
            </w:pPr>
            <w:r w:rsidRPr="00E52F54">
              <w:rPr>
                <w:rFonts w:cs="Calibri"/>
                <w:b/>
                <w:bCs/>
                <w:sz w:val="16"/>
                <w:szCs w:val="16"/>
              </w:rPr>
              <w:t>1500–1700</w:t>
            </w:r>
          </w:p>
        </w:tc>
        <w:tc>
          <w:tcPr>
            <w:tcW w:w="7983" w:type="dxa"/>
            <w:vAlign w:val="center"/>
            <w:hideMark/>
          </w:tcPr>
          <w:p w14:paraId="42CD29E4" w14:textId="77777777" w:rsidR="0027145A" w:rsidRPr="00E52F54" w:rsidRDefault="0027145A" w:rsidP="00382AA0">
            <w:pPr>
              <w:tabs>
                <w:tab w:val="left" w:pos="2552"/>
              </w:tabs>
              <w:rPr>
                <w:rFonts w:cs="Calibri"/>
                <w:sz w:val="16"/>
                <w:szCs w:val="16"/>
              </w:rPr>
            </w:pPr>
            <w:r w:rsidRPr="00E52F54">
              <w:rPr>
                <w:rFonts w:cs="Calibri"/>
                <w:b/>
                <w:bCs/>
                <w:sz w:val="16"/>
                <w:szCs w:val="16"/>
              </w:rPr>
              <w:t>Renaissance era</w:t>
            </w:r>
            <w:r w:rsidRPr="00E52F54">
              <w:rPr>
                <w:rFonts w:cs="Calibri"/>
                <w:sz w:val="16"/>
                <w:szCs w:val="16"/>
              </w:rPr>
              <w:t xml:space="preserve"> – Ambroise Paré and others improve hernia reduction techniques; rudimentary ostomies occasionally performed for end-stage obstruction. High mortality discourages elective laparotomy.</w:t>
            </w:r>
          </w:p>
        </w:tc>
      </w:tr>
      <w:tr w:rsidR="0027145A" w:rsidRPr="00E52F54" w14:paraId="2E587C50" w14:textId="77777777" w:rsidTr="00382AA0">
        <w:trPr>
          <w:tblCellSpacing w:w="15" w:type="dxa"/>
        </w:trPr>
        <w:tc>
          <w:tcPr>
            <w:tcW w:w="948" w:type="dxa"/>
            <w:hideMark/>
          </w:tcPr>
          <w:p w14:paraId="76BFDBB4" w14:textId="77777777" w:rsidR="0027145A" w:rsidRPr="00E52F54" w:rsidRDefault="0027145A" w:rsidP="00382AA0">
            <w:pPr>
              <w:tabs>
                <w:tab w:val="left" w:pos="2552"/>
              </w:tabs>
              <w:rPr>
                <w:rFonts w:cs="Calibri"/>
                <w:sz w:val="16"/>
                <w:szCs w:val="16"/>
              </w:rPr>
            </w:pPr>
            <w:r w:rsidRPr="00E52F54">
              <w:rPr>
                <w:rFonts w:cs="Calibri"/>
                <w:b/>
                <w:bCs/>
                <w:sz w:val="16"/>
                <w:szCs w:val="16"/>
              </w:rPr>
              <w:t>1800s</w:t>
            </w:r>
          </w:p>
        </w:tc>
        <w:tc>
          <w:tcPr>
            <w:tcW w:w="7983" w:type="dxa"/>
            <w:vAlign w:val="center"/>
            <w:hideMark/>
          </w:tcPr>
          <w:p w14:paraId="395C8B4B" w14:textId="77777777" w:rsidR="0027145A" w:rsidRPr="00E52F54" w:rsidRDefault="0027145A" w:rsidP="00382AA0">
            <w:pPr>
              <w:tabs>
                <w:tab w:val="left" w:pos="2552"/>
              </w:tabs>
              <w:rPr>
                <w:rFonts w:cs="Calibri"/>
                <w:sz w:val="16"/>
                <w:szCs w:val="16"/>
              </w:rPr>
            </w:pPr>
            <w:r w:rsidRPr="00E52F54">
              <w:rPr>
                <w:rFonts w:cs="Calibri"/>
                <w:b/>
                <w:bCs/>
                <w:sz w:val="16"/>
                <w:szCs w:val="16"/>
              </w:rPr>
              <w:t>Modern surgery dawns</w:t>
            </w:r>
            <w:r w:rsidRPr="00E52F54">
              <w:rPr>
                <w:rFonts w:cs="Calibri"/>
                <w:sz w:val="16"/>
                <w:szCs w:val="16"/>
              </w:rPr>
              <w:t xml:space="preserve"> – Development of general anesthesia (1846) and antisepsis (1867) enables the first successful exploratory laparotomies for SBO. Sir Frederick Treves (1880s) and contemporaries categorize causes (adhesions, intussusception, etc.) and advocate timely surgery. Mortality ~40–60% persists. </w:t>
            </w:r>
          </w:p>
        </w:tc>
      </w:tr>
      <w:tr w:rsidR="0027145A" w:rsidRPr="00E52F54" w14:paraId="40BF9447" w14:textId="77777777" w:rsidTr="00382AA0">
        <w:trPr>
          <w:tblCellSpacing w:w="15" w:type="dxa"/>
        </w:trPr>
        <w:tc>
          <w:tcPr>
            <w:tcW w:w="948" w:type="dxa"/>
            <w:hideMark/>
          </w:tcPr>
          <w:p w14:paraId="13A5C828" w14:textId="77777777" w:rsidR="0027145A" w:rsidRPr="00E52F54" w:rsidRDefault="0027145A" w:rsidP="00382AA0">
            <w:pPr>
              <w:tabs>
                <w:tab w:val="left" w:pos="2552"/>
              </w:tabs>
              <w:rPr>
                <w:rFonts w:cs="Calibri"/>
                <w:sz w:val="16"/>
                <w:szCs w:val="16"/>
              </w:rPr>
            </w:pPr>
            <w:r w:rsidRPr="00E52F54">
              <w:rPr>
                <w:rFonts w:cs="Calibri"/>
                <w:b/>
                <w:bCs/>
                <w:sz w:val="16"/>
                <w:szCs w:val="16"/>
              </w:rPr>
              <w:t>1884</w:t>
            </w:r>
          </w:p>
        </w:tc>
        <w:tc>
          <w:tcPr>
            <w:tcW w:w="7983" w:type="dxa"/>
            <w:vAlign w:val="center"/>
            <w:hideMark/>
          </w:tcPr>
          <w:p w14:paraId="59FC57C2" w14:textId="77777777" w:rsidR="0027145A" w:rsidRPr="00E52F54" w:rsidRDefault="0027145A" w:rsidP="00382AA0">
            <w:pPr>
              <w:tabs>
                <w:tab w:val="left" w:pos="2552"/>
              </w:tabs>
              <w:rPr>
                <w:rFonts w:cs="Calibri"/>
                <w:sz w:val="16"/>
                <w:szCs w:val="16"/>
              </w:rPr>
            </w:pPr>
            <w:r w:rsidRPr="00E52F54">
              <w:rPr>
                <w:rFonts w:cs="Calibri"/>
                <w:b/>
                <w:bCs/>
                <w:sz w:val="16"/>
                <w:szCs w:val="16"/>
              </w:rPr>
              <w:t>Treves’s monograph “Intestinal Obstruction”</w:t>
            </w:r>
            <w:r w:rsidRPr="00E52F54">
              <w:rPr>
                <w:rFonts w:cs="Calibri"/>
                <w:sz w:val="16"/>
                <w:szCs w:val="16"/>
              </w:rPr>
              <w:t xml:space="preserve"> – first textbook dedicated to SBO, summarizing clinical signs (e.g. colicky pain, feculent vomiting) and surgical principles of relief.</w:t>
            </w:r>
          </w:p>
        </w:tc>
      </w:tr>
      <w:tr w:rsidR="0027145A" w:rsidRPr="00E52F54" w14:paraId="49F75B43" w14:textId="77777777" w:rsidTr="00382AA0">
        <w:trPr>
          <w:tblCellSpacing w:w="15" w:type="dxa"/>
        </w:trPr>
        <w:tc>
          <w:tcPr>
            <w:tcW w:w="948" w:type="dxa"/>
            <w:hideMark/>
          </w:tcPr>
          <w:p w14:paraId="10A849BA" w14:textId="77777777" w:rsidR="0027145A" w:rsidRPr="00E52F54" w:rsidRDefault="0027145A" w:rsidP="00382AA0">
            <w:pPr>
              <w:tabs>
                <w:tab w:val="left" w:pos="2552"/>
              </w:tabs>
              <w:rPr>
                <w:rFonts w:cs="Calibri"/>
                <w:sz w:val="16"/>
                <w:szCs w:val="16"/>
              </w:rPr>
            </w:pPr>
            <w:r w:rsidRPr="00E52F54">
              <w:rPr>
                <w:rFonts w:cs="Calibri"/>
                <w:b/>
                <w:bCs/>
                <w:sz w:val="16"/>
                <w:szCs w:val="16"/>
              </w:rPr>
              <w:t>1895–1910</w:t>
            </w:r>
          </w:p>
        </w:tc>
        <w:tc>
          <w:tcPr>
            <w:tcW w:w="7983" w:type="dxa"/>
            <w:vAlign w:val="center"/>
            <w:hideMark/>
          </w:tcPr>
          <w:p w14:paraId="2321278F" w14:textId="77777777" w:rsidR="0027145A" w:rsidRPr="00E52F54" w:rsidRDefault="0027145A" w:rsidP="00382AA0">
            <w:pPr>
              <w:tabs>
                <w:tab w:val="left" w:pos="2552"/>
              </w:tabs>
              <w:rPr>
                <w:rFonts w:cs="Calibri"/>
                <w:sz w:val="16"/>
                <w:szCs w:val="16"/>
              </w:rPr>
            </w:pPr>
            <w:r w:rsidRPr="00E52F54">
              <w:rPr>
                <w:rFonts w:cs="Calibri"/>
                <w:b/>
                <w:bCs/>
                <w:sz w:val="16"/>
                <w:szCs w:val="16"/>
              </w:rPr>
              <w:t>Radiographic diagnosis introduced</w:t>
            </w:r>
            <w:r w:rsidRPr="00E52F54">
              <w:rPr>
                <w:rFonts w:cs="Calibri"/>
                <w:sz w:val="16"/>
                <w:szCs w:val="16"/>
              </w:rPr>
              <w:t xml:space="preserve"> – X-ray discovery (1895) leads to use of abdominal radiographs to identify gas patterns and air–fluid levels pathognomonic for SBO. Early fluoroscopic contrast studies (barium) attempted by 1910s.</w:t>
            </w:r>
          </w:p>
        </w:tc>
      </w:tr>
      <w:tr w:rsidR="0027145A" w:rsidRPr="00E52F54" w14:paraId="2293E9E1" w14:textId="77777777" w:rsidTr="00382AA0">
        <w:trPr>
          <w:tblCellSpacing w:w="15" w:type="dxa"/>
        </w:trPr>
        <w:tc>
          <w:tcPr>
            <w:tcW w:w="948" w:type="dxa"/>
            <w:hideMark/>
          </w:tcPr>
          <w:p w14:paraId="3174E9AA" w14:textId="77777777" w:rsidR="0027145A" w:rsidRPr="00E52F54" w:rsidRDefault="0027145A" w:rsidP="00382AA0">
            <w:pPr>
              <w:tabs>
                <w:tab w:val="left" w:pos="2552"/>
              </w:tabs>
              <w:rPr>
                <w:rFonts w:cs="Calibri"/>
                <w:sz w:val="16"/>
                <w:szCs w:val="16"/>
              </w:rPr>
            </w:pPr>
            <w:r w:rsidRPr="00E52F54">
              <w:rPr>
                <w:rFonts w:cs="Calibri"/>
                <w:b/>
                <w:bCs/>
                <w:sz w:val="16"/>
                <w:szCs w:val="16"/>
              </w:rPr>
              <w:t>1926</w:t>
            </w:r>
          </w:p>
        </w:tc>
        <w:tc>
          <w:tcPr>
            <w:tcW w:w="7983" w:type="dxa"/>
            <w:vAlign w:val="center"/>
            <w:hideMark/>
          </w:tcPr>
          <w:p w14:paraId="6D34EDCE" w14:textId="77777777" w:rsidR="0027145A" w:rsidRPr="00E52F54" w:rsidRDefault="0027145A" w:rsidP="00382AA0">
            <w:pPr>
              <w:tabs>
                <w:tab w:val="left" w:pos="2552"/>
              </w:tabs>
              <w:rPr>
                <w:rFonts w:cs="Calibri"/>
                <w:sz w:val="16"/>
                <w:szCs w:val="16"/>
              </w:rPr>
            </w:pPr>
            <w:r w:rsidRPr="00E52F54">
              <w:rPr>
                <w:rFonts w:cs="Calibri"/>
                <w:b/>
                <w:bCs/>
                <w:sz w:val="16"/>
                <w:szCs w:val="16"/>
              </w:rPr>
              <w:t>Intravenous fluid therapy popularized</w:t>
            </w:r>
            <w:r w:rsidRPr="00E52F54">
              <w:rPr>
                <w:rFonts w:cs="Calibri"/>
                <w:sz w:val="16"/>
                <w:szCs w:val="16"/>
              </w:rPr>
              <w:t xml:space="preserve"> – Resuscitation with IV saline/glucose (pioneered in cholera) adopted in surgical care, improving survival in obstructed, dehydrated patients.</w:t>
            </w:r>
          </w:p>
        </w:tc>
      </w:tr>
      <w:tr w:rsidR="0027145A" w:rsidRPr="00E52F54" w14:paraId="756ED41E" w14:textId="77777777" w:rsidTr="00382AA0">
        <w:trPr>
          <w:tblCellSpacing w:w="15" w:type="dxa"/>
        </w:trPr>
        <w:tc>
          <w:tcPr>
            <w:tcW w:w="948" w:type="dxa"/>
            <w:hideMark/>
          </w:tcPr>
          <w:p w14:paraId="1F8021C0" w14:textId="77777777" w:rsidR="0027145A" w:rsidRPr="00E52F54" w:rsidRDefault="0027145A" w:rsidP="00382AA0">
            <w:pPr>
              <w:tabs>
                <w:tab w:val="left" w:pos="2552"/>
              </w:tabs>
              <w:rPr>
                <w:rFonts w:cs="Calibri"/>
                <w:sz w:val="16"/>
                <w:szCs w:val="16"/>
              </w:rPr>
            </w:pPr>
            <w:r w:rsidRPr="00E52F54">
              <w:rPr>
                <w:rFonts w:cs="Calibri"/>
                <w:b/>
                <w:bCs/>
                <w:sz w:val="16"/>
                <w:szCs w:val="16"/>
              </w:rPr>
              <w:t>1932–1935</w:t>
            </w:r>
          </w:p>
        </w:tc>
        <w:tc>
          <w:tcPr>
            <w:tcW w:w="7983" w:type="dxa"/>
            <w:vAlign w:val="center"/>
            <w:hideMark/>
          </w:tcPr>
          <w:p w14:paraId="119B8165" w14:textId="77777777" w:rsidR="0027145A" w:rsidRDefault="0027145A" w:rsidP="00382AA0">
            <w:pPr>
              <w:tabs>
                <w:tab w:val="left" w:pos="2552"/>
              </w:tabs>
              <w:rPr>
                <w:rFonts w:cs="Calibri"/>
                <w:sz w:val="16"/>
                <w:szCs w:val="16"/>
              </w:rPr>
            </w:pPr>
            <w:r w:rsidRPr="00E52F54">
              <w:rPr>
                <w:rFonts w:cs="Calibri"/>
                <w:b/>
                <w:bCs/>
                <w:sz w:val="16"/>
                <w:szCs w:val="16"/>
              </w:rPr>
              <w:t>Wangensteen</w:t>
            </w:r>
            <w:r>
              <w:rPr>
                <w:rFonts w:cs="Calibri"/>
                <w:b/>
                <w:bCs/>
                <w:sz w:val="16"/>
                <w:szCs w:val="16"/>
              </w:rPr>
              <w:t>’s</w:t>
            </w:r>
            <w:r w:rsidRPr="00E52F54">
              <w:rPr>
                <w:rFonts w:cs="Calibri"/>
                <w:b/>
                <w:bCs/>
                <w:sz w:val="16"/>
                <w:szCs w:val="16"/>
              </w:rPr>
              <w:t xml:space="preserve"> nasogastric decompression</w:t>
            </w:r>
            <w:r w:rsidRPr="00E52F54">
              <w:rPr>
                <w:rFonts w:cs="Calibri"/>
                <w:sz w:val="16"/>
                <w:szCs w:val="16"/>
              </w:rPr>
              <w:t xml:space="preserve"> – Landmark experiments by O. Wangensteen demonstrate that continuous suction via a nasogastric tube relieves obstruction, dramatically reducing operative urgency and mortality. Concurrently, Miller–Abbott double-lumen tube (1934) enables non-operative decompression of distal SBO. </w:t>
            </w:r>
          </w:p>
          <w:p w14:paraId="15BFAD7A" w14:textId="77777777" w:rsidR="0027145A" w:rsidRPr="00E52F54" w:rsidRDefault="0027145A" w:rsidP="00382AA0">
            <w:pPr>
              <w:tabs>
                <w:tab w:val="left" w:pos="2552"/>
              </w:tabs>
              <w:rPr>
                <w:rFonts w:cs="Calibri"/>
                <w:sz w:val="16"/>
                <w:szCs w:val="16"/>
              </w:rPr>
            </w:pPr>
            <w:r w:rsidRPr="00CA4AD0">
              <w:rPr>
                <w:rFonts w:cs="Calibri"/>
                <w:b/>
                <w:bCs/>
                <w:sz w:val="16"/>
                <w:szCs w:val="16"/>
              </w:rPr>
              <w:t>Aird models ischemia and operative</w:t>
            </w:r>
            <w:r>
              <w:rPr>
                <w:rFonts w:cs="Calibri"/>
                <w:sz w:val="16"/>
                <w:szCs w:val="16"/>
              </w:rPr>
              <w:t xml:space="preserve"> </w:t>
            </w:r>
            <w:r w:rsidRPr="00CA4AD0">
              <w:rPr>
                <w:rFonts w:cs="Calibri"/>
                <w:b/>
                <w:bCs/>
                <w:sz w:val="16"/>
                <w:szCs w:val="16"/>
              </w:rPr>
              <w:t>timing -</w:t>
            </w:r>
            <w:r>
              <w:rPr>
                <w:rFonts w:cs="Calibri"/>
                <w:sz w:val="16"/>
                <w:szCs w:val="16"/>
              </w:rPr>
              <w:t xml:space="preserve"> </w:t>
            </w:r>
            <w:r w:rsidRPr="00CA4AD0">
              <w:rPr>
                <w:rFonts w:cs="Calibri"/>
                <w:sz w:val="16"/>
                <w:szCs w:val="16"/>
              </w:rPr>
              <w:t xml:space="preserve">Ian Aird (1905–1962) </w:t>
            </w:r>
            <w:r>
              <w:rPr>
                <w:rFonts w:cs="Calibri"/>
                <w:sz w:val="16"/>
                <w:szCs w:val="16"/>
              </w:rPr>
              <w:t>d</w:t>
            </w:r>
            <w:r w:rsidRPr="00CA4AD0">
              <w:rPr>
                <w:rFonts w:cs="Calibri"/>
                <w:sz w:val="16"/>
                <w:szCs w:val="16"/>
              </w:rPr>
              <w:t>evelop</w:t>
            </w:r>
            <w:r>
              <w:rPr>
                <w:rFonts w:cs="Calibri"/>
                <w:sz w:val="16"/>
                <w:szCs w:val="16"/>
              </w:rPr>
              <w:t>s</w:t>
            </w:r>
            <w:r w:rsidRPr="00CA4AD0">
              <w:rPr>
                <w:rFonts w:cs="Calibri"/>
                <w:sz w:val="16"/>
                <w:szCs w:val="16"/>
              </w:rPr>
              <w:t xml:space="preserve"> experimental strangulated obstruction </w:t>
            </w:r>
            <w:r>
              <w:rPr>
                <w:rFonts w:cs="Calibri"/>
                <w:sz w:val="16"/>
                <w:szCs w:val="16"/>
              </w:rPr>
              <w:t xml:space="preserve">animal </w:t>
            </w:r>
            <w:r w:rsidRPr="00CA4AD0">
              <w:rPr>
                <w:rFonts w:cs="Calibri"/>
                <w:sz w:val="16"/>
                <w:szCs w:val="16"/>
              </w:rPr>
              <w:t>models; demonstrat</w:t>
            </w:r>
            <w:r>
              <w:rPr>
                <w:rFonts w:cs="Calibri"/>
                <w:sz w:val="16"/>
                <w:szCs w:val="16"/>
              </w:rPr>
              <w:t>es</w:t>
            </w:r>
            <w:r w:rsidRPr="00CA4AD0">
              <w:rPr>
                <w:rFonts w:cs="Calibri"/>
                <w:sz w:val="16"/>
                <w:szCs w:val="16"/>
              </w:rPr>
              <w:t xml:space="preserve"> ischemia as the determinant of mortality, influencing operative urgency.</w:t>
            </w:r>
          </w:p>
        </w:tc>
      </w:tr>
      <w:tr w:rsidR="0027145A" w:rsidRPr="00E52F54" w14:paraId="0E0ED1A2" w14:textId="77777777" w:rsidTr="00382AA0">
        <w:trPr>
          <w:tblCellSpacing w:w="15" w:type="dxa"/>
        </w:trPr>
        <w:tc>
          <w:tcPr>
            <w:tcW w:w="948" w:type="dxa"/>
            <w:hideMark/>
          </w:tcPr>
          <w:p w14:paraId="37CC88F2" w14:textId="77777777" w:rsidR="0027145A" w:rsidRPr="00E52F54" w:rsidRDefault="0027145A" w:rsidP="00382AA0">
            <w:pPr>
              <w:tabs>
                <w:tab w:val="left" w:pos="2552"/>
              </w:tabs>
              <w:rPr>
                <w:rFonts w:cs="Calibri"/>
                <w:sz w:val="16"/>
                <w:szCs w:val="16"/>
              </w:rPr>
            </w:pPr>
            <w:r w:rsidRPr="00E52F54">
              <w:rPr>
                <w:rFonts w:cs="Calibri"/>
                <w:b/>
                <w:bCs/>
                <w:sz w:val="16"/>
                <w:szCs w:val="16"/>
              </w:rPr>
              <w:t>1940s</w:t>
            </w:r>
          </w:p>
        </w:tc>
        <w:tc>
          <w:tcPr>
            <w:tcW w:w="7983" w:type="dxa"/>
            <w:vAlign w:val="center"/>
            <w:hideMark/>
          </w:tcPr>
          <w:p w14:paraId="3CAE841B" w14:textId="77777777" w:rsidR="0027145A" w:rsidRPr="00E52F54" w:rsidRDefault="0027145A" w:rsidP="00382AA0">
            <w:pPr>
              <w:tabs>
                <w:tab w:val="left" w:pos="2552"/>
              </w:tabs>
              <w:rPr>
                <w:rFonts w:cs="Calibri"/>
                <w:sz w:val="16"/>
                <w:szCs w:val="16"/>
              </w:rPr>
            </w:pPr>
            <w:r w:rsidRPr="00E52F54">
              <w:rPr>
                <w:rFonts w:cs="Calibri"/>
                <w:b/>
                <w:bCs/>
                <w:sz w:val="16"/>
                <w:szCs w:val="16"/>
              </w:rPr>
              <w:t>Antibiotics and better anesthesia</w:t>
            </w:r>
            <w:r w:rsidRPr="00E52F54">
              <w:rPr>
                <w:rFonts w:cs="Calibri"/>
                <w:sz w:val="16"/>
                <w:szCs w:val="16"/>
              </w:rPr>
              <w:t xml:space="preserve"> – Penicillin (1940s) and improved anesthetic agents reduce deaths from peritonitis and anesthesia-related risk in SBO surgery. Surgical dictum: “Never let the sun set on SBO” underscores prompt operative management. </w:t>
            </w:r>
          </w:p>
        </w:tc>
      </w:tr>
      <w:tr w:rsidR="0027145A" w:rsidRPr="00E52F54" w14:paraId="016DA627" w14:textId="77777777" w:rsidTr="00382AA0">
        <w:trPr>
          <w:tblCellSpacing w:w="15" w:type="dxa"/>
        </w:trPr>
        <w:tc>
          <w:tcPr>
            <w:tcW w:w="948" w:type="dxa"/>
            <w:hideMark/>
          </w:tcPr>
          <w:p w14:paraId="698CF4D0" w14:textId="77777777" w:rsidR="0027145A" w:rsidRPr="00E52F54" w:rsidRDefault="0027145A" w:rsidP="00382AA0">
            <w:pPr>
              <w:tabs>
                <w:tab w:val="left" w:pos="2552"/>
              </w:tabs>
              <w:rPr>
                <w:rFonts w:cs="Calibri"/>
                <w:sz w:val="16"/>
                <w:szCs w:val="16"/>
              </w:rPr>
            </w:pPr>
            <w:r w:rsidRPr="00E52F54">
              <w:rPr>
                <w:rFonts w:cs="Calibri"/>
                <w:b/>
                <w:bCs/>
                <w:sz w:val="16"/>
                <w:szCs w:val="16"/>
              </w:rPr>
              <w:t>1955</w:t>
            </w:r>
          </w:p>
        </w:tc>
        <w:tc>
          <w:tcPr>
            <w:tcW w:w="7983" w:type="dxa"/>
            <w:vAlign w:val="center"/>
            <w:hideMark/>
          </w:tcPr>
          <w:p w14:paraId="5F98BBE8" w14:textId="77777777" w:rsidR="0027145A" w:rsidRPr="00E52F54" w:rsidRDefault="0027145A" w:rsidP="00382AA0">
            <w:pPr>
              <w:tabs>
                <w:tab w:val="left" w:pos="2552"/>
              </w:tabs>
              <w:rPr>
                <w:rFonts w:cs="Calibri"/>
                <w:sz w:val="16"/>
                <w:szCs w:val="16"/>
              </w:rPr>
            </w:pPr>
            <w:r>
              <w:rPr>
                <w:rFonts w:cs="Calibri"/>
                <w:b/>
                <w:bCs/>
                <w:sz w:val="16"/>
                <w:szCs w:val="16"/>
              </w:rPr>
              <w:t>Surgical technique and perioperative care improve, m</w:t>
            </w:r>
            <w:r w:rsidRPr="00E52F54">
              <w:rPr>
                <w:rFonts w:cs="Calibri"/>
                <w:b/>
                <w:bCs/>
                <w:sz w:val="16"/>
                <w:szCs w:val="16"/>
              </w:rPr>
              <w:t>ortality declines to ~13%</w:t>
            </w:r>
            <w:r w:rsidRPr="00E52F54">
              <w:rPr>
                <w:rFonts w:cs="Calibri"/>
                <w:sz w:val="16"/>
                <w:szCs w:val="16"/>
              </w:rPr>
              <w:t xml:space="preserve"> – </w:t>
            </w:r>
            <w:r w:rsidRPr="00CA4AD0">
              <w:rPr>
                <w:rFonts w:cs="Calibri"/>
                <w:sz w:val="16"/>
                <w:szCs w:val="16"/>
              </w:rPr>
              <w:t xml:space="preserve">Thomas G. Orr (1897–1961) – </w:t>
            </w:r>
            <w:r>
              <w:rPr>
                <w:rFonts w:cs="Calibri"/>
                <w:sz w:val="16"/>
                <w:szCs w:val="16"/>
              </w:rPr>
              <w:t>led</w:t>
            </w:r>
            <w:r w:rsidRPr="00CA4AD0">
              <w:rPr>
                <w:rFonts w:cs="Calibri"/>
                <w:sz w:val="16"/>
                <w:szCs w:val="16"/>
              </w:rPr>
              <w:t xml:space="preserve"> structured clinical investigation in intestinal obstruction, laying the foundation for evidence-based decision making. John Scudder (1900–1976) &amp; Allen Whipple (1881–1963) </w:t>
            </w:r>
            <w:r>
              <w:rPr>
                <w:rFonts w:cs="Calibri"/>
                <w:sz w:val="16"/>
                <w:szCs w:val="16"/>
              </w:rPr>
              <w:t>a</w:t>
            </w:r>
            <w:r w:rsidRPr="00CA4AD0">
              <w:rPr>
                <w:rFonts w:cs="Calibri"/>
                <w:sz w:val="16"/>
                <w:szCs w:val="16"/>
              </w:rPr>
              <w:t>dvanced operative technique, perioperative resuscitation, and safe gastrointestinal anastomoses</w:t>
            </w:r>
            <w:r>
              <w:rPr>
                <w:rFonts w:cs="Calibri"/>
                <w:sz w:val="16"/>
                <w:szCs w:val="16"/>
              </w:rPr>
              <w:t>, while Paul</w:t>
            </w:r>
            <w:r w:rsidRPr="00CA4AD0">
              <w:rPr>
                <w:rFonts w:cs="Calibri"/>
                <w:sz w:val="16"/>
                <w:szCs w:val="16"/>
              </w:rPr>
              <w:t xml:space="preserve"> Nemir (1909–1992) </w:t>
            </w:r>
            <w:r>
              <w:rPr>
                <w:rFonts w:cs="Calibri"/>
                <w:sz w:val="16"/>
                <w:szCs w:val="16"/>
              </w:rPr>
              <w:t>r</w:t>
            </w:r>
            <w:r w:rsidRPr="00CA4AD0">
              <w:rPr>
                <w:rFonts w:cs="Calibri"/>
                <w:sz w:val="16"/>
                <w:szCs w:val="16"/>
              </w:rPr>
              <w:t>efined suction-tube design and postoperative decompression techniques, facilitating modern non-operative management.</w:t>
            </w:r>
            <w:r>
              <w:rPr>
                <w:rFonts w:cs="Calibri"/>
                <w:sz w:val="16"/>
                <w:szCs w:val="16"/>
              </w:rPr>
              <w:t xml:space="preserve"> </w:t>
            </w:r>
            <w:r w:rsidRPr="00E52F54">
              <w:rPr>
                <w:rFonts w:cs="Calibri"/>
                <w:sz w:val="16"/>
                <w:szCs w:val="16"/>
              </w:rPr>
              <w:t xml:space="preserve">Multi-decade reviews show marked drop in SBO surgical mortality (from ~60% in 1908 to 13% by 1955) with refined operative techniques, antibiotics, and perioperative care. </w:t>
            </w:r>
          </w:p>
        </w:tc>
      </w:tr>
      <w:tr w:rsidR="0027145A" w:rsidRPr="00E52F54" w14:paraId="05AEE466" w14:textId="77777777" w:rsidTr="00382AA0">
        <w:trPr>
          <w:tblCellSpacing w:w="15" w:type="dxa"/>
        </w:trPr>
        <w:tc>
          <w:tcPr>
            <w:tcW w:w="948" w:type="dxa"/>
            <w:hideMark/>
          </w:tcPr>
          <w:p w14:paraId="668BC4BD" w14:textId="77777777" w:rsidR="0027145A" w:rsidRPr="00E52F54" w:rsidRDefault="0027145A" w:rsidP="00382AA0">
            <w:pPr>
              <w:tabs>
                <w:tab w:val="left" w:pos="2552"/>
              </w:tabs>
              <w:rPr>
                <w:rFonts w:cs="Calibri"/>
                <w:sz w:val="16"/>
                <w:szCs w:val="16"/>
              </w:rPr>
            </w:pPr>
            <w:r w:rsidRPr="00E52F54">
              <w:rPr>
                <w:rFonts w:cs="Calibri"/>
                <w:b/>
                <w:bCs/>
                <w:sz w:val="16"/>
                <w:szCs w:val="16"/>
              </w:rPr>
              <w:t>1970s</w:t>
            </w:r>
          </w:p>
        </w:tc>
        <w:tc>
          <w:tcPr>
            <w:tcW w:w="7983" w:type="dxa"/>
            <w:vAlign w:val="center"/>
            <w:hideMark/>
          </w:tcPr>
          <w:p w14:paraId="1B0764B3" w14:textId="77777777" w:rsidR="0027145A" w:rsidRPr="00E52F54" w:rsidRDefault="0027145A" w:rsidP="00382AA0">
            <w:pPr>
              <w:tabs>
                <w:tab w:val="left" w:pos="2552"/>
              </w:tabs>
              <w:rPr>
                <w:rFonts w:cs="Calibri"/>
                <w:sz w:val="16"/>
                <w:szCs w:val="16"/>
              </w:rPr>
            </w:pPr>
            <w:r w:rsidRPr="00E52F54">
              <w:rPr>
                <w:rFonts w:cs="Calibri"/>
                <w:b/>
                <w:bCs/>
                <w:sz w:val="16"/>
                <w:szCs w:val="16"/>
              </w:rPr>
              <w:t>Computed tomography (CT) scanning</w:t>
            </w:r>
            <w:r w:rsidRPr="00E52F54">
              <w:rPr>
                <w:rFonts w:cs="Calibri"/>
                <w:sz w:val="16"/>
                <w:szCs w:val="16"/>
              </w:rPr>
              <w:t xml:space="preserve"> – Revolutionizes SBO diagnosis by accurately localizing obstruction and detecting strangulation. First reports of CT use in acute SBO appear mid-1970s; by 1980s, CT becomes standard for unclear cases, improving diagnostic accuracy to &gt;95%.</w:t>
            </w:r>
          </w:p>
        </w:tc>
      </w:tr>
      <w:tr w:rsidR="0027145A" w:rsidRPr="00E52F54" w14:paraId="64F8A2E2" w14:textId="77777777" w:rsidTr="00382AA0">
        <w:trPr>
          <w:tblCellSpacing w:w="15" w:type="dxa"/>
        </w:trPr>
        <w:tc>
          <w:tcPr>
            <w:tcW w:w="948" w:type="dxa"/>
            <w:hideMark/>
          </w:tcPr>
          <w:p w14:paraId="217CC777" w14:textId="77777777" w:rsidR="0027145A" w:rsidRPr="00E52F54" w:rsidRDefault="0027145A" w:rsidP="00382AA0">
            <w:pPr>
              <w:tabs>
                <w:tab w:val="left" w:pos="2552"/>
              </w:tabs>
              <w:rPr>
                <w:rFonts w:cs="Calibri"/>
                <w:sz w:val="16"/>
                <w:szCs w:val="16"/>
              </w:rPr>
            </w:pPr>
            <w:r w:rsidRPr="00E52F54">
              <w:rPr>
                <w:rFonts w:cs="Calibri"/>
                <w:b/>
                <w:bCs/>
                <w:sz w:val="16"/>
                <w:szCs w:val="16"/>
              </w:rPr>
              <w:t>1980s–1990s</w:t>
            </w:r>
          </w:p>
        </w:tc>
        <w:tc>
          <w:tcPr>
            <w:tcW w:w="7983" w:type="dxa"/>
            <w:vAlign w:val="center"/>
            <w:hideMark/>
          </w:tcPr>
          <w:p w14:paraId="4AFCF2BA" w14:textId="77777777" w:rsidR="0027145A" w:rsidRPr="00E52F54" w:rsidRDefault="0027145A" w:rsidP="00382AA0">
            <w:pPr>
              <w:tabs>
                <w:tab w:val="left" w:pos="2552"/>
              </w:tabs>
              <w:rPr>
                <w:rFonts w:cs="Calibri"/>
                <w:sz w:val="16"/>
                <w:szCs w:val="16"/>
              </w:rPr>
            </w:pPr>
            <w:r w:rsidRPr="00E52F54">
              <w:rPr>
                <w:rFonts w:cs="Calibri"/>
                <w:b/>
                <w:bCs/>
                <w:sz w:val="16"/>
                <w:szCs w:val="16"/>
              </w:rPr>
              <w:t>Selective non-operative management</w:t>
            </w:r>
            <w:r w:rsidRPr="00E52F54">
              <w:rPr>
                <w:rFonts w:cs="Calibri"/>
                <w:sz w:val="16"/>
                <w:szCs w:val="16"/>
              </w:rPr>
              <w:t xml:space="preserve"> – Studies establish that in absence of strangulation, many adhesive SBO cases resolve with non-surgical treatment (NG tube, bowel rest). Water-soluble contrast trials (e.g. </w:t>
            </w:r>
            <w:proofErr w:type="spellStart"/>
            <w:r w:rsidRPr="00E52F54">
              <w:rPr>
                <w:rFonts w:cs="Calibri"/>
                <w:sz w:val="16"/>
                <w:szCs w:val="16"/>
              </w:rPr>
              <w:t>Gastrografin</w:t>
            </w:r>
            <w:proofErr w:type="spellEnd"/>
            <w:r w:rsidRPr="00E52F54">
              <w:rPr>
                <w:rFonts w:cs="Calibri"/>
                <w:sz w:val="16"/>
                <w:szCs w:val="16"/>
              </w:rPr>
              <w:t>® challenge) show diagnostic and therapeutic benefit, hastening resolution. Laparoscopic surgery emerges (late 1990s) as a minimally invasive option for obstruction in experienced hands.</w:t>
            </w:r>
          </w:p>
        </w:tc>
      </w:tr>
      <w:tr w:rsidR="0027145A" w:rsidRPr="00E52F54" w14:paraId="1327433C" w14:textId="77777777" w:rsidTr="00382AA0">
        <w:trPr>
          <w:tblCellSpacing w:w="15" w:type="dxa"/>
        </w:trPr>
        <w:tc>
          <w:tcPr>
            <w:tcW w:w="948" w:type="dxa"/>
            <w:hideMark/>
          </w:tcPr>
          <w:p w14:paraId="318DA5B9" w14:textId="77777777" w:rsidR="0027145A" w:rsidRPr="00E52F54" w:rsidRDefault="0027145A" w:rsidP="00382AA0">
            <w:pPr>
              <w:tabs>
                <w:tab w:val="left" w:pos="2552"/>
              </w:tabs>
              <w:rPr>
                <w:rFonts w:cs="Calibri"/>
                <w:sz w:val="16"/>
                <w:szCs w:val="16"/>
              </w:rPr>
            </w:pPr>
            <w:r w:rsidRPr="00E52F54">
              <w:rPr>
                <w:rFonts w:cs="Calibri"/>
                <w:b/>
                <w:bCs/>
                <w:sz w:val="16"/>
                <w:szCs w:val="16"/>
              </w:rPr>
              <w:t>2000s–present</w:t>
            </w:r>
          </w:p>
        </w:tc>
        <w:tc>
          <w:tcPr>
            <w:tcW w:w="7983" w:type="dxa"/>
            <w:tcBorders>
              <w:bottom w:val="single" w:sz="4" w:space="0" w:color="auto"/>
            </w:tcBorders>
            <w:vAlign w:val="center"/>
            <w:hideMark/>
          </w:tcPr>
          <w:p w14:paraId="221B7A15" w14:textId="77777777" w:rsidR="0027145A" w:rsidRPr="00E52F54" w:rsidRDefault="0027145A" w:rsidP="00382AA0">
            <w:pPr>
              <w:tabs>
                <w:tab w:val="left" w:pos="2552"/>
              </w:tabs>
              <w:rPr>
                <w:rFonts w:cs="Calibri"/>
                <w:sz w:val="16"/>
                <w:szCs w:val="16"/>
              </w:rPr>
            </w:pPr>
            <w:r w:rsidRPr="00E52F54">
              <w:rPr>
                <w:rFonts w:cs="Calibri"/>
                <w:b/>
                <w:bCs/>
                <w:sz w:val="16"/>
                <w:szCs w:val="16"/>
              </w:rPr>
              <w:t>Contemporary protocols</w:t>
            </w:r>
            <w:r w:rsidRPr="00E52F54">
              <w:rPr>
                <w:rFonts w:cs="Calibri"/>
                <w:sz w:val="16"/>
                <w:szCs w:val="16"/>
              </w:rPr>
              <w:t xml:space="preserve"> – Evidence-based guidelines (e.g. WSES 2017) endorse initial non-operative management in most SBO without peritonitis. Serial examinations, CT imaging, and adjuncts like lactate levels guide timely surgery. Adhesion barriers and laparoscopic adhesiolysis are introduced to prevent and treat SBO recurrences. Current mortality ~3–5%, mostly in complex cases. </w:t>
            </w:r>
          </w:p>
        </w:tc>
      </w:tr>
    </w:tbl>
    <w:p w14:paraId="644B12D6" w14:textId="77777777" w:rsidR="0027145A" w:rsidRPr="00E52F54" w:rsidRDefault="0027145A" w:rsidP="0027145A">
      <w:pPr>
        <w:tabs>
          <w:tab w:val="left" w:pos="2552"/>
        </w:tabs>
        <w:spacing w:line="360" w:lineRule="auto"/>
        <w:rPr>
          <w:rFonts w:cs="Calibri"/>
          <w:b/>
          <w:bCs/>
          <w:sz w:val="22"/>
          <w:szCs w:val="22"/>
        </w:rPr>
      </w:pPr>
    </w:p>
    <w:p w14:paraId="29653FF7" w14:textId="77777777" w:rsidR="0027145A" w:rsidRDefault="0027145A"/>
    <w:sectPr w:rsidR="002714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5A"/>
    <w:rsid w:val="0027145A"/>
    <w:rsid w:val="00775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17FDA"/>
  <w15:chartTrackingRefBased/>
  <w15:docId w15:val="{85147F59-BDE9-6A4C-AE14-5F258BD8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5A"/>
    <w:pPr>
      <w:spacing w:after="0" w:line="240" w:lineRule="auto"/>
    </w:pPr>
    <w:rPr>
      <w:rFonts w:eastAsia="Times New Roman"/>
      <w:kern w:val="0"/>
      <w:sz w:val="20"/>
      <w14:ligatures w14:val="none"/>
    </w:rPr>
  </w:style>
  <w:style w:type="paragraph" w:styleId="Heading1">
    <w:name w:val="heading 1"/>
    <w:basedOn w:val="Normal"/>
    <w:next w:val="Normal"/>
    <w:link w:val="Heading1Char"/>
    <w:uiPriority w:val="9"/>
    <w:qFormat/>
    <w:rsid w:val="002714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714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7145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7145A"/>
    <w:pPr>
      <w:keepNext/>
      <w:keepLines/>
      <w:spacing w:before="80" w:after="40" w:line="278"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27145A"/>
    <w:pPr>
      <w:keepNext/>
      <w:keepLines/>
      <w:spacing w:before="80" w:after="40" w:line="278"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27145A"/>
    <w:pPr>
      <w:keepNext/>
      <w:keepLines/>
      <w:spacing w:before="40" w:line="278"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27145A"/>
    <w:pPr>
      <w:keepNext/>
      <w:keepLines/>
      <w:spacing w:before="40" w:line="278"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27145A"/>
    <w:pPr>
      <w:keepNext/>
      <w:keepLines/>
      <w:spacing w:line="278"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27145A"/>
    <w:pPr>
      <w:keepNext/>
      <w:keepLines/>
      <w:spacing w:line="278"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4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4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4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4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4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4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4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4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45A"/>
    <w:rPr>
      <w:rFonts w:eastAsiaTheme="majorEastAsia" w:cstheme="majorBidi"/>
      <w:color w:val="272727" w:themeColor="text1" w:themeTint="D8"/>
    </w:rPr>
  </w:style>
  <w:style w:type="paragraph" w:styleId="Title">
    <w:name w:val="Title"/>
    <w:basedOn w:val="Normal"/>
    <w:next w:val="Normal"/>
    <w:link w:val="TitleChar"/>
    <w:uiPriority w:val="10"/>
    <w:qFormat/>
    <w:rsid w:val="0027145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714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45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714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45A"/>
    <w:pPr>
      <w:spacing w:before="160" w:after="160" w:line="278" w:lineRule="auto"/>
      <w:jc w:val="center"/>
    </w:pPr>
    <w:rPr>
      <w:rFonts w:eastAsiaTheme="minorHAns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27145A"/>
    <w:rPr>
      <w:i/>
      <w:iCs/>
      <w:color w:val="404040" w:themeColor="text1" w:themeTint="BF"/>
    </w:rPr>
  </w:style>
  <w:style w:type="paragraph" w:styleId="ListParagraph">
    <w:name w:val="List Paragraph"/>
    <w:basedOn w:val="Normal"/>
    <w:uiPriority w:val="34"/>
    <w:qFormat/>
    <w:rsid w:val="0027145A"/>
    <w:pPr>
      <w:spacing w:after="160" w:line="278" w:lineRule="auto"/>
      <w:ind w:left="720"/>
      <w:contextualSpacing/>
    </w:pPr>
    <w:rPr>
      <w:rFonts w:eastAsiaTheme="minorHAnsi"/>
      <w:kern w:val="2"/>
      <w:sz w:val="24"/>
      <w14:ligatures w14:val="standardContextual"/>
    </w:rPr>
  </w:style>
  <w:style w:type="character" w:styleId="IntenseEmphasis">
    <w:name w:val="Intense Emphasis"/>
    <w:basedOn w:val="DefaultParagraphFont"/>
    <w:uiPriority w:val="21"/>
    <w:qFormat/>
    <w:rsid w:val="0027145A"/>
    <w:rPr>
      <w:i/>
      <w:iCs/>
      <w:color w:val="0F4761" w:themeColor="accent1" w:themeShade="BF"/>
    </w:rPr>
  </w:style>
  <w:style w:type="paragraph" w:styleId="IntenseQuote">
    <w:name w:val="Intense Quote"/>
    <w:basedOn w:val="Normal"/>
    <w:next w:val="Normal"/>
    <w:link w:val="IntenseQuoteChar"/>
    <w:uiPriority w:val="30"/>
    <w:qFormat/>
    <w:rsid w:val="0027145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27145A"/>
    <w:rPr>
      <w:i/>
      <w:iCs/>
      <w:color w:val="0F4761" w:themeColor="accent1" w:themeShade="BF"/>
    </w:rPr>
  </w:style>
  <w:style w:type="character" w:styleId="IntenseReference">
    <w:name w:val="Intense Reference"/>
    <w:basedOn w:val="DefaultParagraphFont"/>
    <w:uiPriority w:val="32"/>
    <w:qFormat/>
    <w:rsid w:val="002714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701</Words>
  <Characters>3996</Characters>
  <Application>Microsoft Office Word</Application>
  <DocSecurity>0</DocSecurity>
  <Lines>33</Lines>
  <Paragraphs>9</Paragraphs>
  <ScaleCrop>false</ScaleCrop>
  <Company>University of Pennsylvania</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Bass</dc:creator>
  <cp:keywords/>
  <dc:description/>
  <cp:lastModifiedBy>Gary Bass</cp:lastModifiedBy>
  <cp:revision>1</cp:revision>
  <dcterms:created xsi:type="dcterms:W3CDTF">2025-12-01T20:57:00Z</dcterms:created>
  <dcterms:modified xsi:type="dcterms:W3CDTF">2025-12-01T20:57:00Z</dcterms:modified>
</cp:coreProperties>
</file>