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Supplementary material</w:t>
      </w:r>
    </w:p>
    <w:p>
      <w:pPr>
        <w:jc w:val="center"/>
      </w:pPr>
      <w:r>
        <w:t>Bezoar ileus in patients with previous abdominal surgery: an observational comparison of conservative and surgical management</w:t>
      </w:r>
    </w:p>
    <w:p>
      <w:r>
        <w:rPr>
          <w:b/>
        </w:rPr>
        <w:t>Supplementary Table S1. Exploratory logistic regression for readmission after discharge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b/>
                <w:sz w:val="18"/>
              </w:rPr>
              <w:t>Variable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b/>
                <w:sz w:val="18"/>
              </w:rPr>
              <w:t>Odds ratio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b/>
                <w:sz w:val="18"/>
              </w:rPr>
              <w:t>95% CI lower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b/>
                <w:sz w:val="18"/>
              </w:rPr>
              <w:t>95% CI upper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b/>
                <w:sz w:val="18"/>
              </w:rPr>
              <w:t>Wald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b/>
                <w:sz w:val="18"/>
              </w:rPr>
              <w:t>p value</w:t>
            </w:r>
          </w:p>
        </w:tc>
      </w:tr>
      <w:tr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Age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0.977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0.935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1.021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1.059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0.304</w:t>
            </w:r>
          </w:p>
        </w:tc>
      </w:tr>
      <w:tr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Female sex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1.480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0.446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4.910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0.410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0.522</w:t>
            </w:r>
          </w:p>
        </w:tc>
      </w:tr>
      <w:tr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Upper midline incision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14.866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1.762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125.429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6.153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0.013</w:t>
            </w:r>
          </w:p>
        </w:tc>
      </w:tr>
      <w:tr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Bezoar length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1.467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0.460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4.679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0.420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0.517</w:t>
            </w:r>
          </w:p>
        </w:tc>
      </w:tr>
      <w:tr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Maximum small-bowel diameter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1.013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0.336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3.054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0.001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0.981</w:t>
            </w:r>
          </w:p>
        </w:tc>
      </w:tr>
      <w:tr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Surgical treatment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0.827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0.216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3.158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0.077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0.781</w:t>
            </w:r>
          </w:p>
        </w:tc>
      </w:tr>
    </w:tbl>
    <w:p>
      <w:r>
        <w:t>CI, confidence interval. This model is provided for transparency only. Because the number of readmission events was small and confidence intervals were wide, the results should be interpreted as hypothesis-generating signals rather than confirmatory predictors.</w:t>
      </w:r>
    </w:p>
    <w:p>
      <w:r>
        <w:rPr>
          <w:b/>
        </w:rPr>
        <w:t>Supplementary Table S2. Exploratory logistic regression for postoperative complications in surgically treated patients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b/>
                <w:sz w:val="18"/>
              </w:rPr>
              <w:t>Variable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b/>
                <w:sz w:val="18"/>
              </w:rPr>
              <w:t>Odds ratio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b/>
                <w:sz w:val="18"/>
              </w:rPr>
              <w:t>95% CI lower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b/>
                <w:sz w:val="18"/>
              </w:rPr>
              <w:t>95% CI upper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b/>
                <w:sz w:val="18"/>
              </w:rPr>
              <w:t>Wald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b/>
                <w:sz w:val="18"/>
              </w:rPr>
              <w:t>p value</w:t>
            </w:r>
          </w:p>
        </w:tc>
      </w:tr>
      <w:tr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Age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1.027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0.965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1.093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0.700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0.403</w:t>
            </w:r>
          </w:p>
        </w:tc>
      </w:tr>
      <w:tr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Female sex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10.402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1.049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103.181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4.002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0.045</w:t>
            </w:r>
          </w:p>
        </w:tc>
      </w:tr>
      <w:tr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Number of bezoars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2.901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0.890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9.455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3.120</w:t>
            </w:r>
          </w:p>
        </w:tc>
        <w:tc>
          <w:tcPr>
            <w:tcW w:type="dxa" w:w="1440"/>
            <w:vAlign w:val="center"/>
          </w:tcPr>
          <w:p>
            <w:r>
              <w:rPr>
                <w:rFonts w:ascii="Times New Roman" w:hAnsi="Times New Roman" w:eastAsia="Times New Roman"/>
                <w:sz w:val="18"/>
              </w:rPr>
              <w:t>0.077</w:t>
            </w:r>
          </w:p>
        </w:tc>
      </w:tr>
    </w:tbl>
    <w:p>
      <w:r>
        <w:t>CI, confidence interval. This model is provided for transparency only. Because the number of postoperative complication events was small and confidence intervals were wide, the results should be interpreted as hypothesis-generating signals rather than confirmatory predictors.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