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1381" w:tblpY="1104"/>
        <w:tblW w:w="14034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28" w:type="dxa"/>
          <w:bottom w:w="15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2410"/>
        <w:gridCol w:w="4961"/>
        <w:gridCol w:w="4395"/>
      </w:tblGrid>
      <w:tr w:rsidR="00E56E96" w:rsidRPr="00681BB0" w14:paraId="374B5C78" w14:textId="77777777" w:rsidTr="00681BB0">
        <w:trPr>
          <w:trHeight w:val="397"/>
        </w:trPr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3F38A994" w14:textId="77777777" w:rsidR="00E30C48" w:rsidRPr="00681BB0" w:rsidRDefault="00D76CED" w:rsidP="00681BB0">
            <w:pPr>
              <w:pStyle w:val="p1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BB0">
              <w:rPr>
                <w:rFonts w:asciiTheme="minorHAnsi" w:hAnsiTheme="minorHAnsi" w:cstheme="minorHAnsi"/>
                <w:b/>
                <w:sz w:val="20"/>
                <w:szCs w:val="20"/>
              </w:rPr>
              <w:t>Reference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7BCE5B98" w14:textId="77777777" w:rsidR="00E30C48" w:rsidRPr="00681BB0" w:rsidRDefault="00F23152" w:rsidP="00681BB0">
            <w:pPr>
              <w:jc w:val="both"/>
              <w:rPr>
                <w:rFonts w:eastAsia="PMingLiU" w:cstheme="minorHAnsi"/>
                <w:b/>
                <w:color w:val="000000"/>
                <w:kern w:val="0"/>
                <w:sz w:val="20"/>
                <w:szCs w:val="20"/>
              </w:rPr>
            </w:pPr>
            <w:r w:rsidRPr="00681BB0">
              <w:rPr>
                <w:rFonts w:eastAsia="PMingLiU" w:cstheme="minorHAnsi"/>
                <w:b/>
                <w:color w:val="000000"/>
                <w:kern w:val="0"/>
                <w:sz w:val="20"/>
                <w:szCs w:val="20"/>
              </w:rPr>
              <w:t>Intervention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369CC557" w14:textId="6A482E12" w:rsidR="00E30C48" w:rsidRPr="00681BB0" w:rsidRDefault="00413B59" w:rsidP="00681BB0">
            <w:pPr>
              <w:widowControl/>
              <w:jc w:val="both"/>
              <w:rPr>
                <w:rFonts w:eastAsia="PMingLiU" w:cstheme="minorHAnsi"/>
                <w:b/>
                <w:color w:val="000000"/>
                <w:kern w:val="0"/>
                <w:sz w:val="20"/>
                <w:szCs w:val="20"/>
              </w:rPr>
            </w:pPr>
            <w:r w:rsidRPr="00681BB0">
              <w:rPr>
                <w:rFonts w:eastAsia="PMingLiU" w:cstheme="minorHAnsi"/>
                <w:b/>
                <w:color w:val="000000"/>
                <w:kern w:val="0"/>
                <w:sz w:val="20"/>
                <w:szCs w:val="20"/>
              </w:rPr>
              <w:t>Secondary outcome</w:t>
            </w:r>
          </w:p>
        </w:tc>
      </w:tr>
      <w:tr w:rsidR="00E56E96" w:rsidRPr="00681BB0" w14:paraId="5377C15D" w14:textId="77777777" w:rsidTr="00681BB0">
        <w:trPr>
          <w:trHeight w:val="397"/>
        </w:trPr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273478" w14:textId="77777777" w:rsidR="008E31D4" w:rsidRPr="00681BB0" w:rsidRDefault="008E31D4" w:rsidP="00681BB0">
            <w:pPr>
              <w:widowControl/>
              <w:jc w:val="both"/>
              <w:rPr>
                <w:rFonts w:eastAsia="PMingLiU" w:cstheme="minorHAnsi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14C75F" w14:textId="77777777" w:rsidR="008E31D4" w:rsidRPr="00681BB0" w:rsidRDefault="008E31D4" w:rsidP="00681BB0">
            <w:pPr>
              <w:widowControl/>
              <w:jc w:val="both"/>
              <w:rPr>
                <w:rFonts w:eastAsia="PMingLiU" w:cstheme="minorHAnsi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3150F2" w14:textId="58B00F03" w:rsidR="008E31D4" w:rsidRPr="00681BB0" w:rsidRDefault="008E31D4" w:rsidP="00681BB0">
            <w:pPr>
              <w:widowControl/>
              <w:jc w:val="both"/>
              <w:rPr>
                <w:rFonts w:eastAsia="PMingLiU" w:cstheme="minorHAnsi"/>
                <w:b/>
                <w:color w:val="000000"/>
                <w:kern w:val="0"/>
                <w:sz w:val="20"/>
                <w:szCs w:val="20"/>
              </w:rPr>
            </w:pPr>
            <w:r w:rsidRPr="00681BB0">
              <w:rPr>
                <w:rFonts w:eastAsia="PMingLiU" w:cstheme="minorHAnsi"/>
                <w:b/>
                <w:color w:val="000000"/>
                <w:kern w:val="0"/>
                <w:sz w:val="20"/>
                <w:szCs w:val="20"/>
              </w:rPr>
              <w:t>Reduction failure</w:t>
            </w:r>
          </w:p>
        </w:tc>
        <w:tc>
          <w:tcPr>
            <w:tcW w:w="4395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17D5F3" w14:textId="0BB0B1D1" w:rsidR="008E31D4" w:rsidRPr="00681BB0" w:rsidRDefault="008E31D4" w:rsidP="00681BB0">
            <w:pPr>
              <w:widowControl/>
              <w:jc w:val="both"/>
              <w:rPr>
                <w:rFonts w:eastAsia="PMingLiU" w:cstheme="minorHAnsi"/>
                <w:b/>
                <w:color w:val="000000"/>
                <w:kern w:val="0"/>
                <w:sz w:val="20"/>
                <w:szCs w:val="20"/>
              </w:rPr>
            </w:pPr>
            <w:r w:rsidRPr="00681BB0">
              <w:rPr>
                <w:rFonts w:eastAsia="PMingLiU" w:cstheme="minorHAnsi"/>
                <w:b/>
                <w:color w:val="000000"/>
                <w:kern w:val="0"/>
                <w:sz w:val="20"/>
                <w:szCs w:val="20"/>
              </w:rPr>
              <w:t>Adverse effect (AE)</w:t>
            </w:r>
          </w:p>
        </w:tc>
      </w:tr>
      <w:tr w:rsidR="00E56E96" w:rsidRPr="00681BB0" w14:paraId="60C04835" w14:textId="77777777" w:rsidTr="00681BB0">
        <w:trPr>
          <w:trHeight w:val="397"/>
        </w:trPr>
        <w:tc>
          <w:tcPr>
            <w:tcW w:w="14034" w:type="dxa"/>
            <w:gridSpan w:val="4"/>
            <w:tcBorders>
              <w:top w:val="single" w:sz="4" w:space="0" w:color="auto"/>
              <w:bottom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3441F0D1" w14:textId="77777777" w:rsidR="00E54FF9" w:rsidRPr="00681BB0" w:rsidRDefault="00E54FF9" w:rsidP="00681BB0">
            <w:pPr>
              <w:widowControl/>
              <w:jc w:val="both"/>
              <w:rPr>
                <w:rFonts w:eastAsia="PMingLiU" w:cstheme="minorHAnsi"/>
                <w:b/>
                <w:color w:val="000000"/>
                <w:kern w:val="0"/>
                <w:sz w:val="20"/>
                <w:szCs w:val="20"/>
              </w:rPr>
            </w:pPr>
            <w:r w:rsidRPr="00681BB0">
              <w:rPr>
                <w:rFonts w:eastAsia="PMingLiU" w:cstheme="minorHAnsi"/>
                <w:b/>
                <w:kern w:val="0"/>
                <w:sz w:val="20"/>
                <w:szCs w:val="20"/>
              </w:rPr>
              <w:t>Adult population</w:t>
            </w:r>
          </w:p>
        </w:tc>
      </w:tr>
      <w:tr w:rsidR="00681BB0" w:rsidRPr="00681BB0" w14:paraId="55BE9BC0" w14:textId="77777777" w:rsidTr="00681BB0">
        <w:trPr>
          <w:trHeight w:val="397"/>
        </w:trPr>
        <w:tc>
          <w:tcPr>
            <w:tcW w:w="226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textDirection w:val="lrTbV"/>
            <w:vAlign w:val="center"/>
            <w:hideMark/>
          </w:tcPr>
          <w:p w14:paraId="4B9F01A1" w14:textId="784302D0" w:rsidR="00681BB0" w:rsidRPr="00681BB0" w:rsidRDefault="00681BB0" w:rsidP="00681BB0">
            <w:pPr>
              <w:widowControl/>
              <w:jc w:val="both"/>
              <w:rPr>
                <w:rFonts w:eastAsiaTheme="majorEastAsia" w:cstheme="minorHAnsi"/>
                <w:kern w:val="0"/>
                <w:sz w:val="20"/>
                <w:szCs w:val="20"/>
              </w:rPr>
            </w:pPr>
            <w:r w:rsidRPr="00681BB0">
              <w:rPr>
                <w:rFonts w:eastAsiaTheme="majorEastAsia" w:cstheme="minorHAnsi"/>
                <w:kern w:val="0"/>
                <w:sz w:val="20"/>
                <w:szCs w:val="20"/>
              </w:rPr>
              <w:t>Fathi, M. (2015)</w:t>
            </w:r>
          </w:p>
        </w:tc>
        <w:tc>
          <w:tcPr>
            <w:tcW w:w="241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textDirection w:val="lrTbV"/>
            <w:vAlign w:val="center"/>
            <w:hideMark/>
          </w:tcPr>
          <w:p w14:paraId="6A41524C" w14:textId="77777777" w:rsidR="00681BB0" w:rsidRPr="00681BB0" w:rsidRDefault="00681BB0" w:rsidP="00681BB0">
            <w:pPr>
              <w:widowControl/>
              <w:jc w:val="both"/>
              <w:rPr>
                <w:rFonts w:eastAsiaTheme="majorEastAsia" w:cstheme="minorHAnsi"/>
                <w:color w:val="000000"/>
                <w:kern w:val="0"/>
                <w:sz w:val="20"/>
                <w:szCs w:val="20"/>
              </w:rPr>
            </w:pPr>
            <w:r w:rsidRPr="00681BB0">
              <w:rPr>
                <w:rFonts w:eastAsiaTheme="majorEastAsia" w:cstheme="minorHAnsi"/>
                <w:color w:val="000000"/>
                <w:kern w:val="0"/>
                <w:sz w:val="20"/>
                <w:szCs w:val="20"/>
              </w:rPr>
              <w:t>Ultrasound-guided HB</w:t>
            </w:r>
          </w:p>
          <w:p w14:paraId="775E6181" w14:textId="66FF1FA6" w:rsidR="00681BB0" w:rsidRPr="00681BB0" w:rsidRDefault="00681BB0" w:rsidP="00681BB0">
            <w:pPr>
              <w:widowControl/>
              <w:jc w:val="both"/>
              <w:rPr>
                <w:rFonts w:eastAsiaTheme="majorEastAsia" w:cstheme="minorHAnsi"/>
                <w:color w:val="000000"/>
                <w:kern w:val="0"/>
                <w:sz w:val="20"/>
                <w:szCs w:val="20"/>
              </w:rPr>
            </w:pPr>
            <w:r w:rsidRPr="00681BB0">
              <w:rPr>
                <w:rFonts w:eastAsiaTheme="majorEastAsia" w:cstheme="minorHAnsi"/>
                <w:color w:val="000000"/>
                <w:kern w:val="0"/>
                <w:sz w:val="20"/>
                <w:szCs w:val="20"/>
              </w:rPr>
              <w:t xml:space="preserve">versus </w:t>
            </w:r>
            <w:r w:rsidRPr="00681BB0">
              <w:rPr>
                <w:rFonts w:eastAsiaTheme="majorEastAsia" w:cstheme="minorHAnsi"/>
                <w:color w:val="000000"/>
                <w:sz w:val="20"/>
                <w:szCs w:val="20"/>
              </w:rPr>
              <w:t>PSA</w:t>
            </w:r>
          </w:p>
        </w:tc>
        <w:tc>
          <w:tcPr>
            <w:tcW w:w="496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textDirection w:val="lrTbV"/>
            <w:vAlign w:val="center"/>
            <w:hideMark/>
          </w:tcPr>
          <w:p w14:paraId="7ACF8267" w14:textId="6D35E7D9" w:rsidR="00681BB0" w:rsidRPr="00681BB0" w:rsidRDefault="00681BB0" w:rsidP="00681BB0">
            <w:pPr>
              <w:widowControl/>
              <w:jc w:val="both"/>
              <w:rPr>
                <w:rFonts w:eastAsiaTheme="majorEastAsia" w:cstheme="minorHAnsi"/>
                <w:color w:val="000000"/>
                <w:kern w:val="0"/>
                <w:sz w:val="20"/>
                <w:szCs w:val="20"/>
              </w:rPr>
            </w:pPr>
            <w:r w:rsidRPr="00681BB0">
              <w:rPr>
                <w:rFonts w:eastAsiaTheme="majorEastAsia" w:cstheme="minorHAnsi"/>
                <w:color w:val="000000"/>
                <w:kern w:val="0"/>
                <w:sz w:val="20"/>
                <w:szCs w:val="20"/>
              </w:rPr>
              <w:t>No report</w:t>
            </w:r>
          </w:p>
        </w:tc>
        <w:tc>
          <w:tcPr>
            <w:tcW w:w="4395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textDirection w:val="lrTbV"/>
            <w:vAlign w:val="center"/>
            <w:hideMark/>
          </w:tcPr>
          <w:p w14:paraId="419D9735" w14:textId="1F5864D9" w:rsidR="00681BB0" w:rsidRPr="00681BB0" w:rsidRDefault="00681BB0" w:rsidP="00681BB0">
            <w:pPr>
              <w:pStyle w:val="p1"/>
              <w:jc w:val="both"/>
              <w:rPr>
                <w:rFonts w:asciiTheme="minorHAnsi" w:eastAsiaTheme="majorEastAsia" w:hAnsiTheme="minorHAnsi" w:cstheme="minorHAnsi"/>
                <w:color w:val="000000"/>
                <w:sz w:val="20"/>
                <w:szCs w:val="20"/>
              </w:rPr>
            </w:pPr>
            <w:r w:rsidRPr="00681BB0">
              <w:rPr>
                <w:rFonts w:asciiTheme="minorHAnsi" w:eastAsiaTheme="majorEastAsia" w:hAnsiTheme="minorHAnsi" w:cstheme="minorHAnsi"/>
                <w:color w:val="000000"/>
                <w:sz w:val="20"/>
                <w:szCs w:val="20"/>
              </w:rPr>
              <w:t>11% (8/72) early AE (1 vomiting, 3 apnea, 2 hypotension, 2 respiratory depression), no late AE in PSA group; no early and late AE in HB</w:t>
            </w:r>
          </w:p>
        </w:tc>
      </w:tr>
      <w:tr w:rsidR="00681BB0" w:rsidRPr="00681BB0" w14:paraId="3B59996B" w14:textId="77777777" w:rsidTr="00681BB0">
        <w:trPr>
          <w:trHeight w:val="397"/>
        </w:trPr>
        <w:tc>
          <w:tcPr>
            <w:tcW w:w="226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textDirection w:val="lrTbV"/>
            <w:vAlign w:val="center"/>
            <w:hideMark/>
          </w:tcPr>
          <w:p w14:paraId="0C6A0A3E" w14:textId="2CFC0E42" w:rsidR="00681BB0" w:rsidRPr="00681BB0" w:rsidRDefault="00681BB0" w:rsidP="00681BB0">
            <w:pPr>
              <w:widowControl/>
              <w:jc w:val="both"/>
              <w:rPr>
                <w:rFonts w:eastAsiaTheme="majorEastAsia" w:cstheme="minorHAnsi"/>
                <w:kern w:val="0"/>
                <w:sz w:val="20"/>
                <w:szCs w:val="20"/>
              </w:rPr>
            </w:pPr>
            <w:proofErr w:type="spellStart"/>
            <w:r w:rsidRPr="00681BB0">
              <w:rPr>
                <w:rFonts w:eastAsiaTheme="majorEastAsia" w:cstheme="minorHAnsi"/>
                <w:kern w:val="0"/>
                <w:sz w:val="20"/>
                <w:szCs w:val="20"/>
              </w:rPr>
              <w:t>Myderrizi</w:t>
            </w:r>
            <w:proofErr w:type="spellEnd"/>
            <w:r w:rsidRPr="00681BB0">
              <w:rPr>
                <w:rFonts w:eastAsiaTheme="majorEastAsia" w:cstheme="minorHAnsi"/>
                <w:kern w:val="0"/>
                <w:sz w:val="20"/>
                <w:szCs w:val="20"/>
              </w:rPr>
              <w:t>, N. (2011)</w:t>
            </w:r>
          </w:p>
        </w:tc>
        <w:tc>
          <w:tcPr>
            <w:tcW w:w="241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textDirection w:val="lrTbV"/>
            <w:vAlign w:val="center"/>
            <w:hideMark/>
          </w:tcPr>
          <w:p w14:paraId="334DFE17" w14:textId="2A8943D1" w:rsidR="00681BB0" w:rsidRPr="00681BB0" w:rsidRDefault="00681BB0" w:rsidP="00681BB0">
            <w:pPr>
              <w:pStyle w:val="p1"/>
              <w:jc w:val="both"/>
              <w:rPr>
                <w:rFonts w:asciiTheme="minorHAnsi" w:eastAsiaTheme="majorEastAsia" w:hAnsiTheme="minorHAnsi" w:cstheme="minorHAnsi"/>
                <w:color w:val="000000"/>
                <w:sz w:val="20"/>
                <w:szCs w:val="20"/>
              </w:rPr>
            </w:pPr>
            <w:r w:rsidRPr="00681BB0">
              <w:rPr>
                <w:rFonts w:asciiTheme="minorHAnsi" w:eastAsiaTheme="majorEastAsia" w:hAnsiTheme="minorHAnsi" w:cstheme="minorHAnsi"/>
                <w:color w:val="000000"/>
                <w:sz w:val="20"/>
                <w:szCs w:val="20"/>
              </w:rPr>
              <w:t>HB versus PSA</w:t>
            </w:r>
          </w:p>
        </w:tc>
        <w:tc>
          <w:tcPr>
            <w:tcW w:w="496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textDirection w:val="lrTbV"/>
            <w:vAlign w:val="center"/>
            <w:hideMark/>
          </w:tcPr>
          <w:p w14:paraId="41758F25" w14:textId="77777777" w:rsidR="00681BB0" w:rsidRPr="00681BB0" w:rsidRDefault="00681BB0" w:rsidP="00681BB0">
            <w:pPr>
              <w:widowControl/>
              <w:jc w:val="both"/>
              <w:rPr>
                <w:rFonts w:eastAsiaTheme="majorEastAsia" w:cstheme="minorHAnsi"/>
                <w:color w:val="000000"/>
                <w:kern w:val="0"/>
                <w:sz w:val="20"/>
                <w:szCs w:val="20"/>
              </w:rPr>
            </w:pPr>
            <w:r w:rsidRPr="00681BB0">
              <w:rPr>
                <w:rFonts w:eastAsiaTheme="majorEastAsia" w:cstheme="minorHAnsi"/>
                <w:color w:val="000000"/>
                <w:kern w:val="0"/>
                <w:sz w:val="20"/>
                <w:szCs w:val="20"/>
              </w:rPr>
              <w:t xml:space="preserve">Loss of reduction on the 1st week after reduction:  </w:t>
            </w:r>
          </w:p>
          <w:p w14:paraId="5219775F" w14:textId="56014672" w:rsidR="00681BB0" w:rsidRPr="00681BB0" w:rsidRDefault="00681BB0" w:rsidP="00681BB0">
            <w:pPr>
              <w:widowControl/>
              <w:jc w:val="both"/>
              <w:rPr>
                <w:rFonts w:eastAsiaTheme="majorEastAsia" w:cstheme="minorHAnsi"/>
                <w:color w:val="000000"/>
                <w:kern w:val="0"/>
                <w:sz w:val="20"/>
                <w:szCs w:val="20"/>
              </w:rPr>
            </w:pPr>
            <w:r w:rsidRPr="00681BB0">
              <w:rPr>
                <w:rFonts w:eastAsiaTheme="majorEastAsia" w:cstheme="minorHAnsi"/>
                <w:color w:val="000000"/>
                <w:kern w:val="0"/>
                <w:sz w:val="20"/>
                <w:szCs w:val="20"/>
              </w:rPr>
              <w:t>43% (21/48) for HB; 45% (22/48) for PSA group</w:t>
            </w:r>
          </w:p>
        </w:tc>
        <w:tc>
          <w:tcPr>
            <w:tcW w:w="4395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textDirection w:val="lrTbV"/>
            <w:vAlign w:val="center"/>
            <w:hideMark/>
          </w:tcPr>
          <w:p w14:paraId="2561FDFD" w14:textId="1B51936E" w:rsidR="00681BB0" w:rsidRPr="00681BB0" w:rsidRDefault="00681BB0" w:rsidP="00681BB0">
            <w:pPr>
              <w:widowControl/>
              <w:jc w:val="both"/>
              <w:rPr>
                <w:rFonts w:eastAsiaTheme="majorEastAsia" w:cstheme="minorHAnsi"/>
                <w:color w:val="000000"/>
                <w:kern w:val="0"/>
                <w:sz w:val="20"/>
                <w:szCs w:val="20"/>
              </w:rPr>
            </w:pPr>
            <w:r w:rsidRPr="00681BB0">
              <w:rPr>
                <w:rFonts w:eastAsiaTheme="majorEastAsia" w:cstheme="minorHAnsi"/>
                <w:color w:val="000000"/>
                <w:kern w:val="0"/>
                <w:sz w:val="20"/>
                <w:szCs w:val="20"/>
              </w:rPr>
              <w:t>No report</w:t>
            </w:r>
          </w:p>
        </w:tc>
      </w:tr>
      <w:tr w:rsidR="00681BB0" w:rsidRPr="00681BB0" w14:paraId="65720A3C" w14:textId="77777777" w:rsidTr="00681BB0">
        <w:trPr>
          <w:trHeight w:val="397"/>
        </w:trPr>
        <w:tc>
          <w:tcPr>
            <w:tcW w:w="2268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auto"/>
            <w:noWrap/>
            <w:textDirection w:val="lrTbV"/>
            <w:vAlign w:val="center"/>
            <w:hideMark/>
          </w:tcPr>
          <w:p w14:paraId="775F74C9" w14:textId="256A1FA9" w:rsidR="00681BB0" w:rsidRPr="00681BB0" w:rsidRDefault="00681BB0" w:rsidP="00681BB0">
            <w:pPr>
              <w:widowControl/>
              <w:jc w:val="both"/>
              <w:rPr>
                <w:rFonts w:eastAsiaTheme="majorEastAsia" w:cstheme="minorHAnsi"/>
                <w:kern w:val="0"/>
                <w:sz w:val="20"/>
                <w:szCs w:val="20"/>
              </w:rPr>
            </w:pPr>
            <w:r w:rsidRPr="00681BB0">
              <w:rPr>
                <w:rFonts w:eastAsiaTheme="majorEastAsia" w:cstheme="minorHAnsi"/>
                <w:color w:val="000000"/>
                <w:kern w:val="0"/>
                <w:sz w:val="20"/>
                <w:szCs w:val="20"/>
              </w:rPr>
              <w:t>Singh, G.K. (1992)</w:t>
            </w:r>
          </w:p>
        </w:tc>
        <w:tc>
          <w:tcPr>
            <w:tcW w:w="2410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auto"/>
            <w:noWrap/>
            <w:textDirection w:val="lrTbV"/>
            <w:vAlign w:val="center"/>
            <w:hideMark/>
          </w:tcPr>
          <w:p w14:paraId="241037D6" w14:textId="79CC8283" w:rsidR="00681BB0" w:rsidRPr="00681BB0" w:rsidRDefault="00681BB0" w:rsidP="00681BB0">
            <w:pPr>
              <w:widowControl/>
              <w:jc w:val="both"/>
              <w:rPr>
                <w:rFonts w:eastAsiaTheme="majorEastAsia" w:cstheme="minorHAnsi"/>
                <w:color w:val="000000"/>
                <w:kern w:val="0"/>
                <w:sz w:val="20"/>
                <w:szCs w:val="20"/>
              </w:rPr>
            </w:pPr>
            <w:r w:rsidRPr="00681BB0">
              <w:rPr>
                <w:rFonts w:eastAsiaTheme="majorEastAsia" w:cstheme="minorHAnsi"/>
                <w:color w:val="000000"/>
                <w:kern w:val="0"/>
                <w:sz w:val="20"/>
                <w:szCs w:val="20"/>
              </w:rPr>
              <w:t>HB versus PSA</w:t>
            </w:r>
          </w:p>
        </w:tc>
        <w:tc>
          <w:tcPr>
            <w:tcW w:w="4961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auto"/>
            <w:noWrap/>
            <w:textDirection w:val="lrTbV"/>
            <w:vAlign w:val="center"/>
            <w:hideMark/>
          </w:tcPr>
          <w:p w14:paraId="6A0D45C4" w14:textId="77777777" w:rsidR="00681BB0" w:rsidRPr="00681BB0" w:rsidRDefault="00681BB0" w:rsidP="00681BB0">
            <w:pPr>
              <w:widowControl/>
              <w:jc w:val="both"/>
              <w:rPr>
                <w:rFonts w:eastAsiaTheme="majorEastAsia" w:cstheme="minorHAnsi"/>
                <w:color w:val="000000"/>
                <w:kern w:val="0"/>
                <w:sz w:val="20"/>
                <w:szCs w:val="20"/>
              </w:rPr>
            </w:pPr>
            <w:r w:rsidRPr="00681BB0">
              <w:rPr>
                <w:rFonts w:eastAsiaTheme="majorEastAsia" w:cstheme="minorHAnsi"/>
                <w:color w:val="000000"/>
                <w:kern w:val="0"/>
                <w:sz w:val="20"/>
                <w:szCs w:val="20"/>
              </w:rPr>
              <w:t xml:space="preserve">Failure on the post-reduction 8th week: </w:t>
            </w:r>
          </w:p>
          <w:p w14:paraId="1D3AC71D" w14:textId="1A3A6073" w:rsidR="00681BB0" w:rsidRPr="00681BB0" w:rsidRDefault="00681BB0" w:rsidP="00681BB0">
            <w:pPr>
              <w:widowControl/>
              <w:jc w:val="both"/>
              <w:rPr>
                <w:rFonts w:eastAsiaTheme="majorEastAsia" w:cstheme="minorHAnsi"/>
                <w:color w:val="000000"/>
                <w:kern w:val="0"/>
                <w:sz w:val="20"/>
                <w:szCs w:val="20"/>
              </w:rPr>
            </w:pPr>
            <w:r w:rsidRPr="00681BB0">
              <w:rPr>
                <w:rFonts w:eastAsiaTheme="majorEastAsia" w:cstheme="minorHAnsi"/>
                <w:color w:val="000000"/>
                <w:kern w:val="0"/>
                <w:sz w:val="20"/>
                <w:szCs w:val="20"/>
              </w:rPr>
              <w:t>6% (2/33) for HB; 12% (4/33) for PSA group</w:t>
            </w:r>
          </w:p>
        </w:tc>
        <w:tc>
          <w:tcPr>
            <w:tcW w:w="4395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auto"/>
            <w:noWrap/>
            <w:textDirection w:val="lrTbV"/>
            <w:vAlign w:val="center"/>
            <w:hideMark/>
          </w:tcPr>
          <w:p w14:paraId="0C138F6D" w14:textId="37B57BD2" w:rsidR="00681BB0" w:rsidRPr="00681BB0" w:rsidRDefault="00681BB0" w:rsidP="00681BB0">
            <w:pPr>
              <w:widowControl/>
              <w:jc w:val="both"/>
              <w:rPr>
                <w:rFonts w:eastAsiaTheme="majorEastAsia" w:cstheme="minorHAnsi"/>
                <w:color w:val="000000"/>
                <w:kern w:val="0"/>
                <w:sz w:val="20"/>
                <w:szCs w:val="20"/>
              </w:rPr>
            </w:pPr>
            <w:r w:rsidRPr="00681BB0">
              <w:rPr>
                <w:rFonts w:eastAsiaTheme="majorEastAsia" w:cstheme="minorHAnsi"/>
                <w:color w:val="000000"/>
                <w:kern w:val="0"/>
                <w:sz w:val="20"/>
                <w:szCs w:val="20"/>
              </w:rPr>
              <w:t>No report</w:t>
            </w:r>
          </w:p>
        </w:tc>
      </w:tr>
      <w:tr w:rsidR="00E56E96" w:rsidRPr="00681BB0" w14:paraId="7E96AC20" w14:textId="77777777" w:rsidTr="00681BB0">
        <w:trPr>
          <w:trHeight w:val="397"/>
        </w:trPr>
        <w:tc>
          <w:tcPr>
            <w:tcW w:w="14034" w:type="dxa"/>
            <w:gridSpan w:val="4"/>
            <w:tcBorders>
              <w:top w:val="single" w:sz="4" w:space="0" w:color="auto"/>
              <w:bottom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62FF7E21" w14:textId="2A1F2A34" w:rsidR="00E54FF9" w:rsidRPr="00681BB0" w:rsidRDefault="00E54FF9" w:rsidP="00681BB0">
            <w:pPr>
              <w:widowControl/>
              <w:jc w:val="both"/>
              <w:rPr>
                <w:rFonts w:eastAsia="PMingLiU" w:cstheme="minorHAnsi"/>
                <w:b/>
                <w:color w:val="000000"/>
                <w:kern w:val="0"/>
                <w:sz w:val="20"/>
                <w:szCs w:val="20"/>
              </w:rPr>
            </w:pPr>
            <w:r w:rsidRPr="00681BB0">
              <w:rPr>
                <w:rFonts w:eastAsia="PMingLiU" w:cstheme="minorHAnsi"/>
                <w:b/>
                <w:color w:val="000000"/>
                <w:kern w:val="0"/>
                <w:sz w:val="20"/>
                <w:szCs w:val="20"/>
              </w:rPr>
              <w:t>Pediatric population</w:t>
            </w:r>
          </w:p>
        </w:tc>
      </w:tr>
      <w:tr w:rsidR="00681BB0" w:rsidRPr="00681BB0" w14:paraId="4ACFC215" w14:textId="77777777" w:rsidTr="00681BB0">
        <w:trPr>
          <w:trHeight w:val="397"/>
        </w:trPr>
        <w:tc>
          <w:tcPr>
            <w:tcW w:w="226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textDirection w:val="lrTbV"/>
            <w:vAlign w:val="center"/>
            <w:hideMark/>
          </w:tcPr>
          <w:p w14:paraId="7556364B" w14:textId="6FC0F1E0" w:rsidR="00681BB0" w:rsidRPr="00681BB0" w:rsidRDefault="00681BB0" w:rsidP="00681BB0">
            <w:pPr>
              <w:widowControl/>
              <w:jc w:val="both"/>
              <w:rPr>
                <w:rFonts w:eastAsia="PMingLiU" w:cstheme="minorHAnsi"/>
                <w:color w:val="000000"/>
                <w:kern w:val="0"/>
                <w:sz w:val="20"/>
                <w:szCs w:val="20"/>
              </w:rPr>
            </w:pPr>
            <w:r w:rsidRPr="00681BB0">
              <w:rPr>
                <w:rFonts w:cstheme="minorHAnsi"/>
                <w:kern w:val="0"/>
                <w:sz w:val="20"/>
                <w:szCs w:val="20"/>
              </w:rPr>
              <w:t>Bear, D.M. (2015)</w:t>
            </w:r>
          </w:p>
        </w:tc>
        <w:tc>
          <w:tcPr>
            <w:tcW w:w="241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textDirection w:val="lrTbV"/>
            <w:vAlign w:val="center"/>
            <w:hideMark/>
          </w:tcPr>
          <w:p w14:paraId="633D4E1A" w14:textId="77777777" w:rsidR="00681BB0" w:rsidRPr="00681BB0" w:rsidRDefault="00681BB0" w:rsidP="00681BB0">
            <w:pPr>
              <w:pStyle w:val="p1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81BB0">
              <w:rPr>
                <w:rFonts w:asciiTheme="minorHAnsi" w:eastAsia="PMingLiU" w:hAnsiTheme="minorHAnsi" w:cstheme="minorHAnsi"/>
                <w:color w:val="000000"/>
                <w:sz w:val="20"/>
                <w:szCs w:val="20"/>
              </w:rPr>
              <w:t xml:space="preserve">HB + </w:t>
            </w:r>
            <w:r w:rsidRPr="00681BB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oral midazolam</w:t>
            </w:r>
          </w:p>
          <w:p w14:paraId="076DC007" w14:textId="41EA1C67" w:rsidR="00681BB0" w:rsidRPr="00681BB0" w:rsidRDefault="00681BB0" w:rsidP="00681BB0">
            <w:pPr>
              <w:pStyle w:val="p1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81BB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Versus PSA</w:t>
            </w:r>
          </w:p>
        </w:tc>
        <w:tc>
          <w:tcPr>
            <w:tcW w:w="496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textDirection w:val="lrTbV"/>
            <w:vAlign w:val="center"/>
            <w:hideMark/>
          </w:tcPr>
          <w:p w14:paraId="186C8BDC" w14:textId="22EE73CE" w:rsidR="00681BB0" w:rsidRPr="00681BB0" w:rsidRDefault="00681BB0" w:rsidP="00681BB0">
            <w:pPr>
              <w:pStyle w:val="p1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81BB0">
              <w:rPr>
                <w:rFonts w:asciiTheme="minorHAnsi" w:eastAsia="PMingLiU" w:hAnsiTheme="minorHAnsi" w:cstheme="minorHAnsi"/>
                <w:color w:val="000000"/>
                <w:sz w:val="20"/>
                <w:szCs w:val="20"/>
              </w:rPr>
              <w:t>One patient in the HB group and one patient in the PSA group needed re</w:t>
            </w:r>
            <w:r w:rsidRPr="00681BB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vision closed reduction and casting; One in PSA group needed closed reduction and percutaneous pinning</w:t>
            </w:r>
          </w:p>
        </w:tc>
        <w:tc>
          <w:tcPr>
            <w:tcW w:w="4395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textDirection w:val="lrTbV"/>
            <w:vAlign w:val="center"/>
            <w:hideMark/>
          </w:tcPr>
          <w:p w14:paraId="5D8823BC" w14:textId="3A4FFA5A" w:rsidR="00681BB0" w:rsidRPr="00681BB0" w:rsidRDefault="00681BB0" w:rsidP="00681BB0">
            <w:pPr>
              <w:widowControl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681BB0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3.8% (1/26) for PSA group and 3.8% (1/26) for HB group with nausea; </w:t>
            </w:r>
            <w:r w:rsidRPr="00681BB0">
              <w:rPr>
                <w:rFonts w:cstheme="minorHAnsi"/>
                <w:color w:val="000000"/>
                <w:sz w:val="20"/>
                <w:szCs w:val="20"/>
              </w:rPr>
              <w:t>7.7% (2/26) for HB group with self-limited paresthesia</w:t>
            </w:r>
          </w:p>
        </w:tc>
      </w:tr>
      <w:tr w:rsidR="00681BB0" w:rsidRPr="00681BB0" w14:paraId="0D2C5CF7" w14:textId="77777777" w:rsidTr="00681BB0">
        <w:trPr>
          <w:trHeight w:val="397"/>
        </w:trPr>
        <w:tc>
          <w:tcPr>
            <w:tcW w:w="2268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auto"/>
            <w:noWrap/>
            <w:textDirection w:val="lrTbV"/>
            <w:vAlign w:val="center"/>
            <w:hideMark/>
          </w:tcPr>
          <w:p w14:paraId="1F5570DA" w14:textId="349ABB0D" w:rsidR="00681BB0" w:rsidRPr="00681BB0" w:rsidRDefault="00681BB0" w:rsidP="00681BB0">
            <w:pPr>
              <w:widowControl/>
              <w:jc w:val="both"/>
              <w:rPr>
                <w:rFonts w:eastAsia="PMingLiU" w:cstheme="minorHAnsi"/>
                <w:color w:val="000000"/>
                <w:kern w:val="0"/>
                <w:sz w:val="20"/>
                <w:szCs w:val="20"/>
              </w:rPr>
            </w:pPr>
            <w:proofErr w:type="spellStart"/>
            <w:r w:rsidRPr="00681BB0">
              <w:rPr>
                <w:rFonts w:cstheme="minorHAnsi"/>
                <w:color w:val="000000"/>
                <w:kern w:val="0"/>
                <w:sz w:val="20"/>
                <w:szCs w:val="20"/>
              </w:rPr>
              <w:t>Luhmann</w:t>
            </w:r>
            <w:proofErr w:type="spellEnd"/>
            <w:r w:rsidRPr="00681BB0">
              <w:rPr>
                <w:rFonts w:cstheme="minorHAnsi"/>
                <w:color w:val="000000"/>
                <w:kern w:val="0"/>
                <w:sz w:val="20"/>
                <w:szCs w:val="20"/>
              </w:rPr>
              <w:t>, J.D. (2006)</w:t>
            </w:r>
          </w:p>
        </w:tc>
        <w:tc>
          <w:tcPr>
            <w:tcW w:w="2410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auto"/>
            <w:noWrap/>
            <w:textDirection w:val="lrTbV"/>
            <w:vAlign w:val="center"/>
            <w:hideMark/>
          </w:tcPr>
          <w:p w14:paraId="2C120621" w14:textId="77777777" w:rsidR="00681BB0" w:rsidRPr="00681BB0" w:rsidRDefault="00681BB0" w:rsidP="00681BB0">
            <w:pPr>
              <w:pStyle w:val="p1"/>
              <w:jc w:val="both"/>
              <w:rPr>
                <w:rFonts w:asciiTheme="minorHAnsi" w:hAnsiTheme="minorHAnsi" w:cstheme="minorHAnsi"/>
                <w:color w:val="1A1919"/>
                <w:sz w:val="20"/>
                <w:szCs w:val="20"/>
              </w:rPr>
            </w:pPr>
            <w:r w:rsidRPr="00681BB0">
              <w:rPr>
                <w:rFonts w:asciiTheme="minorHAnsi" w:eastAsia="PMingLiU" w:hAnsiTheme="minorHAnsi" w:cstheme="minorHAnsi"/>
                <w:color w:val="000000"/>
                <w:sz w:val="20"/>
                <w:szCs w:val="20"/>
              </w:rPr>
              <w:t xml:space="preserve">HB </w:t>
            </w:r>
            <w:r w:rsidRPr="00681BB0">
              <w:rPr>
                <w:rFonts w:asciiTheme="minorHAnsi" w:hAnsiTheme="minorHAnsi" w:cstheme="minorHAnsi"/>
                <w:color w:val="1A1919"/>
                <w:sz w:val="20"/>
                <w:szCs w:val="20"/>
              </w:rPr>
              <w:t>+ inhaled N</w:t>
            </w:r>
            <w:r w:rsidRPr="00681BB0">
              <w:rPr>
                <w:rFonts w:asciiTheme="minorHAnsi" w:hAnsiTheme="minorHAnsi" w:cstheme="minorHAnsi"/>
                <w:color w:val="1A1919"/>
                <w:sz w:val="20"/>
                <w:szCs w:val="20"/>
                <w:vertAlign w:val="subscript"/>
              </w:rPr>
              <w:t>2</w:t>
            </w:r>
            <w:r w:rsidRPr="00681BB0">
              <w:rPr>
                <w:rFonts w:asciiTheme="minorHAnsi" w:hAnsiTheme="minorHAnsi" w:cstheme="minorHAnsi"/>
                <w:color w:val="1A1919"/>
                <w:sz w:val="20"/>
                <w:szCs w:val="20"/>
              </w:rPr>
              <w:t xml:space="preserve">O </w:t>
            </w:r>
          </w:p>
          <w:p w14:paraId="2BD73124" w14:textId="4A81F27C" w:rsidR="00681BB0" w:rsidRPr="00681BB0" w:rsidRDefault="00681BB0" w:rsidP="00681BB0">
            <w:pPr>
              <w:pStyle w:val="p1"/>
              <w:jc w:val="both"/>
              <w:rPr>
                <w:rFonts w:asciiTheme="minorHAnsi" w:hAnsiTheme="minorHAnsi" w:cstheme="minorHAnsi"/>
                <w:color w:val="1A1919"/>
                <w:sz w:val="20"/>
                <w:szCs w:val="20"/>
              </w:rPr>
            </w:pPr>
            <w:r w:rsidRPr="00681BB0">
              <w:rPr>
                <w:rFonts w:asciiTheme="minorHAnsi" w:hAnsiTheme="minorHAnsi" w:cstheme="minorHAnsi"/>
                <w:color w:val="1A1919"/>
                <w:sz w:val="20"/>
                <w:szCs w:val="20"/>
              </w:rPr>
              <w:t>versus PSA</w:t>
            </w:r>
          </w:p>
        </w:tc>
        <w:tc>
          <w:tcPr>
            <w:tcW w:w="4961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auto"/>
            <w:noWrap/>
            <w:textDirection w:val="lrTbV"/>
            <w:vAlign w:val="center"/>
            <w:hideMark/>
          </w:tcPr>
          <w:p w14:paraId="7984F2AA" w14:textId="1D8AAF0B" w:rsidR="00681BB0" w:rsidRPr="00681BB0" w:rsidRDefault="00681BB0" w:rsidP="00681BB0">
            <w:pPr>
              <w:widowControl/>
              <w:jc w:val="both"/>
              <w:rPr>
                <w:rFonts w:eastAsia="PMingLiU" w:cstheme="minorHAnsi"/>
                <w:color w:val="000000"/>
                <w:kern w:val="0"/>
                <w:sz w:val="20"/>
                <w:szCs w:val="20"/>
              </w:rPr>
            </w:pPr>
            <w:r w:rsidRPr="00681BB0">
              <w:rPr>
                <w:rFonts w:cstheme="minorHAnsi"/>
                <w:color w:val="000000"/>
                <w:kern w:val="0"/>
                <w:sz w:val="20"/>
                <w:szCs w:val="20"/>
              </w:rPr>
              <w:t>No report</w:t>
            </w:r>
          </w:p>
        </w:tc>
        <w:tc>
          <w:tcPr>
            <w:tcW w:w="4395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auto"/>
            <w:noWrap/>
            <w:textDirection w:val="lrTbV"/>
            <w:vAlign w:val="center"/>
            <w:hideMark/>
          </w:tcPr>
          <w:p w14:paraId="26545ACE" w14:textId="3AE5FE7C" w:rsidR="00681BB0" w:rsidRPr="00681BB0" w:rsidRDefault="00681BB0" w:rsidP="00681BB0">
            <w:pPr>
              <w:widowControl/>
              <w:jc w:val="both"/>
              <w:rPr>
                <w:rFonts w:cstheme="minorHAnsi"/>
                <w:color w:val="1A1919"/>
                <w:kern w:val="0"/>
                <w:sz w:val="20"/>
                <w:szCs w:val="20"/>
              </w:rPr>
            </w:pPr>
            <w:r w:rsidRPr="00681BB0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PSA group versus HB/N2O group: 24% versus 26% with vomiting; 7% versus 0% with </w:t>
            </w:r>
            <w:r w:rsidRPr="00681BB0">
              <w:rPr>
                <w:rFonts w:cstheme="minorHAnsi"/>
                <w:color w:val="1A1919"/>
                <w:kern w:val="0"/>
                <w:sz w:val="20"/>
                <w:szCs w:val="20"/>
              </w:rPr>
              <w:t xml:space="preserve">difficulty breathing; </w:t>
            </w:r>
            <w:r w:rsidRPr="00681BB0">
              <w:rPr>
                <w:rFonts w:cstheme="minorHAnsi"/>
                <w:color w:val="000000"/>
                <w:kern w:val="0"/>
                <w:sz w:val="20"/>
                <w:szCs w:val="20"/>
              </w:rPr>
              <w:t>47% versus 44% with post discharge lethargy</w:t>
            </w:r>
          </w:p>
        </w:tc>
      </w:tr>
    </w:tbl>
    <w:p w14:paraId="4E44171B" w14:textId="19B90E21" w:rsidR="0093307D" w:rsidRPr="00681BB0" w:rsidRDefault="000F61EE" w:rsidP="0093307D">
      <w:pPr>
        <w:rPr>
          <w:rFonts w:cstheme="minorHAnsi"/>
          <w:sz w:val="28"/>
          <w:szCs w:val="20"/>
        </w:rPr>
      </w:pPr>
      <w:bookmarkStart w:id="0" w:name="_GoBack"/>
      <w:r>
        <w:rPr>
          <w:rFonts w:cstheme="minorHAnsi"/>
          <w:b/>
          <w:sz w:val="28"/>
          <w:szCs w:val="20"/>
        </w:rPr>
        <w:t>Additional file</w:t>
      </w:r>
      <w:bookmarkEnd w:id="0"/>
      <w:r>
        <w:rPr>
          <w:rFonts w:cstheme="minorHAnsi"/>
          <w:b/>
          <w:sz w:val="28"/>
          <w:szCs w:val="20"/>
        </w:rPr>
        <w:t xml:space="preserve"> 5:</w:t>
      </w:r>
      <w:r w:rsidR="0093307D" w:rsidRPr="00681BB0">
        <w:rPr>
          <w:rFonts w:cstheme="minorHAnsi"/>
          <w:b/>
          <w:sz w:val="28"/>
          <w:szCs w:val="20"/>
        </w:rPr>
        <w:t xml:space="preserve"> Table </w:t>
      </w:r>
      <w:r>
        <w:rPr>
          <w:rFonts w:cstheme="minorHAnsi"/>
          <w:b/>
          <w:sz w:val="28"/>
          <w:szCs w:val="20"/>
        </w:rPr>
        <w:t>S</w:t>
      </w:r>
      <w:r w:rsidR="0093307D" w:rsidRPr="00681BB0">
        <w:rPr>
          <w:rFonts w:cstheme="minorHAnsi"/>
          <w:b/>
          <w:sz w:val="28"/>
          <w:szCs w:val="20"/>
        </w:rPr>
        <w:t>4:</w:t>
      </w:r>
      <w:r w:rsidR="007C23C6" w:rsidRPr="00681BB0">
        <w:rPr>
          <w:rFonts w:cstheme="minorHAnsi"/>
          <w:sz w:val="28"/>
          <w:szCs w:val="20"/>
        </w:rPr>
        <w:t xml:space="preserve"> </w:t>
      </w:r>
      <w:r w:rsidR="0093307D" w:rsidRPr="00681BB0">
        <w:rPr>
          <w:rFonts w:cstheme="minorHAnsi"/>
          <w:sz w:val="28"/>
          <w:szCs w:val="20"/>
        </w:rPr>
        <w:t>Summary of secondar</w:t>
      </w:r>
      <w:r w:rsidR="007B52AF" w:rsidRPr="00681BB0">
        <w:rPr>
          <w:rFonts w:cstheme="minorHAnsi"/>
          <w:sz w:val="28"/>
          <w:szCs w:val="20"/>
        </w:rPr>
        <w:t xml:space="preserve">y outcome among the reference </w:t>
      </w:r>
    </w:p>
    <w:p w14:paraId="30775F8C" w14:textId="77777777" w:rsidR="004379A6" w:rsidRPr="00681BB0" w:rsidRDefault="004379A6" w:rsidP="0093307D">
      <w:pPr>
        <w:tabs>
          <w:tab w:val="left" w:pos="5820"/>
        </w:tabs>
        <w:ind w:firstLineChars="200" w:firstLine="400"/>
        <w:rPr>
          <w:rFonts w:cstheme="minorHAnsi"/>
          <w:sz w:val="20"/>
          <w:szCs w:val="20"/>
        </w:rPr>
      </w:pPr>
    </w:p>
    <w:p w14:paraId="14151686" w14:textId="2D353D5A" w:rsidR="0093307D" w:rsidRPr="00681BB0" w:rsidRDefault="00681BB0" w:rsidP="00681BB0">
      <w:pPr>
        <w:tabs>
          <w:tab w:val="left" w:pos="5820"/>
        </w:tabs>
        <w:ind w:firstLineChars="200" w:firstLine="400"/>
        <w:rPr>
          <w:rFonts w:cstheme="minorHAnsi"/>
          <w:sz w:val="20"/>
          <w:szCs w:val="20"/>
        </w:rPr>
      </w:pPr>
      <w:r w:rsidRPr="00681BB0">
        <w:rPr>
          <w:rFonts w:cstheme="minorHAnsi"/>
          <w:sz w:val="20"/>
          <w:szCs w:val="20"/>
        </w:rPr>
        <w:t xml:space="preserve">Abbreviation: HB: hematoma block; PSA: </w:t>
      </w:r>
      <w:r w:rsidRPr="00681BB0">
        <w:rPr>
          <w:rFonts w:cstheme="minorHAnsi"/>
          <w:kern w:val="0"/>
          <w:sz w:val="20"/>
          <w:szCs w:val="20"/>
        </w:rPr>
        <w:t>procedural sedation and</w:t>
      </w:r>
      <w:r w:rsidRPr="00681BB0">
        <w:rPr>
          <w:rFonts w:cstheme="minorHAnsi"/>
          <w:sz w:val="20"/>
          <w:szCs w:val="20"/>
        </w:rPr>
        <w:t xml:space="preserve"> a</w:t>
      </w:r>
      <w:r w:rsidRPr="00681BB0">
        <w:rPr>
          <w:rFonts w:cstheme="minorHAnsi"/>
          <w:kern w:val="0"/>
          <w:sz w:val="20"/>
          <w:szCs w:val="20"/>
        </w:rPr>
        <w:t>nesthesia; AE: adverse effect</w:t>
      </w:r>
    </w:p>
    <w:sectPr w:rsidR="0093307D" w:rsidRPr="00681BB0" w:rsidSect="0093307D">
      <w:pgSz w:w="16840" w:h="11900" w:orient="landscape"/>
      <w:pgMar w:top="1077" w:right="1440" w:bottom="1077" w:left="144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977DDC" w14:textId="77777777" w:rsidR="005C778E" w:rsidRDefault="005C778E" w:rsidP="004379A6">
      <w:r>
        <w:separator/>
      </w:r>
    </w:p>
  </w:endnote>
  <w:endnote w:type="continuationSeparator" w:id="0">
    <w:p w14:paraId="4F702A13" w14:textId="77777777" w:rsidR="005C778E" w:rsidRDefault="005C778E" w:rsidP="00437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E63987" w14:textId="77777777" w:rsidR="005C778E" w:rsidRDefault="005C778E" w:rsidP="004379A6">
      <w:r>
        <w:separator/>
      </w:r>
    </w:p>
  </w:footnote>
  <w:footnote w:type="continuationSeparator" w:id="0">
    <w:p w14:paraId="07D45FD4" w14:textId="77777777" w:rsidR="005C778E" w:rsidRDefault="005C778E" w:rsidP="004379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E30C48"/>
    <w:rsid w:val="00001EF9"/>
    <w:rsid w:val="00030ECD"/>
    <w:rsid w:val="00061851"/>
    <w:rsid w:val="00076754"/>
    <w:rsid w:val="00080CD7"/>
    <w:rsid w:val="0008242D"/>
    <w:rsid w:val="000839B0"/>
    <w:rsid w:val="00085517"/>
    <w:rsid w:val="00086A83"/>
    <w:rsid w:val="000926CB"/>
    <w:rsid w:val="000A37B4"/>
    <w:rsid w:val="000C6F50"/>
    <w:rsid w:val="000D5361"/>
    <w:rsid w:val="000E0E67"/>
    <w:rsid w:val="000E7D33"/>
    <w:rsid w:val="000F61EE"/>
    <w:rsid w:val="001161D4"/>
    <w:rsid w:val="0014443A"/>
    <w:rsid w:val="00152A06"/>
    <w:rsid w:val="00154607"/>
    <w:rsid w:val="00166BCD"/>
    <w:rsid w:val="001933E2"/>
    <w:rsid w:val="00194E96"/>
    <w:rsid w:val="001B3AF4"/>
    <w:rsid w:val="001B44BA"/>
    <w:rsid w:val="001B6BDB"/>
    <w:rsid w:val="001D1C70"/>
    <w:rsid w:val="001D2090"/>
    <w:rsid w:val="001D27F7"/>
    <w:rsid w:val="001E6DDF"/>
    <w:rsid w:val="001E70DE"/>
    <w:rsid w:val="00203AFA"/>
    <w:rsid w:val="002053BD"/>
    <w:rsid w:val="00212B4B"/>
    <w:rsid w:val="00216E04"/>
    <w:rsid w:val="00224FCE"/>
    <w:rsid w:val="00227182"/>
    <w:rsid w:val="00247020"/>
    <w:rsid w:val="002738D7"/>
    <w:rsid w:val="00274C82"/>
    <w:rsid w:val="002847CD"/>
    <w:rsid w:val="00284F60"/>
    <w:rsid w:val="002977C9"/>
    <w:rsid w:val="002A0233"/>
    <w:rsid w:val="002A2F0C"/>
    <w:rsid w:val="002B7B40"/>
    <w:rsid w:val="002D5AA7"/>
    <w:rsid w:val="002E5587"/>
    <w:rsid w:val="003132D0"/>
    <w:rsid w:val="0032215E"/>
    <w:rsid w:val="003404E1"/>
    <w:rsid w:val="003445BC"/>
    <w:rsid w:val="00363AD7"/>
    <w:rsid w:val="00371CFB"/>
    <w:rsid w:val="00371FC5"/>
    <w:rsid w:val="0037202B"/>
    <w:rsid w:val="003747DE"/>
    <w:rsid w:val="003A07F0"/>
    <w:rsid w:val="003A45B0"/>
    <w:rsid w:val="003A7128"/>
    <w:rsid w:val="003B1DFC"/>
    <w:rsid w:val="003B3A84"/>
    <w:rsid w:val="003B7D06"/>
    <w:rsid w:val="003D14C8"/>
    <w:rsid w:val="003D2182"/>
    <w:rsid w:val="003F6950"/>
    <w:rsid w:val="00404748"/>
    <w:rsid w:val="004118F3"/>
    <w:rsid w:val="00413B59"/>
    <w:rsid w:val="00427225"/>
    <w:rsid w:val="004379A6"/>
    <w:rsid w:val="004518E5"/>
    <w:rsid w:val="00461655"/>
    <w:rsid w:val="00463B47"/>
    <w:rsid w:val="004730AB"/>
    <w:rsid w:val="00480F88"/>
    <w:rsid w:val="004A0FB0"/>
    <w:rsid w:val="004A3941"/>
    <w:rsid w:val="004E3CA6"/>
    <w:rsid w:val="004F6BA2"/>
    <w:rsid w:val="00535B99"/>
    <w:rsid w:val="005636CB"/>
    <w:rsid w:val="005849DA"/>
    <w:rsid w:val="005866D2"/>
    <w:rsid w:val="00595437"/>
    <w:rsid w:val="005C3564"/>
    <w:rsid w:val="005C778E"/>
    <w:rsid w:val="005E7FF6"/>
    <w:rsid w:val="005F742D"/>
    <w:rsid w:val="00610E69"/>
    <w:rsid w:val="00630C11"/>
    <w:rsid w:val="00642198"/>
    <w:rsid w:val="00646219"/>
    <w:rsid w:val="00681BB0"/>
    <w:rsid w:val="00692A58"/>
    <w:rsid w:val="00694FC8"/>
    <w:rsid w:val="006A4A97"/>
    <w:rsid w:val="006A6238"/>
    <w:rsid w:val="006B3764"/>
    <w:rsid w:val="006B59FE"/>
    <w:rsid w:val="006C57F1"/>
    <w:rsid w:val="006E49DD"/>
    <w:rsid w:val="006E77FD"/>
    <w:rsid w:val="006F54D3"/>
    <w:rsid w:val="006F7E67"/>
    <w:rsid w:val="00700840"/>
    <w:rsid w:val="007137FE"/>
    <w:rsid w:val="0071477D"/>
    <w:rsid w:val="007210B4"/>
    <w:rsid w:val="007259C9"/>
    <w:rsid w:val="007A15CA"/>
    <w:rsid w:val="007B2F2D"/>
    <w:rsid w:val="007B52AF"/>
    <w:rsid w:val="007B738C"/>
    <w:rsid w:val="007C010B"/>
    <w:rsid w:val="007C23C6"/>
    <w:rsid w:val="007C4298"/>
    <w:rsid w:val="007F5EF2"/>
    <w:rsid w:val="00807015"/>
    <w:rsid w:val="00836BC2"/>
    <w:rsid w:val="00851AAF"/>
    <w:rsid w:val="00855E59"/>
    <w:rsid w:val="00884759"/>
    <w:rsid w:val="00893204"/>
    <w:rsid w:val="00895D85"/>
    <w:rsid w:val="008B6AC3"/>
    <w:rsid w:val="008C4C3E"/>
    <w:rsid w:val="008E0B83"/>
    <w:rsid w:val="008E31D4"/>
    <w:rsid w:val="00915FDD"/>
    <w:rsid w:val="0093307D"/>
    <w:rsid w:val="009618B6"/>
    <w:rsid w:val="00971CF1"/>
    <w:rsid w:val="0097356D"/>
    <w:rsid w:val="00983CF2"/>
    <w:rsid w:val="009C6E63"/>
    <w:rsid w:val="009D1B4E"/>
    <w:rsid w:val="009D3AB1"/>
    <w:rsid w:val="00A3463A"/>
    <w:rsid w:val="00A36AC3"/>
    <w:rsid w:val="00A517B7"/>
    <w:rsid w:val="00A63DA0"/>
    <w:rsid w:val="00A74630"/>
    <w:rsid w:val="00A83887"/>
    <w:rsid w:val="00AC44BC"/>
    <w:rsid w:val="00AD75BD"/>
    <w:rsid w:val="00AE513C"/>
    <w:rsid w:val="00AE7CF2"/>
    <w:rsid w:val="00AF3C0D"/>
    <w:rsid w:val="00B169C0"/>
    <w:rsid w:val="00B43CE6"/>
    <w:rsid w:val="00B477AE"/>
    <w:rsid w:val="00B52BBB"/>
    <w:rsid w:val="00B635E0"/>
    <w:rsid w:val="00B66CAC"/>
    <w:rsid w:val="00B950E7"/>
    <w:rsid w:val="00BA16CA"/>
    <w:rsid w:val="00BA385E"/>
    <w:rsid w:val="00BC5F24"/>
    <w:rsid w:val="00BD39C9"/>
    <w:rsid w:val="00BE39FC"/>
    <w:rsid w:val="00BE7DB1"/>
    <w:rsid w:val="00C1601B"/>
    <w:rsid w:val="00C347F9"/>
    <w:rsid w:val="00C47032"/>
    <w:rsid w:val="00C632CE"/>
    <w:rsid w:val="00C75064"/>
    <w:rsid w:val="00CA65D7"/>
    <w:rsid w:val="00CB7D60"/>
    <w:rsid w:val="00CC58EC"/>
    <w:rsid w:val="00CE70C9"/>
    <w:rsid w:val="00CF3D84"/>
    <w:rsid w:val="00D24BD8"/>
    <w:rsid w:val="00D5217B"/>
    <w:rsid w:val="00D61CB4"/>
    <w:rsid w:val="00D76CED"/>
    <w:rsid w:val="00D83E57"/>
    <w:rsid w:val="00D8428A"/>
    <w:rsid w:val="00DB173B"/>
    <w:rsid w:val="00DB73D4"/>
    <w:rsid w:val="00DC44E5"/>
    <w:rsid w:val="00DD1A6B"/>
    <w:rsid w:val="00DD3B21"/>
    <w:rsid w:val="00DE4595"/>
    <w:rsid w:val="00DF4C16"/>
    <w:rsid w:val="00E1306E"/>
    <w:rsid w:val="00E30C48"/>
    <w:rsid w:val="00E34CFA"/>
    <w:rsid w:val="00E35E0A"/>
    <w:rsid w:val="00E50064"/>
    <w:rsid w:val="00E5212C"/>
    <w:rsid w:val="00E54FF9"/>
    <w:rsid w:val="00E56E96"/>
    <w:rsid w:val="00E72ABF"/>
    <w:rsid w:val="00E868D7"/>
    <w:rsid w:val="00E96C08"/>
    <w:rsid w:val="00EB78D5"/>
    <w:rsid w:val="00EC1289"/>
    <w:rsid w:val="00ED1F48"/>
    <w:rsid w:val="00F01B6E"/>
    <w:rsid w:val="00F02B68"/>
    <w:rsid w:val="00F03B8E"/>
    <w:rsid w:val="00F150C4"/>
    <w:rsid w:val="00F15B45"/>
    <w:rsid w:val="00F20511"/>
    <w:rsid w:val="00F23152"/>
    <w:rsid w:val="00F3299C"/>
    <w:rsid w:val="00F33071"/>
    <w:rsid w:val="00F41196"/>
    <w:rsid w:val="00F55F39"/>
    <w:rsid w:val="00F61E2A"/>
    <w:rsid w:val="00F664A2"/>
    <w:rsid w:val="00F73547"/>
    <w:rsid w:val="00F83010"/>
    <w:rsid w:val="00F855CE"/>
    <w:rsid w:val="00F9154D"/>
    <w:rsid w:val="00F9204A"/>
    <w:rsid w:val="00F94D30"/>
    <w:rsid w:val="00FB3D9F"/>
    <w:rsid w:val="00FC0EB4"/>
    <w:rsid w:val="00FD250D"/>
    <w:rsid w:val="00FD55D2"/>
    <w:rsid w:val="00FD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0158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C48"/>
    <w:pPr>
      <w:widowControl w:val="0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D76CED"/>
    <w:pPr>
      <w:widowControl/>
    </w:pPr>
    <w:rPr>
      <w:rFonts w:ascii="Helvetica" w:hAnsi="Helvetica" w:cs="Times New Roman"/>
      <w:kern w:val="0"/>
      <w:sz w:val="12"/>
      <w:szCs w:val="12"/>
    </w:rPr>
  </w:style>
  <w:style w:type="character" w:customStyle="1" w:styleId="s1">
    <w:name w:val="s1"/>
    <w:basedOn w:val="DefaultParagraphFont"/>
    <w:rsid w:val="00CA65D7"/>
    <w:rPr>
      <w:rFonts w:ascii="Times" w:hAnsi="Times" w:hint="default"/>
      <w:sz w:val="9"/>
      <w:szCs w:val="9"/>
    </w:rPr>
  </w:style>
  <w:style w:type="paragraph" w:styleId="Header">
    <w:name w:val="header"/>
    <w:basedOn w:val="Normal"/>
    <w:link w:val="HeaderChar"/>
    <w:uiPriority w:val="99"/>
    <w:unhideWhenUsed/>
    <w:rsid w:val="004379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379A6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379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379A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379A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9A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9A6"/>
    <w:rPr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9A6"/>
    <w:rPr>
      <w:b/>
      <w:bCs/>
      <w:szCs w:val="22"/>
    </w:rPr>
  </w:style>
  <w:style w:type="paragraph" w:styleId="Revision">
    <w:name w:val="Revision"/>
    <w:hidden/>
    <w:uiPriority w:val="99"/>
    <w:semiHidden/>
    <w:rsid w:val="004379A6"/>
    <w:rPr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9A6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9A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C48"/>
    <w:pPr>
      <w:widowControl w:val="0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D76CED"/>
    <w:pPr>
      <w:widowControl/>
    </w:pPr>
    <w:rPr>
      <w:rFonts w:ascii="Helvetica" w:hAnsi="Helvetica" w:cs="Times New Roman"/>
      <w:kern w:val="0"/>
      <w:sz w:val="12"/>
      <w:szCs w:val="12"/>
    </w:rPr>
  </w:style>
  <w:style w:type="character" w:customStyle="1" w:styleId="s1">
    <w:name w:val="s1"/>
    <w:basedOn w:val="DefaultParagraphFont"/>
    <w:rsid w:val="00CA65D7"/>
    <w:rPr>
      <w:rFonts w:ascii="Times" w:hAnsi="Times" w:hint="default"/>
      <w:sz w:val="9"/>
      <w:szCs w:val="9"/>
    </w:rPr>
  </w:style>
  <w:style w:type="paragraph" w:styleId="Header">
    <w:name w:val="header"/>
    <w:basedOn w:val="Normal"/>
    <w:link w:val="HeaderChar"/>
    <w:uiPriority w:val="99"/>
    <w:unhideWhenUsed/>
    <w:rsid w:val="004379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379A6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379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379A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379A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9A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9A6"/>
    <w:rPr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9A6"/>
    <w:rPr>
      <w:b/>
      <w:bCs/>
      <w:szCs w:val="22"/>
    </w:rPr>
  </w:style>
  <w:style w:type="paragraph" w:styleId="Revision">
    <w:name w:val="Revision"/>
    <w:hidden/>
    <w:uiPriority w:val="99"/>
    <w:semiHidden/>
    <w:rsid w:val="004379A6"/>
    <w:rPr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9A6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9A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1102</Characters>
  <Application>Microsoft Office Word</Application>
  <DocSecurity>0</DocSecurity>
  <Lines>47</Lines>
  <Paragraphs>41</Paragraphs>
  <ScaleCrop>false</ScaleCrop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陳油餅沾絲</dc:creator>
  <cp:keywords/>
  <dc:description/>
  <cp:lastModifiedBy>GCREDO</cp:lastModifiedBy>
  <cp:revision>4</cp:revision>
  <dcterms:created xsi:type="dcterms:W3CDTF">2017-08-23T02:10:00Z</dcterms:created>
  <dcterms:modified xsi:type="dcterms:W3CDTF">2018-03-22T11:16:00Z</dcterms:modified>
</cp:coreProperties>
</file>