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81D" w:rsidRPr="0010681D" w:rsidRDefault="00D0203F" w:rsidP="0010681D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bookmarkStart w:id="0" w:name="_GoBack"/>
      <w:bookmarkEnd w:id="0"/>
      <w:r w:rsidRPr="00D0203F">
        <w:rPr>
          <w:rFonts w:ascii="Arial" w:hAnsi="Arial" w:cs="Arial"/>
          <w:b/>
          <w:lang w:val="en-US"/>
        </w:rPr>
        <w:t>Efficacy and safety of treating chronic nonspecific low back pain with radial extracorporeal shock wave therapy (rESWT), rESWT combined with celecoxib and eperisone (C+E) or C+E alone: a prospective, randomized trial</w:t>
      </w:r>
    </w:p>
    <w:p w:rsidR="0010681D" w:rsidRPr="0010681D" w:rsidRDefault="0010681D" w:rsidP="0010681D">
      <w:pPr>
        <w:spacing w:after="0" w:line="240" w:lineRule="auto"/>
        <w:rPr>
          <w:rFonts w:ascii="Arial" w:hAnsi="Arial" w:cs="Arial"/>
          <w:lang w:val="en-US"/>
        </w:rPr>
      </w:pPr>
    </w:p>
    <w:p w:rsidR="0010681D" w:rsidRPr="0010681D" w:rsidRDefault="0010681D" w:rsidP="0010681D">
      <w:pPr>
        <w:spacing w:after="0" w:line="240" w:lineRule="auto"/>
        <w:jc w:val="center"/>
        <w:rPr>
          <w:rFonts w:ascii="Arial" w:hAnsi="Arial" w:cs="Arial"/>
        </w:rPr>
      </w:pPr>
      <w:r w:rsidRPr="0010681D">
        <w:rPr>
          <w:rFonts w:ascii="Arial" w:hAnsi="Arial" w:cs="Arial"/>
        </w:rPr>
        <w:t>X. Guo, L. Li, Z. Yan, Y. Li, Z. Peng, Y. Yang, Y. Zhang, C. Schmitz, Z. Feng</w:t>
      </w:r>
    </w:p>
    <w:p w:rsidR="0010681D" w:rsidRPr="0010681D" w:rsidRDefault="0010681D" w:rsidP="0010681D">
      <w:pPr>
        <w:spacing w:after="0" w:line="240" w:lineRule="auto"/>
        <w:rPr>
          <w:rFonts w:ascii="Arial" w:hAnsi="Arial" w:cs="Arial"/>
        </w:rPr>
      </w:pPr>
    </w:p>
    <w:p w:rsidR="00D25464" w:rsidRPr="00D0203F" w:rsidRDefault="00D25464" w:rsidP="0010681D">
      <w:pPr>
        <w:spacing w:after="0" w:line="240" w:lineRule="auto"/>
        <w:rPr>
          <w:rFonts w:ascii="Arial" w:hAnsi="Arial" w:cs="Arial"/>
          <w:b/>
        </w:rPr>
      </w:pPr>
    </w:p>
    <w:p w:rsidR="00D25464" w:rsidRPr="00D0203F" w:rsidRDefault="00D25464" w:rsidP="0010681D">
      <w:pPr>
        <w:spacing w:after="0" w:line="240" w:lineRule="auto"/>
        <w:rPr>
          <w:rFonts w:ascii="Arial" w:hAnsi="Arial" w:cs="Arial"/>
          <w:b/>
        </w:rPr>
      </w:pPr>
    </w:p>
    <w:p w:rsidR="008F7614" w:rsidRDefault="0010681D" w:rsidP="0010681D">
      <w:pPr>
        <w:spacing w:after="0" w:line="240" w:lineRule="auto"/>
        <w:rPr>
          <w:rFonts w:ascii="Arial" w:hAnsi="Arial" w:cs="Arial"/>
          <w:lang w:val="en-US"/>
        </w:rPr>
      </w:pPr>
      <w:r w:rsidRPr="0010681D">
        <w:rPr>
          <w:rFonts w:ascii="Arial" w:hAnsi="Arial" w:cs="Arial"/>
          <w:b/>
          <w:lang w:val="en-US"/>
        </w:rPr>
        <w:t xml:space="preserve">Additional File </w:t>
      </w:r>
      <w:r w:rsidR="002B2788">
        <w:rPr>
          <w:rFonts w:ascii="Arial" w:hAnsi="Arial" w:cs="Arial"/>
          <w:b/>
          <w:lang w:val="en-US"/>
        </w:rPr>
        <w:t>2</w:t>
      </w:r>
      <w:r w:rsidRPr="0010681D">
        <w:rPr>
          <w:rFonts w:ascii="Arial" w:hAnsi="Arial" w:cs="Arial"/>
          <w:lang w:val="en-US"/>
        </w:rPr>
        <w:t xml:space="preserve"> </w:t>
      </w:r>
      <w:r w:rsidR="002B2788" w:rsidRPr="002B2788">
        <w:rPr>
          <w:rFonts w:ascii="Arial" w:hAnsi="Arial" w:cs="Arial"/>
          <w:lang w:val="en-US"/>
        </w:rPr>
        <w:t>Studies listed in the PEDro database [</w:t>
      </w:r>
      <w:r w:rsidR="002B2788">
        <w:rPr>
          <w:rFonts w:ascii="Arial" w:hAnsi="Arial" w:cs="Arial"/>
          <w:lang w:val="en-US"/>
        </w:rPr>
        <w:t>1</w:t>
      </w:r>
      <w:r w:rsidR="002B2788" w:rsidRPr="002B2788">
        <w:rPr>
          <w:rFonts w:ascii="Arial" w:hAnsi="Arial" w:cs="Arial"/>
          <w:lang w:val="en-US"/>
        </w:rPr>
        <w:t>] in which the efficacy of non-pharmacological, conservative treatments in the management of low back pain (LBP) was compared with the efficacy of pharmacological treatments and the combination thereof.</w:t>
      </w:r>
      <w:r w:rsidR="002B2788">
        <w:rPr>
          <w:rFonts w:ascii="Arial" w:hAnsi="Arial" w:cs="Arial"/>
          <w:lang w:val="en-US"/>
        </w:rPr>
        <w:t xml:space="preserve"> Abbreviation</w:t>
      </w:r>
      <w:r w:rsidR="008F7614">
        <w:rPr>
          <w:rFonts w:ascii="Arial" w:hAnsi="Arial" w:cs="Arial"/>
          <w:lang w:val="en-US"/>
        </w:rPr>
        <w:t xml:space="preserve">s, W, week; SD, standard deviation; </w:t>
      </w:r>
      <w:r w:rsidR="008F7614" w:rsidRPr="008F7614">
        <w:rPr>
          <w:rFonts w:ascii="Arial" w:hAnsi="Arial" w:cs="Arial"/>
          <w:lang w:val="en-US"/>
        </w:rPr>
        <w:t>&gt;, the former therapy was more effective than the latter therapy</w:t>
      </w:r>
      <w:r w:rsidR="008F7614">
        <w:rPr>
          <w:rFonts w:ascii="Arial" w:hAnsi="Arial" w:cs="Arial"/>
          <w:lang w:val="en-US"/>
        </w:rPr>
        <w:t xml:space="preserve">. </w:t>
      </w:r>
    </w:p>
    <w:p w:rsidR="008F7614" w:rsidRDefault="008F7614" w:rsidP="0010681D">
      <w:p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*,</w:t>
      </w:r>
      <w:r w:rsidRPr="008F7614">
        <w:rPr>
          <w:rFonts w:ascii="Arial" w:hAnsi="Arial" w:cs="Arial"/>
          <w:lang w:val="en-US"/>
        </w:rPr>
        <w:t xml:space="preserve">respectively </w:t>
      </w:r>
      <w:r>
        <w:rPr>
          <w:rFonts w:ascii="Arial" w:hAnsi="Arial" w:cs="Arial"/>
          <w:lang w:val="en-US"/>
        </w:rPr>
        <w:t>d</w:t>
      </w:r>
      <w:r w:rsidRPr="008F7614">
        <w:rPr>
          <w:rFonts w:ascii="Arial" w:hAnsi="Arial" w:cs="Arial"/>
          <w:lang w:val="en-US"/>
        </w:rPr>
        <w:t xml:space="preserve">iazepam (5 mg), Hartmann's solution (5% </w:t>
      </w:r>
      <w:r>
        <w:rPr>
          <w:rFonts w:ascii="Arial" w:hAnsi="Arial" w:cs="Arial"/>
          <w:lang w:val="en-US"/>
        </w:rPr>
        <w:t>d</w:t>
      </w:r>
      <w:r w:rsidRPr="008F7614">
        <w:rPr>
          <w:rFonts w:ascii="Arial" w:hAnsi="Arial" w:cs="Arial"/>
          <w:lang w:val="en-US"/>
        </w:rPr>
        <w:t xml:space="preserve">extrose in 0.9% NaCl), </w:t>
      </w:r>
      <w:r>
        <w:rPr>
          <w:rFonts w:ascii="Arial" w:hAnsi="Arial" w:cs="Arial"/>
          <w:lang w:val="en-US"/>
        </w:rPr>
        <w:t>p</w:t>
      </w:r>
      <w:r w:rsidRPr="008F7614">
        <w:rPr>
          <w:rFonts w:ascii="Arial" w:hAnsi="Arial" w:cs="Arial"/>
          <w:lang w:val="en-US"/>
        </w:rPr>
        <w:t xml:space="preserve">aracetamol (1 g), </w:t>
      </w:r>
      <w:r>
        <w:rPr>
          <w:rFonts w:ascii="Arial" w:hAnsi="Arial" w:cs="Arial"/>
          <w:lang w:val="en-US"/>
        </w:rPr>
        <w:t>p</w:t>
      </w:r>
      <w:r w:rsidRPr="008F7614">
        <w:rPr>
          <w:rFonts w:ascii="Arial" w:hAnsi="Arial" w:cs="Arial"/>
          <w:lang w:val="en-US"/>
        </w:rPr>
        <w:t xml:space="preserve">aracetamol (500 mg) + </w:t>
      </w:r>
      <w:r>
        <w:rPr>
          <w:rFonts w:ascii="Arial" w:hAnsi="Arial" w:cs="Arial"/>
          <w:lang w:val="en-US"/>
        </w:rPr>
        <w:t>c</w:t>
      </w:r>
      <w:r w:rsidRPr="008F7614">
        <w:rPr>
          <w:rFonts w:ascii="Arial" w:hAnsi="Arial" w:cs="Arial"/>
          <w:lang w:val="en-US"/>
        </w:rPr>
        <w:t xml:space="preserve">odeine (30 mg), </w:t>
      </w:r>
      <w:r>
        <w:rPr>
          <w:rFonts w:ascii="Arial" w:hAnsi="Arial" w:cs="Arial"/>
          <w:lang w:val="en-US"/>
        </w:rPr>
        <w:t>t</w:t>
      </w:r>
      <w:r w:rsidRPr="008F7614">
        <w:rPr>
          <w:rFonts w:ascii="Arial" w:hAnsi="Arial" w:cs="Arial"/>
          <w:lang w:val="en-US"/>
        </w:rPr>
        <w:t xml:space="preserve">ramadol (50-100 mg), </w:t>
      </w:r>
      <w:r>
        <w:rPr>
          <w:rFonts w:ascii="Arial" w:hAnsi="Arial" w:cs="Arial"/>
          <w:lang w:val="en-US"/>
        </w:rPr>
        <w:t>d</w:t>
      </w:r>
      <w:r w:rsidRPr="008F7614">
        <w:rPr>
          <w:rFonts w:ascii="Arial" w:hAnsi="Arial" w:cs="Arial"/>
          <w:lang w:val="en-US"/>
        </w:rPr>
        <w:t xml:space="preserve">extropropoxyphene (32.5 mg) + </w:t>
      </w:r>
      <w:r>
        <w:rPr>
          <w:rFonts w:ascii="Arial" w:hAnsi="Arial" w:cs="Arial"/>
          <w:lang w:val="en-US"/>
        </w:rPr>
        <w:t>p</w:t>
      </w:r>
      <w:r w:rsidRPr="008F7614">
        <w:rPr>
          <w:rFonts w:ascii="Arial" w:hAnsi="Arial" w:cs="Arial"/>
          <w:lang w:val="en-US"/>
        </w:rPr>
        <w:t xml:space="preserve">aracetamol (325 mg) or </w:t>
      </w:r>
      <w:r>
        <w:rPr>
          <w:rFonts w:ascii="Arial" w:hAnsi="Arial" w:cs="Arial"/>
          <w:lang w:val="en-US"/>
        </w:rPr>
        <w:t>i</w:t>
      </w:r>
      <w:r w:rsidRPr="008F7614">
        <w:rPr>
          <w:rFonts w:ascii="Arial" w:hAnsi="Arial" w:cs="Arial"/>
          <w:lang w:val="en-US"/>
        </w:rPr>
        <w:t xml:space="preserve">buprofen (400 mg) + </w:t>
      </w:r>
      <w:r>
        <w:rPr>
          <w:rFonts w:ascii="Arial" w:hAnsi="Arial" w:cs="Arial"/>
          <w:lang w:val="en-US"/>
        </w:rPr>
        <w:t>d</w:t>
      </w:r>
      <w:r w:rsidRPr="008F7614">
        <w:rPr>
          <w:rFonts w:ascii="Arial" w:hAnsi="Arial" w:cs="Arial"/>
          <w:lang w:val="en-US"/>
        </w:rPr>
        <w:t xml:space="preserve">iclofenac (50 mg) + </w:t>
      </w:r>
      <w:r>
        <w:rPr>
          <w:rFonts w:ascii="Arial" w:hAnsi="Arial" w:cs="Arial"/>
          <w:lang w:val="en-US"/>
        </w:rPr>
        <w:t>in</w:t>
      </w:r>
      <w:r w:rsidRPr="008F7614">
        <w:rPr>
          <w:rFonts w:ascii="Arial" w:hAnsi="Arial" w:cs="Arial"/>
          <w:lang w:val="en-US"/>
        </w:rPr>
        <w:t>domethacin (100 mg) as needed; single application</w:t>
      </w:r>
      <w:r>
        <w:rPr>
          <w:rFonts w:ascii="Arial" w:hAnsi="Arial" w:cs="Arial"/>
          <w:lang w:val="en-US"/>
        </w:rPr>
        <w:t>.</w:t>
      </w:r>
    </w:p>
    <w:p w:rsidR="002B2788" w:rsidRDefault="002B2788" w:rsidP="0010681D">
      <w:pPr>
        <w:spacing w:after="0" w:line="240" w:lineRule="auto"/>
        <w:rPr>
          <w:rFonts w:ascii="Arial" w:hAnsi="Arial" w:cs="Arial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2B2788" w:rsidRPr="002B2788" w:rsidTr="002B2788"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</w:tcPr>
          <w:p w:rsidR="002B2788" w:rsidRPr="002B2788" w:rsidRDefault="002B2788" w:rsidP="002B278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2788">
              <w:rPr>
                <w:rFonts w:ascii="Arial" w:hAnsi="Arial" w:cs="Arial"/>
                <w:b/>
                <w:sz w:val="20"/>
                <w:szCs w:val="20"/>
              </w:rPr>
              <w:t>Study</w:t>
            </w:r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2788">
              <w:rPr>
                <w:rFonts w:ascii="Arial" w:hAnsi="Arial" w:cs="Arial"/>
                <w:b/>
                <w:sz w:val="20"/>
                <w:szCs w:val="20"/>
              </w:rPr>
              <w:t>Hancock et al. [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2B2788">
              <w:rPr>
                <w:rFonts w:ascii="Arial" w:hAnsi="Arial" w:cs="Arial"/>
                <w:b/>
                <w:sz w:val="20"/>
                <w:szCs w:val="20"/>
              </w:rPr>
              <w:t>]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2788">
              <w:rPr>
                <w:rFonts w:ascii="Arial" w:hAnsi="Arial" w:cs="Arial"/>
                <w:b/>
                <w:sz w:val="20"/>
                <w:szCs w:val="20"/>
              </w:rPr>
              <w:t>Cohen et al. [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2B2788">
              <w:rPr>
                <w:rFonts w:ascii="Arial" w:hAnsi="Arial" w:cs="Arial"/>
                <w:b/>
                <w:sz w:val="20"/>
                <w:szCs w:val="20"/>
              </w:rPr>
              <w:t>]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2788">
              <w:rPr>
                <w:rFonts w:ascii="Arial" w:hAnsi="Arial" w:cs="Arial"/>
                <w:b/>
                <w:sz w:val="20"/>
                <w:szCs w:val="20"/>
              </w:rPr>
              <w:t>Zaringhalam et al. [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2B2788">
              <w:rPr>
                <w:rFonts w:ascii="Arial" w:hAnsi="Arial" w:cs="Arial"/>
                <w:b/>
                <w:sz w:val="20"/>
                <w:szCs w:val="20"/>
              </w:rPr>
              <w:t>]</w:t>
            </w:r>
          </w:p>
        </w:tc>
      </w:tr>
      <w:tr w:rsidR="002B2788" w:rsidTr="002B2788">
        <w:tc>
          <w:tcPr>
            <w:tcW w:w="2697" w:type="dxa"/>
            <w:tcBorders>
              <w:top w:val="single" w:sz="4" w:space="0" w:color="auto"/>
            </w:tcBorders>
          </w:tcPr>
          <w:p w:rsidR="002B2788" w:rsidRPr="002B2788" w:rsidRDefault="002B2788" w:rsidP="002B2788">
            <w:pPr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Diagnosis</w:t>
            </w:r>
          </w:p>
        </w:tc>
        <w:tc>
          <w:tcPr>
            <w:tcW w:w="2697" w:type="dxa"/>
            <w:tcBorders>
              <w:top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Acute LBP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B2788">
              <w:rPr>
                <w:rFonts w:ascii="Arial" w:hAnsi="Arial" w:cs="Arial"/>
                <w:sz w:val="20"/>
                <w:szCs w:val="20"/>
                <w:lang w:val="en-US"/>
              </w:rPr>
              <w:t>Acute LBP, migraine or ankle sprain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Chronic nonspecific LBP</w:t>
            </w:r>
          </w:p>
        </w:tc>
      </w:tr>
      <w:tr w:rsidR="002B2788" w:rsidTr="002B2788">
        <w:tc>
          <w:tcPr>
            <w:tcW w:w="2697" w:type="dxa"/>
          </w:tcPr>
          <w:p w:rsidR="002B2788" w:rsidRPr="002B2788" w:rsidRDefault="002B2788" w:rsidP="002B2788">
            <w:pPr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Type of study</w:t>
            </w:r>
          </w:p>
        </w:tc>
        <w:tc>
          <w:tcPr>
            <w:tcW w:w="2697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RCT</w:t>
            </w:r>
          </w:p>
        </w:tc>
        <w:tc>
          <w:tcPr>
            <w:tcW w:w="2698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RCT</w:t>
            </w:r>
          </w:p>
        </w:tc>
        <w:tc>
          <w:tcPr>
            <w:tcW w:w="2698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RCT</w:t>
            </w:r>
          </w:p>
        </w:tc>
      </w:tr>
      <w:tr w:rsidR="002B2788" w:rsidTr="002B2788">
        <w:tc>
          <w:tcPr>
            <w:tcW w:w="2697" w:type="dxa"/>
          </w:tcPr>
          <w:p w:rsidR="002B2788" w:rsidRPr="002B2788" w:rsidRDefault="002B2788" w:rsidP="002B2788">
            <w:pPr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No. of subjects</w:t>
            </w:r>
          </w:p>
        </w:tc>
        <w:tc>
          <w:tcPr>
            <w:tcW w:w="2697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2698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528</w:t>
            </w:r>
          </w:p>
        </w:tc>
        <w:tc>
          <w:tcPr>
            <w:tcW w:w="2698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84</w:t>
            </w:r>
          </w:p>
        </w:tc>
      </w:tr>
      <w:tr w:rsidR="002B2788" w:rsidTr="002B2788">
        <w:tc>
          <w:tcPr>
            <w:tcW w:w="2697" w:type="dxa"/>
            <w:tcBorders>
              <w:bottom w:val="single" w:sz="4" w:space="0" w:color="auto"/>
            </w:tcBorders>
          </w:tcPr>
          <w:p w:rsidR="002B2788" w:rsidRPr="002B2788" w:rsidRDefault="002B2788" w:rsidP="002B2788">
            <w:pPr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Follow-up</w:t>
            </w: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W12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1 hour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W5, W10</w:t>
            </w:r>
          </w:p>
        </w:tc>
      </w:tr>
      <w:tr w:rsidR="002B2788" w:rsidRPr="00D0203F" w:rsidTr="002B2788">
        <w:tc>
          <w:tcPr>
            <w:tcW w:w="2697" w:type="dxa"/>
            <w:tcBorders>
              <w:top w:val="single" w:sz="4" w:space="0" w:color="auto"/>
            </w:tcBorders>
          </w:tcPr>
          <w:p w:rsidR="002B2788" w:rsidRPr="002B2788" w:rsidRDefault="002B2788" w:rsidP="002B2788">
            <w:pPr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Treatment 1 (non-pharmacological, conservative)</w:t>
            </w:r>
          </w:p>
        </w:tc>
        <w:tc>
          <w:tcPr>
            <w:tcW w:w="2697" w:type="dxa"/>
            <w:tcBorders>
              <w:top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B2788">
              <w:rPr>
                <w:rFonts w:ascii="Arial" w:hAnsi="Arial" w:cs="Arial"/>
                <w:sz w:val="20"/>
                <w:szCs w:val="20"/>
                <w:lang w:val="en-US"/>
              </w:rPr>
              <w:t>Spinal manipulation (2-3 treatment sessions per week for up to 4 weeks) + placebo drug treatment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Acupuncture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B2788">
              <w:rPr>
                <w:rFonts w:ascii="Arial" w:hAnsi="Arial" w:cs="Arial"/>
                <w:sz w:val="20"/>
                <w:szCs w:val="20"/>
                <w:lang w:val="en-US"/>
              </w:rPr>
              <w:t>Spinal manipulation (2-3 treatment sessions per week for up to 4 weeks) + placebo drug treatment</w:t>
            </w:r>
          </w:p>
        </w:tc>
      </w:tr>
      <w:tr w:rsidR="002B2788" w:rsidTr="002B2788">
        <w:tc>
          <w:tcPr>
            <w:tcW w:w="2697" w:type="dxa"/>
          </w:tcPr>
          <w:p w:rsidR="002B2788" w:rsidRPr="002B2788" w:rsidRDefault="002B2788" w:rsidP="002B2788">
            <w:pPr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697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2698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2698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2B2788" w:rsidTr="002B2788">
        <w:tc>
          <w:tcPr>
            <w:tcW w:w="2697" w:type="dxa"/>
          </w:tcPr>
          <w:p w:rsidR="002B2788" w:rsidRPr="002B2788" w:rsidRDefault="002B2788" w:rsidP="002B2788">
            <w:pPr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VAS at baseline</w:t>
            </w:r>
          </w:p>
        </w:tc>
        <w:tc>
          <w:tcPr>
            <w:tcW w:w="2697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Not provided</w:t>
            </w:r>
          </w:p>
        </w:tc>
        <w:tc>
          <w:tcPr>
            <w:tcW w:w="2698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8.5 ± 1.6 (mean ± SD)</w:t>
            </w:r>
          </w:p>
        </w:tc>
        <w:tc>
          <w:tcPr>
            <w:tcW w:w="2698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6.4 ± 1.8 (mean ± SD)</w:t>
            </w:r>
          </w:p>
        </w:tc>
      </w:tr>
      <w:tr w:rsidR="002B2788" w:rsidTr="002B2788">
        <w:tc>
          <w:tcPr>
            <w:tcW w:w="2697" w:type="dxa"/>
            <w:tcBorders>
              <w:bottom w:val="single" w:sz="4" w:space="0" w:color="auto"/>
            </w:tcBorders>
          </w:tcPr>
          <w:p w:rsidR="002B2788" w:rsidRPr="002B2788" w:rsidRDefault="002B2788" w:rsidP="002B2788">
            <w:pPr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VAS at follow-up</w:t>
            </w: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Not provided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6.6 ± 2.6 (mean ± SD)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:rsidR="008F7614" w:rsidRDefault="002B2788" w:rsidP="008F76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W5: 4.47 ± 1.9</w:t>
            </w:r>
            <w:r w:rsidR="008F76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F7614" w:rsidRPr="002B2788" w:rsidRDefault="008F7614" w:rsidP="008F76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614">
              <w:rPr>
                <w:rFonts w:ascii="Arial" w:hAnsi="Arial" w:cs="Arial"/>
                <w:sz w:val="20"/>
                <w:szCs w:val="20"/>
              </w:rPr>
              <w:t>W10: 5.0 ± 2.0</w:t>
            </w:r>
          </w:p>
        </w:tc>
      </w:tr>
      <w:tr w:rsidR="002B2788" w:rsidTr="002B2788">
        <w:tc>
          <w:tcPr>
            <w:tcW w:w="2697" w:type="dxa"/>
            <w:tcBorders>
              <w:top w:val="single" w:sz="4" w:space="0" w:color="auto"/>
            </w:tcBorders>
          </w:tcPr>
          <w:p w:rsidR="002B2788" w:rsidRPr="002B2788" w:rsidRDefault="002B2788" w:rsidP="002B2788">
            <w:pPr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Treatment 2 (combination)</w:t>
            </w:r>
          </w:p>
        </w:tc>
        <w:tc>
          <w:tcPr>
            <w:tcW w:w="2697" w:type="dxa"/>
            <w:tcBorders>
              <w:top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Spinal manipulation + Paracetamol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Acupuncture + pharmacotherapy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Acupuncture + baclofen</w:t>
            </w:r>
          </w:p>
        </w:tc>
      </w:tr>
      <w:tr w:rsidR="002B2788" w:rsidTr="002B2788">
        <w:tc>
          <w:tcPr>
            <w:tcW w:w="2697" w:type="dxa"/>
          </w:tcPr>
          <w:p w:rsidR="002B2788" w:rsidRPr="002B2788" w:rsidRDefault="002B2788" w:rsidP="002B2788">
            <w:pPr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697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698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2698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2B2788" w:rsidTr="002B2788">
        <w:tc>
          <w:tcPr>
            <w:tcW w:w="2697" w:type="dxa"/>
          </w:tcPr>
          <w:p w:rsidR="002B2788" w:rsidRPr="002B2788" w:rsidRDefault="002B2788" w:rsidP="002B2788">
            <w:pPr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VAS at baseline</w:t>
            </w:r>
          </w:p>
        </w:tc>
        <w:tc>
          <w:tcPr>
            <w:tcW w:w="2697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Not provided</w:t>
            </w:r>
          </w:p>
        </w:tc>
        <w:tc>
          <w:tcPr>
            <w:tcW w:w="2698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8.5 ± 1.6 (mean ± SD)</w:t>
            </w:r>
          </w:p>
        </w:tc>
        <w:tc>
          <w:tcPr>
            <w:tcW w:w="2698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6.5 ± 1.7 (mean ± SD)</w:t>
            </w:r>
          </w:p>
        </w:tc>
      </w:tr>
      <w:tr w:rsidR="002B2788" w:rsidTr="002B2788">
        <w:tc>
          <w:tcPr>
            <w:tcW w:w="2697" w:type="dxa"/>
            <w:tcBorders>
              <w:bottom w:val="single" w:sz="4" w:space="0" w:color="auto"/>
            </w:tcBorders>
          </w:tcPr>
          <w:p w:rsidR="002B2788" w:rsidRPr="002B2788" w:rsidRDefault="002B2788" w:rsidP="002B2788">
            <w:pPr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VAS at follow-up</w:t>
            </w: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Not provided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6.3 ± 2.8 (mean ± SD)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W5: 4.0 ± 1.3</w:t>
            </w:r>
          </w:p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W10: 4.7 ± 1.4</w:t>
            </w:r>
          </w:p>
        </w:tc>
      </w:tr>
      <w:tr w:rsidR="002B2788" w:rsidRPr="00D0203F" w:rsidTr="002B2788">
        <w:tc>
          <w:tcPr>
            <w:tcW w:w="2697" w:type="dxa"/>
            <w:tcBorders>
              <w:top w:val="single" w:sz="4" w:space="0" w:color="auto"/>
            </w:tcBorders>
          </w:tcPr>
          <w:p w:rsidR="002B2788" w:rsidRPr="002B2788" w:rsidRDefault="002B2788" w:rsidP="002B2788">
            <w:pPr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Treatment 3 (pharmacological)</w:t>
            </w:r>
          </w:p>
        </w:tc>
        <w:tc>
          <w:tcPr>
            <w:tcW w:w="2697" w:type="dxa"/>
            <w:tcBorders>
              <w:top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B2788">
              <w:rPr>
                <w:rFonts w:ascii="Arial" w:hAnsi="Arial" w:cs="Arial"/>
                <w:sz w:val="20"/>
                <w:szCs w:val="20"/>
                <w:lang w:val="en-US"/>
              </w:rPr>
              <w:t>Placebo spinal manipulation + Paracetamol (4 × 1g/day for up to 4 weeks)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B2788">
              <w:rPr>
                <w:rFonts w:ascii="Arial" w:hAnsi="Arial" w:cs="Arial"/>
                <w:sz w:val="20"/>
                <w:szCs w:val="20"/>
                <w:lang w:val="en-US"/>
              </w:rPr>
              <w:t>Pharmacotherapy</w:t>
            </w:r>
            <w:r w:rsidR="008F7614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B2788">
              <w:rPr>
                <w:rFonts w:ascii="Arial" w:hAnsi="Arial" w:cs="Arial"/>
                <w:sz w:val="20"/>
                <w:szCs w:val="20"/>
                <w:lang w:val="en-US"/>
              </w:rPr>
              <w:t>Baclofen</w:t>
            </w:r>
          </w:p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B2788">
              <w:rPr>
                <w:rFonts w:ascii="Arial" w:hAnsi="Arial" w:cs="Arial"/>
                <w:sz w:val="20"/>
                <w:szCs w:val="20"/>
                <w:lang w:val="en-US"/>
              </w:rPr>
              <w:t>(2 × 15 mg/day for 5 weeks)</w:t>
            </w:r>
          </w:p>
        </w:tc>
      </w:tr>
      <w:tr w:rsidR="002B2788" w:rsidTr="002B2788">
        <w:tc>
          <w:tcPr>
            <w:tcW w:w="2697" w:type="dxa"/>
          </w:tcPr>
          <w:p w:rsidR="002B2788" w:rsidRPr="002B2788" w:rsidRDefault="002B2788" w:rsidP="002B2788">
            <w:pPr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697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698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2698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2B2788" w:rsidTr="002B2788">
        <w:tc>
          <w:tcPr>
            <w:tcW w:w="2697" w:type="dxa"/>
          </w:tcPr>
          <w:p w:rsidR="002B2788" w:rsidRPr="002B2788" w:rsidRDefault="002B2788" w:rsidP="002B2788">
            <w:pPr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VAS at baseline</w:t>
            </w:r>
          </w:p>
        </w:tc>
        <w:tc>
          <w:tcPr>
            <w:tcW w:w="2697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Not provided</w:t>
            </w:r>
          </w:p>
        </w:tc>
        <w:tc>
          <w:tcPr>
            <w:tcW w:w="2698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8.5 ± 1.6 (mean ± SD)</w:t>
            </w:r>
          </w:p>
        </w:tc>
        <w:tc>
          <w:tcPr>
            <w:tcW w:w="2698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6.5 ± 1.8 (mean ± SD)</w:t>
            </w:r>
          </w:p>
        </w:tc>
      </w:tr>
      <w:tr w:rsidR="002B2788" w:rsidTr="002B2788">
        <w:tc>
          <w:tcPr>
            <w:tcW w:w="2697" w:type="dxa"/>
            <w:tcBorders>
              <w:bottom w:val="single" w:sz="4" w:space="0" w:color="auto"/>
            </w:tcBorders>
          </w:tcPr>
          <w:p w:rsidR="002B2788" w:rsidRPr="002B2788" w:rsidRDefault="002B2788" w:rsidP="002B2788">
            <w:pPr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VAS at follow-up</w:t>
            </w: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Not provided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6.5 ± 2.7 (mean ± SD)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W5: 6.2 ± 2.2</w:t>
            </w:r>
          </w:p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W10: 6.4 ± 2.4</w:t>
            </w:r>
          </w:p>
        </w:tc>
      </w:tr>
      <w:tr w:rsidR="002B2788" w:rsidTr="002B2788">
        <w:tc>
          <w:tcPr>
            <w:tcW w:w="2697" w:type="dxa"/>
            <w:tcBorders>
              <w:top w:val="single" w:sz="4" w:space="0" w:color="auto"/>
            </w:tcBorders>
          </w:tcPr>
          <w:p w:rsidR="002B2788" w:rsidRPr="002B2788" w:rsidRDefault="002B2788" w:rsidP="002B2788">
            <w:pPr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Treatment 4 (additional)</w:t>
            </w:r>
          </w:p>
        </w:tc>
        <w:tc>
          <w:tcPr>
            <w:tcW w:w="2697" w:type="dxa"/>
            <w:tcBorders>
              <w:top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B2788">
              <w:rPr>
                <w:rFonts w:ascii="Arial" w:hAnsi="Arial" w:cs="Arial"/>
                <w:sz w:val="20"/>
                <w:szCs w:val="20"/>
                <w:lang w:val="en-US"/>
              </w:rPr>
              <w:t>Placebo spinal manipulation + placebo drug treatment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---</w:t>
            </w:r>
          </w:p>
        </w:tc>
        <w:tc>
          <w:tcPr>
            <w:tcW w:w="2698" w:type="dxa"/>
            <w:tcBorders>
              <w:top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No pain reduction treatment</w:t>
            </w:r>
          </w:p>
        </w:tc>
      </w:tr>
      <w:tr w:rsidR="002B2788" w:rsidTr="002B2788">
        <w:tc>
          <w:tcPr>
            <w:tcW w:w="2697" w:type="dxa"/>
          </w:tcPr>
          <w:p w:rsidR="002B2788" w:rsidRPr="002B2788" w:rsidRDefault="002B2788" w:rsidP="002B2788">
            <w:pPr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697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698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8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2B2788" w:rsidTr="002B2788">
        <w:tc>
          <w:tcPr>
            <w:tcW w:w="2697" w:type="dxa"/>
          </w:tcPr>
          <w:p w:rsidR="002B2788" w:rsidRPr="002B2788" w:rsidRDefault="002B2788" w:rsidP="002B2788">
            <w:pPr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VAS at baseline</w:t>
            </w:r>
          </w:p>
        </w:tc>
        <w:tc>
          <w:tcPr>
            <w:tcW w:w="2697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Not provided</w:t>
            </w:r>
          </w:p>
        </w:tc>
        <w:tc>
          <w:tcPr>
            <w:tcW w:w="2698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8" w:type="dxa"/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6.5 ± 1.9 (mean ± SD)</w:t>
            </w:r>
          </w:p>
        </w:tc>
      </w:tr>
      <w:tr w:rsidR="002B2788" w:rsidTr="002B2788">
        <w:tc>
          <w:tcPr>
            <w:tcW w:w="2697" w:type="dxa"/>
            <w:tcBorders>
              <w:bottom w:val="single" w:sz="4" w:space="0" w:color="auto"/>
            </w:tcBorders>
          </w:tcPr>
          <w:p w:rsidR="002B2788" w:rsidRPr="002B2788" w:rsidRDefault="002B2788" w:rsidP="002B2788">
            <w:pPr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VAS at follow-up</w:t>
            </w: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Not provided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W5: 6.4 ± 2.4</w:t>
            </w:r>
          </w:p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W10: 6.4 ± 2.6</w:t>
            </w:r>
          </w:p>
        </w:tc>
      </w:tr>
      <w:tr w:rsidR="002B2788" w:rsidTr="002B2788"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</w:tcPr>
          <w:p w:rsidR="002B2788" w:rsidRPr="002B2788" w:rsidRDefault="002B2788" w:rsidP="002B2788">
            <w:pPr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Outcome</w:t>
            </w:r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---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---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1 &gt; 3 and 1 &gt; 4</w:t>
            </w:r>
          </w:p>
          <w:p w:rsidR="002B2788" w:rsidRPr="002B2788" w:rsidRDefault="002B2788" w:rsidP="002B27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788">
              <w:rPr>
                <w:rFonts w:ascii="Arial" w:hAnsi="Arial" w:cs="Arial"/>
                <w:sz w:val="20"/>
                <w:szCs w:val="20"/>
              </w:rPr>
              <w:t>2 &gt; 3 and 2 &gt; 4</w:t>
            </w:r>
          </w:p>
        </w:tc>
      </w:tr>
    </w:tbl>
    <w:p w:rsidR="002B2788" w:rsidRDefault="002B2788" w:rsidP="0010681D">
      <w:pPr>
        <w:spacing w:after="0" w:line="240" w:lineRule="auto"/>
        <w:rPr>
          <w:rFonts w:ascii="Arial" w:hAnsi="Arial" w:cs="Arial"/>
          <w:lang w:val="en-US"/>
        </w:rPr>
      </w:pPr>
    </w:p>
    <w:p w:rsidR="00D25464" w:rsidRPr="00D25464" w:rsidRDefault="00D25464" w:rsidP="0010681D">
      <w:pPr>
        <w:spacing w:after="0" w:line="240" w:lineRule="auto"/>
        <w:rPr>
          <w:rFonts w:ascii="Arial" w:hAnsi="Arial" w:cs="Arial"/>
          <w:b/>
          <w:lang w:val="en-US"/>
        </w:rPr>
      </w:pPr>
      <w:r w:rsidRPr="00D25464">
        <w:rPr>
          <w:rFonts w:ascii="Arial" w:hAnsi="Arial" w:cs="Arial"/>
          <w:b/>
          <w:lang w:val="en-US"/>
        </w:rPr>
        <w:t>References:</w:t>
      </w:r>
    </w:p>
    <w:p w:rsidR="00D25464" w:rsidRPr="00D25464" w:rsidRDefault="00D25464" w:rsidP="00D25464">
      <w:pPr>
        <w:spacing w:after="0" w:line="240" w:lineRule="auto"/>
        <w:ind w:left="432" w:hanging="432"/>
        <w:rPr>
          <w:rFonts w:ascii="Arial" w:hAnsi="Arial" w:cs="Arial"/>
          <w:sz w:val="20"/>
          <w:szCs w:val="20"/>
          <w:lang w:val="en-US"/>
        </w:rPr>
      </w:pPr>
      <w:r w:rsidRPr="00D25464">
        <w:rPr>
          <w:rFonts w:ascii="Arial" w:hAnsi="Arial" w:cs="Arial"/>
          <w:sz w:val="20"/>
          <w:szCs w:val="20"/>
          <w:lang w:val="en-US"/>
        </w:rPr>
        <w:t>1.</w:t>
      </w:r>
      <w:r w:rsidRPr="00D25464">
        <w:rPr>
          <w:rFonts w:ascii="Arial" w:hAnsi="Arial" w:cs="Arial"/>
          <w:sz w:val="20"/>
          <w:szCs w:val="20"/>
          <w:lang w:val="en-US"/>
        </w:rPr>
        <w:tab/>
        <w:t>www.pedro.org.au [cited 07 December 2020].</w:t>
      </w:r>
    </w:p>
    <w:p w:rsidR="00D25464" w:rsidRPr="00D25464" w:rsidRDefault="00D25464" w:rsidP="00D25464">
      <w:pPr>
        <w:spacing w:after="0" w:line="240" w:lineRule="auto"/>
        <w:ind w:left="432" w:hanging="432"/>
        <w:rPr>
          <w:rFonts w:ascii="Arial" w:hAnsi="Arial" w:cs="Arial"/>
          <w:sz w:val="20"/>
          <w:szCs w:val="20"/>
          <w:lang w:val="en-US"/>
        </w:rPr>
      </w:pPr>
      <w:r w:rsidRPr="00D25464">
        <w:rPr>
          <w:rFonts w:ascii="Arial" w:hAnsi="Arial" w:cs="Arial"/>
          <w:sz w:val="20"/>
          <w:szCs w:val="20"/>
          <w:lang w:val="en-US"/>
        </w:rPr>
        <w:t>2.</w:t>
      </w:r>
      <w:r w:rsidRPr="00D25464">
        <w:rPr>
          <w:rFonts w:ascii="Arial" w:hAnsi="Arial" w:cs="Arial"/>
          <w:sz w:val="20"/>
          <w:szCs w:val="20"/>
          <w:lang w:val="en-US"/>
        </w:rPr>
        <w:tab/>
        <w:t>Hancock MJ, Maher CG, Latimer J, McLachlan AJ, Cooper CW, Day RO, Spindler MF, McAuley JH. Assessment of diclofenac or spinal manipulative therapy, or both, in addition to recommended first-line treatment for acute low back pain: a randomised controlled trial. Lancet. 2007;370(9599):1638-43. doi: 10.1016/S0140-6736(07)61686-9.</w:t>
      </w:r>
    </w:p>
    <w:p w:rsidR="00D25464" w:rsidRPr="00D25464" w:rsidRDefault="00D25464" w:rsidP="00D25464">
      <w:pPr>
        <w:spacing w:after="0" w:line="240" w:lineRule="auto"/>
        <w:ind w:left="432" w:hanging="432"/>
        <w:rPr>
          <w:rFonts w:ascii="Arial" w:hAnsi="Arial" w:cs="Arial"/>
          <w:sz w:val="20"/>
          <w:szCs w:val="20"/>
          <w:lang w:val="en-US"/>
        </w:rPr>
      </w:pPr>
      <w:r w:rsidRPr="00D25464">
        <w:rPr>
          <w:rFonts w:ascii="Arial" w:hAnsi="Arial" w:cs="Arial"/>
          <w:sz w:val="20"/>
          <w:szCs w:val="20"/>
          <w:lang w:val="en-US"/>
        </w:rPr>
        <w:lastRenderedPageBreak/>
        <w:t>3.</w:t>
      </w:r>
      <w:r w:rsidRPr="00D25464">
        <w:rPr>
          <w:rFonts w:ascii="Arial" w:hAnsi="Arial" w:cs="Arial"/>
          <w:sz w:val="20"/>
          <w:szCs w:val="20"/>
          <w:lang w:val="en-US"/>
        </w:rPr>
        <w:tab/>
        <w:t>Cohen MM, Smit V, Andrianopoulos N, Ben-Meir M, Taylor DM, Parker SJ, Xue CC, Cameron PA. Acupuncture for analgesia in the emergency department: a multicentre, randomised, equivalence and non-inferiority trial. Med J Aust. 2017;206(11):494-9. doi: 10.5694/mja16.00771.</w:t>
      </w:r>
    </w:p>
    <w:p w:rsidR="00D25464" w:rsidRPr="00D25464" w:rsidRDefault="00D25464" w:rsidP="00D25464">
      <w:pPr>
        <w:spacing w:after="0" w:line="240" w:lineRule="auto"/>
        <w:ind w:left="432" w:hanging="432"/>
        <w:rPr>
          <w:rFonts w:ascii="Arial" w:hAnsi="Arial" w:cs="Arial"/>
          <w:sz w:val="20"/>
          <w:szCs w:val="20"/>
          <w:lang w:val="en-US"/>
        </w:rPr>
      </w:pPr>
      <w:r w:rsidRPr="00D25464">
        <w:rPr>
          <w:rFonts w:ascii="Arial" w:hAnsi="Arial" w:cs="Arial"/>
          <w:sz w:val="20"/>
          <w:szCs w:val="20"/>
          <w:lang w:val="en-US"/>
        </w:rPr>
        <w:t>4.</w:t>
      </w:r>
      <w:r w:rsidRPr="00D25464">
        <w:rPr>
          <w:rFonts w:ascii="Arial" w:hAnsi="Arial" w:cs="Arial"/>
          <w:sz w:val="20"/>
          <w:szCs w:val="20"/>
          <w:lang w:val="en-US"/>
        </w:rPr>
        <w:tab/>
        <w:t>Zaringhalam J, Manaheji H, Rastqar A, Zaringhalam M. Reduction of chronic non-specific low back pain: a randomised controlled clinical trial on acupuncture and baclofen. Chin Med. 2010;5:15. doi: 10.1186/1749-8546-5-15.</w:t>
      </w:r>
    </w:p>
    <w:sectPr w:rsidR="00D25464" w:rsidRPr="00D25464" w:rsidSect="0010681D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1D"/>
    <w:rsid w:val="0010681D"/>
    <w:rsid w:val="001321C3"/>
    <w:rsid w:val="002159B3"/>
    <w:rsid w:val="00276A37"/>
    <w:rsid w:val="002B2788"/>
    <w:rsid w:val="002B3D3C"/>
    <w:rsid w:val="00574180"/>
    <w:rsid w:val="00791F06"/>
    <w:rsid w:val="008D748E"/>
    <w:rsid w:val="008F7614"/>
    <w:rsid w:val="00B5712D"/>
    <w:rsid w:val="00D0203F"/>
    <w:rsid w:val="00D25464"/>
    <w:rsid w:val="00D7233E"/>
    <w:rsid w:val="00FF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15B33-6E96-4F3D-82FB-88BC24882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06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Schmitz</dc:creator>
  <cp:keywords/>
  <dc:description/>
  <cp:lastModifiedBy>Christoph Schmitz</cp:lastModifiedBy>
  <cp:revision>2</cp:revision>
  <dcterms:created xsi:type="dcterms:W3CDTF">2021-10-24T12:30:00Z</dcterms:created>
  <dcterms:modified xsi:type="dcterms:W3CDTF">2021-10-24T12:30:00Z</dcterms:modified>
</cp:coreProperties>
</file>